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September 16, 2020.</w:t>
      </w:r>
    </w:p>
    <w:p>
      <w:pPr>
        <w:spacing w:after="0" w:line="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333-248628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54610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152400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0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148590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8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PRELUDE THERAPEUTICS INCORPORATED</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152400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78" w:lineRule="exact"/>
        <w:rPr>
          <w:sz w:val="24"/>
          <w:szCs w:val="24"/>
          <w:color w:val="auto"/>
        </w:rPr>
      </w:pPr>
    </w:p>
    <w:tbl>
      <w:tblPr>
        <w:tblLayout w:type="fixed"/>
        <w:tblInd w:w="820" w:type="dxa"/>
        <w:tblCellMar>
          <w:top w:w="0" w:type="dxa"/>
          <w:left w:w="0" w:type="dxa"/>
          <w:bottom w:w="0" w:type="dxa"/>
          <w:right w:w="0" w:type="dxa"/>
        </w:tblCellMar>
      </w:tblPr>
      <w:tr>
        <w:trPr>
          <w:trHeight w:val="192"/>
        </w:trPr>
        <w:tc>
          <w:tcPr>
            <w:tcW w:w="3200" w:type="dxa"/>
            <w:vAlign w:val="bottom"/>
          </w:tcPr>
          <w:p>
            <w:pPr>
              <w:jc w:val="center"/>
              <w:ind w:right="72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2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9"/>
              </w:rPr>
              <w:t>2834</w:t>
            </w:r>
          </w:p>
        </w:tc>
        <w:tc>
          <w:tcPr>
            <w:tcW w:w="2400" w:type="dxa"/>
            <w:vAlign w:val="bottom"/>
          </w:tcPr>
          <w:p>
            <w:pPr>
              <w:jc w:val="center"/>
              <w:ind w:left="906"/>
              <w:spacing w:after="0"/>
              <w:rPr>
                <w:sz w:val="20"/>
                <w:szCs w:val="20"/>
                <w:color w:val="auto"/>
              </w:rPr>
            </w:pPr>
            <w:r>
              <w:rPr>
                <w:rFonts w:ascii="Times New Roman" w:cs="Times New Roman" w:eastAsia="Times New Roman" w:hAnsi="Times New Roman"/>
                <w:sz w:val="16"/>
                <w:szCs w:val="16"/>
                <w:b w:val="1"/>
                <w:bCs w:val="1"/>
                <w:color w:val="auto"/>
              </w:rPr>
              <w:t>81-1384762</w:t>
            </w:r>
          </w:p>
        </w:tc>
      </w:tr>
      <w:tr>
        <w:trPr>
          <w:trHeight w:val="147"/>
        </w:trPr>
        <w:tc>
          <w:tcPr>
            <w:tcW w:w="3200" w:type="dxa"/>
            <w:vAlign w:val="bottom"/>
          </w:tcPr>
          <w:p>
            <w:pPr>
              <w:jc w:val="center"/>
              <w:ind w:right="724"/>
              <w:spacing w:after="0" w:line="147" w:lineRule="exact"/>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3620" w:type="dxa"/>
            <w:vAlign w:val="bottom"/>
          </w:tcPr>
          <w:p>
            <w:pPr>
              <w:jc w:val="center"/>
              <w:ind w:right="106"/>
              <w:spacing w:after="0" w:line="147"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00" w:type="dxa"/>
            <w:vAlign w:val="bottom"/>
          </w:tcPr>
          <w:p>
            <w:pPr>
              <w:jc w:val="center"/>
              <w:ind w:left="906"/>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200" w:type="dxa"/>
            <w:vAlign w:val="bottom"/>
          </w:tcPr>
          <w:p>
            <w:pPr>
              <w:spacing w:after="0"/>
              <w:rPr>
                <w:sz w:val="16"/>
                <w:szCs w:val="16"/>
                <w:color w:val="auto"/>
              </w:rPr>
            </w:pPr>
          </w:p>
        </w:tc>
        <w:tc>
          <w:tcPr>
            <w:tcW w:w="362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00" w:type="dxa"/>
            <w:vAlign w:val="bottom"/>
          </w:tcPr>
          <w:p>
            <w:pPr>
              <w:jc w:val="center"/>
              <w:ind w:left="906"/>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142875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200 Powder Mill Road</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Wilmington, Delaware 19803</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(302) 467-1280</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148590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Kris Vaddi, Ph.D.</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Prelude Therapeutics Incorporated</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200 Powder Mill Road</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Wilmington, Delaware 19803</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(302) 467-1280</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139700</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9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1" w:lineRule="exact"/>
        <w:rPr>
          <w:sz w:val="24"/>
          <w:szCs w:val="24"/>
          <w:color w:val="auto"/>
        </w:rPr>
      </w:pPr>
    </w:p>
    <w:tbl>
      <w:tblPr>
        <w:tblLayout w:type="fixed"/>
        <w:tblInd w:w="1940" w:type="dxa"/>
        <w:tblCellMar>
          <w:top w:w="0" w:type="dxa"/>
          <w:left w:w="0" w:type="dxa"/>
          <w:bottom w:w="0" w:type="dxa"/>
          <w:right w:w="0" w:type="dxa"/>
        </w:tblCellMar>
      </w:tblPr>
      <w:tr>
        <w:trPr>
          <w:trHeight w:val="161"/>
        </w:trPr>
        <w:tc>
          <w:tcPr>
            <w:tcW w:w="5520" w:type="dxa"/>
            <w:vAlign w:val="bottom"/>
            <w:gridSpan w:val="3"/>
          </w:tcPr>
          <w:p>
            <w:pPr>
              <w:jc w:val="center"/>
              <w:ind w:right="3560"/>
              <w:spacing w:after="0"/>
              <w:rPr>
                <w:sz w:val="20"/>
                <w:szCs w:val="20"/>
                <w:color w:val="auto"/>
              </w:rPr>
            </w:pPr>
            <w:r>
              <w:rPr>
                <w:rFonts w:ascii="Times New Roman" w:cs="Times New Roman" w:eastAsia="Times New Roman" w:hAnsi="Times New Roman"/>
                <w:sz w:val="14"/>
                <w:szCs w:val="14"/>
                <w:b w:val="1"/>
                <w:bCs w:val="1"/>
                <w:color w:val="auto"/>
                <w:w w:val="99"/>
              </w:rPr>
              <w:t>Effie Toshav, Esq.</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Richard C. Segal</w:t>
            </w:r>
          </w:p>
        </w:tc>
      </w:tr>
      <w:tr>
        <w:trPr>
          <w:trHeight w:val="147"/>
        </w:trPr>
        <w:tc>
          <w:tcPr>
            <w:tcW w:w="5520" w:type="dxa"/>
            <w:vAlign w:val="bottom"/>
            <w:gridSpan w:val="3"/>
          </w:tcPr>
          <w:p>
            <w:pPr>
              <w:jc w:val="center"/>
              <w:ind w:right="3560"/>
              <w:spacing w:after="0" w:line="147" w:lineRule="exact"/>
              <w:rPr>
                <w:sz w:val="20"/>
                <w:szCs w:val="20"/>
                <w:color w:val="auto"/>
              </w:rPr>
            </w:pPr>
            <w:r>
              <w:rPr>
                <w:rFonts w:ascii="Times New Roman" w:cs="Times New Roman" w:eastAsia="Times New Roman" w:hAnsi="Times New Roman"/>
                <w:sz w:val="14"/>
                <w:szCs w:val="14"/>
                <w:b w:val="1"/>
                <w:bCs w:val="1"/>
                <w:color w:val="auto"/>
              </w:rPr>
              <w:t>Robert A. Freedman, Esq.</w:t>
            </w:r>
          </w:p>
        </w:tc>
        <w:tc>
          <w:tcPr>
            <w:tcW w:w="1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Brent B. Siler</w:t>
            </w:r>
          </w:p>
        </w:tc>
      </w:tr>
      <w:tr>
        <w:trPr>
          <w:trHeight w:val="147"/>
        </w:trPr>
        <w:tc>
          <w:tcPr>
            <w:tcW w:w="5520" w:type="dxa"/>
            <w:vAlign w:val="bottom"/>
            <w:gridSpan w:val="3"/>
          </w:tcPr>
          <w:p>
            <w:pPr>
              <w:jc w:val="center"/>
              <w:ind w:right="3560"/>
              <w:spacing w:after="0" w:line="147" w:lineRule="exact"/>
              <w:rPr>
                <w:sz w:val="20"/>
                <w:szCs w:val="20"/>
                <w:color w:val="auto"/>
              </w:rPr>
            </w:pPr>
            <w:r>
              <w:rPr>
                <w:rFonts w:ascii="Times New Roman" w:cs="Times New Roman" w:eastAsia="Times New Roman" w:hAnsi="Times New Roman"/>
                <w:sz w:val="14"/>
                <w:szCs w:val="14"/>
                <w:b w:val="1"/>
                <w:bCs w:val="1"/>
                <w:color w:val="auto"/>
              </w:rPr>
              <w:t>Julia Forbess, Esq.</w:t>
            </w:r>
          </w:p>
        </w:tc>
        <w:tc>
          <w:tcPr>
            <w:tcW w:w="1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Divakar Gupta</w:t>
            </w:r>
          </w:p>
        </w:tc>
      </w:tr>
      <w:tr>
        <w:trPr>
          <w:trHeight w:val="147"/>
        </w:trPr>
        <w:tc>
          <w:tcPr>
            <w:tcW w:w="5520" w:type="dxa"/>
            <w:vAlign w:val="bottom"/>
            <w:gridSpan w:val="3"/>
          </w:tcPr>
          <w:p>
            <w:pPr>
              <w:jc w:val="center"/>
              <w:ind w:right="3560"/>
              <w:spacing w:after="0" w:line="147" w:lineRule="exact"/>
              <w:rPr>
                <w:sz w:val="20"/>
                <w:szCs w:val="20"/>
                <w:color w:val="auto"/>
              </w:rPr>
            </w:pPr>
            <w:r>
              <w:rPr>
                <w:rFonts w:ascii="Times New Roman" w:cs="Times New Roman" w:eastAsia="Times New Roman" w:hAnsi="Times New Roman"/>
                <w:sz w:val="14"/>
                <w:szCs w:val="14"/>
                <w:b w:val="1"/>
                <w:bCs w:val="1"/>
                <w:color w:val="auto"/>
              </w:rPr>
              <w:t>Fenwick &amp; West LLP</w:t>
            </w:r>
          </w:p>
        </w:tc>
        <w:tc>
          <w:tcPr>
            <w:tcW w:w="1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Cooley LLP</w:t>
            </w:r>
          </w:p>
        </w:tc>
      </w:tr>
      <w:tr>
        <w:trPr>
          <w:trHeight w:val="147"/>
        </w:trPr>
        <w:tc>
          <w:tcPr>
            <w:tcW w:w="5520" w:type="dxa"/>
            <w:vAlign w:val="bottom"/>
            <w:gridSpan w:val="3"/>
          </w:tcPr>
          <w:p>
            <w:pPr>
              <w:jc w:val="center"/>
              <w:ind w:right="3560"/>
              <w:spacing w:after="0" w:line="147" w:lineRule="exact"/>
              <w:rPr>
                <w:sz w:val="20"/>
                <w:szCs w:val="20"/>
                <w:color w:val="auto"/>
              </w:rPr>
            </w:pPr>
            <w:r>
              <w:rPr>
                <w:rFonts w:ascii="Times New Roman" w:cs="Times New Roman" w:eastAsia="Times New Roman" w:hAnsi="Times New Roman"/>
                <w:sz w:val="14"/>
                <w:szCs w:val="14"/>
                <w:b w:val="1"/>
                <w:bCs w:val="1"/>
                <w:color w:val="auto"/>
              </w:rPr>
              <w:t>555 California Street</w:t>
            </w:r>
          </w:p>
        </w:tc>
        <w:tc>
          <w:tcPr>
            <w:tcW w:w="1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500 Boylston Street, 14th Floor</w:t>
            </w:r>
          </w:p>
        </w:tc>
      </w:tr>
      <w:tr>
        <w:trPr>
          <w:trHeight w:val="147"/>
        </w:trPr>
        <w:tc>
          <w:tcPr>
            <w:tcW w:w="5520" w:type="dxa"/>
            <w:vAlign w:val="bottom"/>
            <w:gridSpan w:val="3"/>
          </w:tcPr>
          <w:p>
            <w:pPr>
              <w:jc w:val="center"/>
              <w:ind w:right="3560"/>
              <w:spacing w:after="0" w:line="147" w:lineRule="exact"/>
              <w:rPr>
                <w:sz w:val="20"/>
                <w:szCs w:val="20"/>
                <w:color w:val="auto"/>
              </w:rPr>
            </w:pPr>
            <w:r>
              <w:rPr>
                <w:rFonts w:ascii="Times New Roman" w:cs="Times New Roman" w:eastAsia="Times New Roman" w:hAnsi="Times New Roman"/>
                <w:sz w:val="14"/>
                <w:szCs w:val="14"/>
                <w:b w:val="1"/>
                <w:bCs w:val="1"/>
                <w:color w:val="auto"/>
              </w:rPr>
              <w:t>San Francisco, California 94104</w:t>
            </w:r>
          </w:p>
        </w:tc>
        <w:tc>
          <w:tcPr>
            <w:tcW w:w="1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Boston, Massachusetts 02116</w:t>
            </w:r>
          </w:p>
        </w:tc>
      </w:tr>
      <w:tr>
        <w:trPr>
          <w:trHeight w:val="187"/>
        </w:trPr>
        <w:tc>
          <w:tcPr>
            <w:tcW w:w="254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(415) 875-2300</w:t>
            </w:r>
          </w:p>
        </w:tc>
        <w:tc>
          <w:tcPr>
            <w:tcW w:w="2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(617) 937-2300</w:t>
            </w:r>
          </w:p>
        </w:tc>
      </w:tr>
      <w:tr>
        <w:trPr>
          <w:trHeight w:val="225"/>
        </w:trPr>
        <w:tc>
          <w:tcPr>
            <w:tcW w:w="254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5520" w:type="dxa"/>
            <w:vAlign w:val="bottom"/>
            <w:gridSpan w:val="3"/>
          </w:tcPr>
          <w:p>
            <w:pPr>
              <w:ind w:left="1880"/>
              <w:spacing w:after="0"/>
              <w:rPr>
                <w:sz w:val="20"/>
                <w:szCs w:val="20"/>
                <w:color w:val="auto"/>
              </w:rPr>
            </w:pPr>
            <w:r>
              <w:rPr>
                <w:rFonts w:ascii="Times New Roman" w:cs="Times New Roman" w:eastAsia="Times New Roman" w:hAnsi="Times New Roman"/>
                <w:sz w:val="12"/>
                <w:szCs w:val="12"/>
                <w:b w:val="1"/>
                <w:bCs w:val="1"/>
                <w:color w:val="auto"/>
              </w:rPr>
              <w:t>Approximate date of commencement of proposed sale to the public:</w:t>
            </w:r>
          </w:p>
        </w:tc>
        <w:tc>
          <w:tcPr>
            <w:tcW w:w="1920" w:type="dxa"/>
            <w:vAlign w:val="bottom"/>
          </w:tcPr>
          <w:p>
            <w:pPr>
              <w:spacing w:after="0"/>
              <w:rPr>
                <w:sz w:val="19"/>
                <w:szCs w:val="19"/>
                <w:color w:val="auto"/>
              </w:rPr>
            </w:pPr>
          </w:p>
        </w:tc>
      </w:tr>
    </w:tbl>
    <w:p>
      <w:pPr>
        <w:ind w:left="3620"/>
        <w:spacing w:after="0"/>
        <w:rPr>
          <w:sz w:val="20"/>
          <w:szCs w:val="20"/>
          <w:color w:val="auto"/>
        </w:rPr>
      </w:pPr>
      <w:r>
        <w:rPr>
          <w:rFonts w:ascii="Times New Roman" w:cs="Times New Roman" w:eastAsia="Times New Roman" w:hAnsi="Times New Roman"/>
          <w:sz w:val="12"/>
          <w:szCs w:val="12"/>
          <w:b w:val="1"/>
          <w:bCs w:val="1"/>
          <w:color w:val="auto"/>
        </w:rPr>
        <w:t>As soon as practicable after the effective date of this registration statement.</w:t>
      </w:r>
    </w:p>
    <w:p>
      <w:pPr>
        <w:spacing w:after="0" w:line="83" w:lineRule="exact"/>
        <w:rPr>
          <w:sz w:val="24"/>
          <w:szCs w:val="24"/>
          <w:color w:val="auto"/>
        </w:rPr>
      </w:pPr>
    </w:p>
    <w:p>
      <w:pPr>
        <w:ind w:left="160"/>
        <w:spacing w:after="0" w:line="138"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21" w:lineRule="exact"/>
        <w:rPr>
          <w:sz w:val="24"/>
          <w:szCs w:val="24"/>
          <w:color w:val="auto"/>
        </w:rPr>
      </w:pPr>
    </w:p>
    <w:p>
      <w:pPr>
        <w:ind w:left="160" w:right="60"/>
        <w:spacing w:after="0" w:line="161"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66" w:lineRule="exact"/>
        <w:rPr>
          <w:sz w:val="24"/>
          <w:szCs w:val="24"/>
          <w:color w:val="auto"/>
        </w:rPr>
      </w:pPr>
    </w:p>
    <w:p>
      <w:pPr>
        <w:ind w:left="160" w:right="240"/>
        <w:spacing w:after="0" w:line="161"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66" w:lineRule="exact"/>
        <w:rPr>
          <w:sz w:val="24"/>
          <w:szCs w:val="24"/>
          <w:color w:val="auto"/>
        </w:rPr>
      </w:pPr>
    </w:p>
    <w:p>
      <w:pPr>
        <w:ind w:left="160" w:right="60"/>
        <w:spacing w:after="0" w:line="161"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2"/>
          <w:szCs w:val="12"/>
          <w:color w:val="auto"/>
        </w:rPr>
        <w:t>☐</w:t>
      </w:r>
    </w:p>
    <w:p>
      <w:pPr>
        <w:spacing w:after="0" w:line="66" w:lineRule="exact"/>
        <w:rPr>
          <w:sz w:val="24"/>
          <w:szCs w:val="24"/>
          <w:color w:val="auto"/>
        </w:rPr>
      </w:pPr>
    </w:p>
    <w:p>
      <w:pPr>
        <w:ind w:left="160" w:right="380"/>
        <w:spacing w:after="0" w:line="27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227" w:right="499" w:bottom="1440" w:gutter="0" w:footer="0" w:header="0"/>
        </w:sectPr>
      </w:pPr>
    </w:p>
    <w:p>
      <w:pPr>
        <w:spacing w:after="0" w:line="79"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1" w:lineRule="exact"/>
        <w:rPr>
          <w:sz w:val="24"/>
          <w:szCs w:val="24"/>
          <w:color w:val="auto"/>
        </w:rPr>
      </w:pPr>
    </w:p>
    <w:p>
      <w:pPr>
        <w:sectPr>
          <w:pgSz w:w="11900" w:h="16838" w:orient="portrait"/>
          <w:cols w:equalWidth="0" w:num="8">
            <w:col w:w="1440" w:space="80"/>
            <w:col w:w="680" w:space="720"/>
            <w:col w:w="960" w:space="60"/>
            <w:col w:w="980" w:space="720"/>
            <w:col w:w="1200" w:space="80"/>
            <w:col w:w="840" w:space="720"/>
            <w:col w:w="1560" w:space="60"/>
            <w:col w:w="980"/>
          </w:cols>
          <w:pgMar w:left="320" w:top="227" w:right="499" w:bottom="1440" w:gutter="0" w:footer="0" w:header="0"/>
          <w:type w:val="continuous"/>
        </w:sectPr>
      </w:pPr>
    </w:p>
    <w:p>
      <w:pPr>
        <w:ind w:left="160" w:right="100"/>
        <w:spacing w:after="0" w:line="16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138430</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98" w:lineRule="exact"/>
        <w:rPr>
          <w:sz w:val="24"/>
          <w:szCs w:val="24"/>
          <w:color w:val="auto"/>
        </w:rPr>
      </w:pPr>
    </w:p>
    <w:p>
      <w:pPr>
        <w:ind w:left="160" w:right="20"/>
        <w:spacing w:after="0" w:line="256"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72390</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114300</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7" w:right="49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DE1A1E"/>
        </w:rPr>
        <w:t>SUBJECT TO COMPLETION, DATED SEPTEMBER 16,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DE1A1E"/>
        </w:rPr>
        <w:t>PRELIMINARY PROSPECTUS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102235</wp:posOffset>
            </wp:positionV>
            <wp:extent cx="2165350" cy="74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5350" cy="74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240030</wp:posOffset>
            </wp:positionV>
            <wp:extent cx="1494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i w:val="1"/>
          <w:iCs w:val="1"/>
          <w:color w:val="auto"/>
        </w:rPr>
        <w:t>We are offering</w:t>
      </w:r>
      <w:r>
        <w:rPr>
          <w:sz w:val="20"/>
          <w:szCs w:val="20"/>
          <w:color w:val="auto"/>
        </w:rPr>
        <w:tab/>
      </w:r>
      <w:r>
        <w:rPr>
          <w:rFonts w:ascii="Times New Roman" w:cs="Times New Roman" w:eastAsia="Times New Roman" w:hAnsi="Times New Roman"/>
          <w:sz w:val="17"/>
          <w:szCs w:val="17"/>
          <w:b w:val="1"/>
          <w:bCs w:val="1"/>
          <w:i w:val="1"/>
          <w:iCs w:val="1"/>
          <w:color w:val="auto"/>
        </w:rPr>
        <w:t>shares of our common stock. This is our initial public offering and no public market currently exists for our common stock.</w:t>
      </w:r>
    </w:p>
    <w:p>
      <w:pPr>
        <w:spacing w:after="0" w:line="30" w:lineRule="exact"/>
        <w:rPr>
          <w:sz w:val="20"/>
          <w:szCs w:val="20"/>
          <w:color w:val="auto"/>
        </w:rPr>
      </w:pPr>
    </w:p>
    <w:p>
      <w:pPr>
        <w:spacing w:after="0"/>
        <w:tabs>
          <w:tab w:leader="none" w:pos="4720" w:val="left"/>
          <w:tab w:leader="none" w:pos="5660" w:val="left"/>
        </w:tabs>
        <w:rPr>
          <w:sz w:val="20"/>
          <w:szCs w:val="20"/>
          <w:color w:val="auto"/>
        </w:rPr>
      </w:pPr>
      <w:r>
        <w:rPr>
          <w:rFonts w:ascii="Times New Roman" w:cs="Times New Roman" w:eastAsia="Times New Roman" w:hAnsi="Times New Roman"/>
          <w:sz w:val="18"/>
          <w:szCs w:val="18"/>
          <w:b w:val="1"/>
          <w:bCs w:val="1"/>
          <w:i w:val="1"/>
          <w:iCs w:val="1"/>
          <w:color w:val="auto"/>
        </w:rPr>
        <w:t>We expect the initial public offering price to be between $</w:t>
      </w:r>
      <w:r>
        <w:rPr>
          <w:sz w:val="20"/>
          <w:szCs w:val="20"/>
          <w:color w:val="auto"/>
        </w:rPr>
        <w:tab/>
      </w:r>
      <w:r>
        <w:rPr>
          <w:rFonts w:ascii="Times New Roman" w:cs="Times New Roman" w:eastAsia="Times New Roman" w:hAnsi="Times New Roman"/>
          <w:sz w:val="18"/>
          <w:szCs w:val="18"/>
          <w:b w:val="1"/>
          <w:bCs w:val="1"/>
          <w:i w:val="1"/>
          <w:iCs w:val="1"/>
          <w:color w:val="auto"/>
        </w:rPr>
        <w:t>and $</w:t>
      </w:r>
      <w:r>
        <w:rPr>
          <w:sz w:val="20"/>
          <w:szCs w:val="20"/>
          <w:color w:val="auto"/>
        </w:rPr>
        <w:tab/>
      </w:r>
      <w:r>
        <w:rPr>
          <w:rFonts w:ascii="Times New Roman" w:cs="Times New Roman" w:eastAsia="Times New Roman" w:hAnsi="Times New Roman"/>
          <w:sz w:val="17"/>
          <w:szCs w:val="17"/>
          <w:b w:val="1"/>
          <w:bCs w:val="1"/>
          <w:i w:val="1"/>
          <w:iCs w:val="1"/>
          <w:color w:val="auto"/>
        </w:rPr>
        <w:t>per share. We have applied to have our common stock listed on The Nasdaq</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Market under the symbol “PRLD.”</w:t>
      </w:r>
    </w:p>
    <w:p>
      <w:pPr>
        <w:spacing w:after="0" w:line="1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two classes of common stock: the voting common stock offered hereby and non-voting common stock. For a description of the rights of the voting common stock and non-voting common stock, please see “Description of Capital Stock” beginning on page 174 of this prospectus. We are offering voting common stock in this offering, and unless otherwise noted, all references in this prospectus to our “common stock” refer to our voting common stock. The non-voting common stock will not be listed for trading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211455</wp:posOffset>
            </wp:positionV>
            <wp:extent cx="1494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as defined under the U.S. federal securities laws and will be subject to reduced public company reporting requirements for this prospectus and future filings. See “Prospectus Summary — 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215900</wp:posOffset>
            </wp:positionV>
            <wp:extent cx="1494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780"/>
        <w:spacing w:after="0" w:line="282" w:lineRule="auto"/>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Investing in our common stock involves a high degree of risk. Please read “</w:t>
      </w:r>
      <w:hyperlink w:anchor="page15">
        <w:r>
          <w:rPr>
            <w:rFonts w:ascii="Times New Roman" w:cs="Times New Roman" w:eastAsia="Times New Roman" w:hAnsi="Times New Roman"/>
            <w:sz w:val="21"/>
            <w:szCs w:val="21"/>
            <w:b w:val="1"/>
            <w:bCs w:val="1"/>
            <w:i w:val="1"/>
            <w:iCs w:val="1"/>
            <w:u w:val="single" w:color="auto"/>
            <w:color w:val="0000EE"/>
          </w:rPr>
          <w:t>Risk Factors</w:t>
        </w:r>
      </w:hyperlink>
      <w:r>
        <w:rPr>
          <w:rFonts w:ascii="Times New Roman" w:cs="Times New Roman" w:eastAsia="Times New Roman" w:hAnsi="Times New Roman"/>
          <w:sz w:val="21"/>
          <w:szCs w:val="21"/>
          <w:b w:val="1"/>
          <w:bCs w:val="1"/>
          <w:i w:val="1"/>
          <w:iCs w:val="1"/>
          <w:color w:val="auto"/>
        </w:rPr>
        <w:t>” beginning on page 11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187325</wp:posOffset>
            </wp:positionV>
            <wp:extent cx="1494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Initial public offering price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8"/>
              </w:rPr>
              <w:t>PER SHARE</w:t>
            </w:r>
          </w:p>
        </w:tc>
        <w:tc>
          <w:tcPr>
            <w:tcW w:w="106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7"/>
              </w:rPr>
              <w:t>TOTAL</w:t>
            </w:r>
          </w:p>
        </w:tc>
        <w:tc>
          <w:tcPr>
            <w:tcW w:w="0" w:type="dxa"/>
            <w:vAlign w:val="bottom"/>
          </w:tcPr>
          <w:p>
            <w:pPr>
              <w:spacing w:after="0"/>
              <w:rPr>
                <w:sz w:val="1"/>
                <w:szCs w:val="1"/>
                <w:color w:val="auto"/>
              </w:rPr>
            </w:pPr>
          </w:p>
        </w:tc>
      </w:tr>
      <w:tr>
        <w:trPr>
          <w:trHeight w:val="186"/>
        </w:trPr>
        <w:tc>
          <w:tcPr>
            <w:tcW w:w="8700" w:type="dxa"/>
            <w:vAlign w:val="bottom"/>
            <w:vMerge w:val="continue"/>
          </w:tcPr>
          <w:p>
            <w:pPr>
              <w:spacing w:after="0"/>
              <w:rPr>
                <w:sz w:val="16"/>
                <w:szCs w:val="16"/>
                <w:color w:val="auto"/>
              </w:rPr>
            </w:pPr>
          </w:p>
        </w:tc>
        <w:tc>
          <w:tcPr>
            <w:tcW w:w="780" w:type="dxa"/>
            <w:vAlign w:val="bottom"/>
          </w:tcPr>
          <w:p>
            <w:pPr>
              <w:jc w:val="right"/>
              <w:ind w:right="395"/>
              <w:spacing w:after="0" w:line="186" w:lineRule="exact"/>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tcPr>
          <w:p>
            <w:pPr>
              <w:spacing w:after="0"/>
              <w:rPr>
                <w:sz w:val="16"/>
                <w:szCs w:val="16"/>
                <w:color w:val="auto"/>
              </w:rPr>
            </w:pPr>
          </w:p>
        </w:tc>
        <w:tc>
          <w:tcPr>
            <w:tcW w:w="4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5"/>
        </w:trPr>
        <w:tc>
          <w:tcPr>
            <w:tcW w:w="8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Underwriting discounts and commissions</w:t>
            </w:r>
            <w:r>
              <w:rPr>
                <w:rFonts w:ascii="Times New Roman" w:cs="Times New Roman" w:eastAsia="Times New Roman" w:hAnsi="Times New Roman"/>
                <w:sz w:val="15"/>
                <w:szCs w:val="15"/>
                <w:i w:val="1"/>
                <w:iCs w:val="1"/>
                <w:color w:val="auto"/>
              </w:rPr>
              <w:t>(1)</w:t>
            </w:r>
          </w:p>
        </w:tc>
        <w:tc>
          <w:tcPr>
            <w:tcW w:w="780" w:type="dxa"/>
            <w:vAlign w:val="bottom"/>
          </w:tcPr>
          <w:p>
            <w:pPr>
              <w:jc w:val="right"/>
              <w:ind w:right="395"/>
              <w:spacing w:after="0"/>
              <w:rPr>
                <w:sz w:val="20"/>
                <w:szCs w:val="20"/>
                <w:color w:val="auto"/>
              </w:rPr>
            </w:pPr>
            <w:r>
              <w:rPr>
                <w:rFonts w:ascii="Times New Roman" w:cs="Times New Roman" w:eastAsia="Times New Roman" w:hAnsi="Times New Roman"/>
                <w:sz w:val="18"/>
                <w:szCs w:val="18"/>
                <w:i w:val="1"/>
                <w:iCs w:val="1"/>
                <w:color w:val="auto"/>
              </w:rPr>
              <w:t>$</w:t>
            </w:r>
          </w:p>
        </w:tc>
        <w:tc>
          <w:tcPr>
            <w:tcW w:w="1520" w:type="dxa"/>
            <w:vAlign w:val="bottom"/>
            <w:gridSpan w:val="2"/>
          </w:tcPr>
          <w:p>
            <w:pPr>
              <w:ind w:left="108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5"/>
        </w:trPr>
        <w:tc>
          <w:tcPr>
            <w:tcW w:w="8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Proceeds, before expenses, to us</w:t>
            </w:r>
          </w:p>
        </w:tc>
        <w:tc>
          <w:tcPr>
            <w:tcW w:w="780" w:type="dxa"/>
            <w:vAlign w:val="bottom"/>
          </w:tcPr>
          <w:p>
            <w:pPr>
              <w:jc w:val="right"/>
              <w:ind w:right="395"/>
              <w:spacing w:after="0"/>
              <w:rPr>
                <w:sz w:val="20"/>
                <w:szCs w:val="20"/>
                <w:color w:val="auto"/>
              </w:rPr>
            </w:pPr>
            <w:r>
              <w:rPr>
                <w:rFonts w:ascii="Times New Roman" w:cs="Times New Roman" w:eastAsia="Times New Roman" w:hAnsi="Times New Roman"/>
                <w:sz w:val="18"/>
                <w:szCs w:val="18"/>
                <w:i w:val="1"/>
                <w:iCs w:val="1"/>
                <w:color w:val="auto"/>
              </w:rPr>
              <w:t>$</w:t>
            </w:r>
          </w:p>
        </w:tc>
        <w:tc>
          <w:tcPr>
            <w:tcW w:w="1520" w:type="dxa"/>
            <w:vAlign w:val="bottom"/>
            <w:gridSpan w:val="2"/>
          </w:tcPr>
          <w:p>
            <w:pPr>
              <w:ind w:left="108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810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146" w:lineRule="exact"/>
        <w:rPr>
          <w:sz w:val="20"/>
          <w:szCs w:val="20"/>
          <w:color w:val="auto"/>
        </w:rPr>
      </w:pPr>
    </w:p>
    <w:p>
      <w:pPr>
        <w:ind w:left="440" w:hanging="433"/>
        <w:spacing w:after="0"/>
        <w:tabs>
          <w:tab w:leader="none" w:pos="4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“Underwriters” for a description of all compensation payable to the underwriters.</w:t>
      </w:r>
    </w:p>
    <w:p>
      <w:pPr>
        <w:spacing w:after="0" w:line="221" w:lineRule="exact"/>
        <w:rPr>
          <w:sz w:val="20"/>
          <w:szCs w:val="20"/>
          <w:color w:val="auto"/>
        </w:rPr>
      </w:pPr>
    </w:p>
    <w:p>
      <w:pPr>
        <w:spacing w:after="0"/>
        <w:tabs>
          <w:tab w:leader="none" w:pos="9760" w:val="left"/>
        </w:tabs>
        <w:rPr>
          <w:sz w:val="20"/>
          <w:szCs w:val="20"/>
          <w:color w:val="auto"/>
        </w:rPr>
      </w:pPr>
      <w:r>
        <w:rPr>
          <w:rFonts w:ascii="Times New Roman" w:cs="Times New Roman" w:eastAsia="Times New Roman" w:hAnsi="Times New Roman"/>
          <w:sz w:val="18"/>
          <w:szCs w:val="18"/>
          <w:i w:val="1"/>
          <w:iCs w:val="1"/>
          <w:color w:val="auto"/>
        </w:rPr>
        <w:t>We have granted the underwriters an option for a period of 30 days from the date of this prospectus to purchase an additional</w:t>
      </w:r>
      <w:r>
        <w:rPr>
          <w:sz w:val="20"/>
          <w:szCs w:val="20"/>
          <w:color w:val="auto"/>
        </w:rPr>
        <w:tab/>
      </w:r>
      <w:r>
        <w:rPr>
          <w:rFonts w:ascii="Times New Roman" w:cs="Times New Roman" w:eastAsia="Times New Roman" w:hAnsi="Times New Roman"/>
          <w:sz w:val="17"/>
          <w:szCs w:val="17"/>
          <w:i w:val="1"/>
          <w:iCs w:val="1"/>
          <w:color w:val="auto"/>
        </w:rPr>
        <w:t>shares of common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w:t>
      </w:r>
    </w:p>
    <w:p>
      <w:pPr>
        <w:spacing w:after="0" w:line="200" w:lineRule="exact"/>
        <w:rPr>
          <w:sz w:val="20"/>
          <w:szCs w:val="20"/>
          <w:color w:val="auto"/>
        </w:rPr>
      </w:pPr>
    </w:p>
    <w:p>
      <w:pPr>
        <w:spacing w:after="0"/>
        <w:tabs>
          <w:tab w:leader="none" w:pos="8800" w:val="left"/>
        </w:tabs>
        <w:rPr>
          <w:sz w:val="20"/>
          <w:szCs w:val="20"/>
          <w:color w:val="auto"/>
        </w:rPr>
      </w:pPr>
      <w:r>
        <w:rPr>
          <w:rFonts w:ascii="Times New Roman" w:cs="Times New Roman" w:eastAsia="Times New Roman" w:hAnsi="Times New Roman"/>
          <w:sz w:val="18"/>
          <w:szCs w:val="18"/>
          <w:i w:val="1"/>
          <w:iCs w:val="1"/>
          <w:color w:val="auto"/>
        </w:rPr>
        <w:t>The underwriters expect to deliver the shares of common stock against payment in New York. New York on or about</w:t>
      </w:r>
      <w:r>
        <w:rPr>
          <w:sz w:val="20"/>
          <w:szCs w:val="20"/>
          <w:color w:val="auto"/>
        </w:rPr>
        <w:tab/>
      </w:r>
      <w:r>
        <w:rPr>
          <w:rFonts w:ascii="Times New Roman" w:cs="Times New Roman" w:eastAsia="Times New Roman" w:hAnsi="Times New Roman"/>
          <w:sz w:val="18"/>
          <w:szCs w:val="18"/>
          <w:i w:val="1"/>
          <w:i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238125</wp:posOffset>
            </wp:positionV>
            <wp:extent cx="1494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4340" w:val="left"/>
          <w:tab w:leader="none" w:pos="9640" w:val="left"/>
        </w:tabs>
        <w:rPr>
          <w:sz w:val="20"/>
          <w:szCs w:val="20"/>
          <w:color w:val="auto"/>
        </w:rPr>
      </w:pPr>
      <w:r>
        <w:rPr>
          <w:rFonts w:ascii="Times New Roman" w:cs="Times New Roman" w:eastAsia="Times New Roman" w:hAnsi="Times New Roman"/>
          <w:sz w:val="21"/>
          <w:szCs w:val="21"/>
          <w:i w:val="1"/>
          <w:iCs w:val="1"/>
          <w:color w:val="auto"/>
        </w:rPr>
        <w:t>MORGAN STANLEY</w:t>
      </w:r>
      <w:r>
        <w:rPr>
          <w:sz w:val="20"/>
          <w:szCs w:val="20"/>
          <w:color w:val="auto"/>
        </w:rPr>
        <w:tab/>
      </w:r>
      <w:r>
        <w:rPr>
          <w:rFonts w:ascii="Times New Roman" w:cs="Times New Roman" w:eastAsia="Times New Roman" w:hAnsi="Times New Roman"/>
          <w:sz w:val="21"/>
          <w:szCs w:val="21"/>
          <w:i w:val="1"/>
          <w:iCs w:val="1"/>
          <w:color w:val="auto"/>
        </w:rPr>
        <w:t>GOLDMAN SACHS &amp; CO. LLC</w:t>
      </w:r>
      <w:r>
        <w:rPr>
          <w:sz w:val="20"/>
          <w:szCs w:val="20"/>
          <w:color w:val="auto"/>
        </w:rPr>
        <w:tab/>
      </w:r>
      <w:r>
        <w:rPr>
          <w:rFonts w:ascii="Times New Roman" w:cs="Times New Roman" w:eastAsia="Times New Roman" w:hAnsi="Times New Roman"/>
          <w:sz w:val="19"/>
          <w:szCs w:val="19"/>
          <w:i w:val="1"/>
          <w:iCs w:val="1"/>
          <w:color w:val="auto"/>
        </w:rPr>
        <w:t>BofA SECURITIES</w:t>
      </w:r>
    </w:p>
    <w:p>
      <w:pPr>
        <w:sectPr>
          <w:pgSz w:w="11900" w:h="16838" w:orient="portrait"/>
          <w:cols w:equalWidth="0" w:num="1">
            <w:col w:w="11240"/>
          </w:cols>
          <w:pgMar w:left="320" w:top="454" w:right="339" w:bottom="1440" w:gutter="0" w:footer="0" w:header="0"/>
        </w:sectPr>
      </w:pPr>
    </w:p>
    <w:p>
      <w:pPr>
        <w:spacing w:after="0" w:line="214"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Prospectus dated</w:t>
      </w:r>
      <w:r>
        <w:rPr>
          <w:sz w:val="20"/>
          <w:szCs w:val="20"/>
          <w:color w:val="auto"/>
        </w:rPr>
        <w:tab/>
      </w:r>
      <w:r>
        <w:rPr>
          <w:rFonts w:ascii="Times New Roman" w:cs="Times New Roman" w:eastAsia="Times New Roman" w:hAnsi="Times New Roman"/>
          <w:sz w:val="17"/>
          <w:szCs w:val="17"/>
          <w:i w:val="1"/>
          <w:iCs w:val="1"/>
          <w:color w:val="auto"/>
        </w:rPr>
        <w:t>, 2020</w:t>
      </w:r>
    </w:p>
    <w:p>
      <w:pPr>
        <w:sectPr>
          <w:pgSz w:w="11900" w:h="16838" w:orient="portrait"/>
          <w:cols w:equalWidth="0" w:num="1">
            <w:col w:w="11240"/>
          </w:cols>
          <w:pgMar w:left="320" w:top="454" w:right="3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gridSpan w:val="7"/>
            <w:vMerge w:val="restart"/>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5100" w:type="dxa"/>
            <w:vAlign w:val="bottom"/>
            <w:gridSpan w:val="6"/>
            <w:vMerge w:val="restart"/>
          </w:tcPr>
          <w:p>
            <w:pPr>
              <w:spacing w:after="0"/>
              <w:rPr>
                <w:rFonts w:ascii="Times New Roman" w:cs="Times New Roman" w:eastAsia="Times New Roman" w:hAnsi="Times New Roman"/>
                <w:sz w:val="18"/>
                <w:szCs w:val="18"/>
                <w:u w:val="single" w:color="auto"/>
                <w:color w:val="0000EE"/>
              </w:rPr>
            </w:pPr>
            <w:hyperlink w:anchor="page155">
              <w:r>
                <w:rPr>
                  <w:rFonts w:ascii="Times New Roman" w:cs="Times New Roman" w:eastAsia="Times New Roman" w:hAnsi="Times New Roman"/>
                  <w:sz w:val="18"/>
                  <w:szCs w:val="18"/>
                  <w:u w:val="single" w:color="auto"/>
                  <w:color w:val="0000EE"/>
                </w:rPr>
                <w:t>MANAGEMENT</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9"/>
        </w:trPr>
        <w:tc>
          <w:tcPr>
            <w:tcW w:w="5040" w:type="dxa"/>
            <w:vAlign w:val="bottom"/>
            <w:gridSpan w:val="7"/>
            <w:vMerge w:val="continue"/>
          </w:tcPr>
          <w:p>
            <w:pPr>
              <w:spacing w:after="0"/>
              <w:rPr>
                <w:sz w:val="16"/>
                <w:szCs w:val="16"/>
                <w:color w:val="auto"/>
              </w:rPr>
            </w:pPr>
          </w:p>
        </w:tc>
        <w:tc>
          <w:tcPr>
            <w:tcW w:w="3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6"/>
                <w:szCs w:val="16"/>
                <w:color w:val="auto"/>
              </w:rPr>
            </w:pPr>
          </w:p>
        </w:tc>
        <w:tc>
          <w:tcPr>
            <w:tcW w:w="5100" w:type="dxa"/>
            <w:vAlign w:val="bottom"/>
            <w:gridSpan w:val="6"/>
            <w:vMerge w:val="continue"/>
          </w:tcPr>
          <w:p>
            <w:pPr>
              <w:spacing w:after="0"/>
              <w:rPr>
                <w:sz w:val="16"/>
                <w:szCs w:val="16"/>
                <w:color w:val="auto"/>
              </w:rPr>
            </w:pPr>
          </w:p>
        </w:tc>
        <w:tc>
          <w:tcPr>
            <w:tcW w:w="3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4"/>
        </w:trPr>
        <w:tc>
          <w:tcPr>
            <w:tcW w:w="5040" w:type="dxa"/>
            <w:vAlign w:val="bottom"/>
            <w:gridSpan w:val="7"/>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THE OFFERING</w:t>
              </w:r>
            </w:hyperlink>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5100" w:type="dxa"/>
            <w:vAlign w:val="bottom"/>
            <w:gridSpan w:val="6"/>
          </w:tcPr>
          <w:p>
            <w:pPr>
              <w:spacing w:after="0"/>
              <w:rPr>
                <w:rFonts w:ascii="Times New Roman" w:cs="Times New Roman" w:eastAsia="Times New Roman" w:hAnsi="Times New Roman"/>
                <w:sz w:val="18"/>
                <w:szCs w:val="18"/>
                <w:u w:val="single" w:color="auto"/>
                <w:color w:val="0000EE"/>
              </w:rPr>
            </w:pPr>
            <w:hyperlink w:anchor="page162">
              <w:r>
                <w:rPr>
                  <w:rFonts w:ascii="Times New Roman" w:cs="Times New Roman" w:eastAsia="Times New Roman" w:hAnsi="Times New Roman"/>
                  <w:sz w:val="18"/>
                  <w:szCs w:val="18"/>
                  <w:u w:val="single" w:color="auto"/>
                  <w:color w:val="0000EE"/>
                </w:rPr>
                <w:t>EXECUTIVE COMPENSATION</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192"/>
        </w:trPr>
        <w:tc>
          <w:tcPr>
            <w:tcW w:w="5040" w:type="dxa"/>
            <w:vAlign w:val="bottom"/>
            <w:gridSpan w:val="7"/>
          </w:tcPr>
          <w:p>
            <w:pPr>
              <w:spacing w:after="0" w:line="192" w:lineRule="exact"/>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SUMMARY FINANCIAL DATA</w:t>
              </w:r>
            </w:hyperlink>
          </w:p>
        </w:tc>
        <w:tc>
          <w:tcPr>
            <w:tcW w:w="700" w:type="dxa"/>
            <w:vAlign w:val="bottom"/>
            <w:gridSpan w:val="2"/>
          </w:tcPr>
          <w:p>
            <w:pPr>
              <w:jc w:val="right"/>
              <w:ind w:right="400"/>
              <w:spacing w:after="0" w:line="192" w:lineRule="exact"/>
              <w:rPr>
                <w:sz w:val="20"/>
                <w:szCs w:val="20"/>
                <w:color w:val="auto"/>
              </w:rPr>
            </w:pPr>
            <w:r>
              <w:rPr>
                <w:rFonts w:ascii="Times New Roman" w:cs="Times New Roman" w:eastAsia="Times New Roman" w:hAnsi="Times New Roman"/>
                <w:sz w:val="18"/>
                <w:szCs w:val="18"/>
                <w:color w:val="auto"/>
              </w:rPr>
              <w:t>9</w:t>
            </w:r>
          </w:p>
        </w:tc>
        <w:tc>
          <w:tcPr>
            <w:tcW w:w="4020" w:type="dxa"/>
            <w:vAlign w:val="bottom"/>
            <w:tcBorders>
              <w:bottom w:val="single" w:sz="8" w:color="0000EE"/>
            </w:tcBorders>
            <w:gridSpan w:val="4"/>
          </w:tcPr>
          <w:p>
            <w:pPr>
              <w:spacing w:after="0" w:line="192" w:lineRule="exact"/>
              <w:rPr>
                <w:rFonts w:ascii="Times New Roman" w:cs="Times New Roman" w:eastAsia="Times New Roman" w:hAnsi="Times New Roman"/>
                <w:sz w:val="18"/>
                <w:szCs w:val="18"/>
                <w:color w:val="0000EE"/>
                <w:w w:val="96"/>
              </w:rPr>
            </w:pPr>
            <w:hyperlink w:anchor="page172">
              <w:r>
                <w:rPr>
                  <w:rFonts w:ascii="Times New Roman" w:cs="Times New Roman" w:eastAsia="Times New Roman" w:hAnsi="Times New Roman"/>
                  <w:sz w:val="18"/>
                  <w:szCs w:val="18"/>
                  <w:color w:val="0000EE"/>
                  <w:w w:val="96"/>
                </w:rPr>
                <w:t>CERTAIN RELATIONSHIPS AND RELATED PARTY</w:t>
              </w:r>
            </w:hyperlink>
          </w:p>
        </w:tc>
        <w:tc>
          <w:tcPr>
            <w:tcW w:w="108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40" w:type="dxa"/>
            <w:vAlign w:val="bottom"/>
            <w:gridSpan w:val="7"/>
          </w:tcPr>
          <w:p>
            <w:pPr>
              <w:spacing w:after="0" w:line="194" w:lineRule="exact"/>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RISK FACTORS</w:t>
              </w:r>
            </w:hyperlink>
          </w:p>
        </w:tc>
        <w:tc>
          <w:tcPr>
            <w:tcW w:w="70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6"/>
                <w:szCs w:val="16"/>
                <w:color w:val="auto"/>
              </w:rPr>
            </w:pPr>
          </w:p>
        </w:tc>
        <w:tc>
          <w:tcPr>
            <w:tcW w:w="13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7"/>
              </w:rPr>
            </w:pPr>
            <w:hyperlink w:anchor="page172">
              <w:r>
                <w:rPr>
                  <w:rFonts w:ascii="Times New Roman" w:cs="Times New Roman" w:eastAsia="Times New Roman" w:hAnsi="Times New Roman"/>
                  <w:sz w:val="18"/>
                  <w:szCs w:val="18"/>
                  <w:color w:val="0000EE"/>
                  <w:w w:val="97"/>
                </w:rPr>
                <w:t>TRANSACTIONS</w:t>
              </w:r>
            </w:hyperlink>
          </w:p>
        </w:tc>
        <w:tc>
          <w:tcPr>
            <w:tcW w:w="3560" w:type="dxa"/>
            <w:vAlign w:val="bottom"/>
            <w:gridSpan w:val="4"/>
          </w:tcPr>
          <w:p>
            <w:pPr>
              <w:spacing w:after="0"/>
              <w:rPr>
                <w:sz w:val="16"/>
                <w:szCs w:val="16"/>
                <w:color w:val="auto"/>
              </w:rPr>
            </w:pPr>
          </w:p>
        </w:tc>
        <w:tc>
          <w:tcPr>
            <w:tcW w:w="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94"/>
        </w:trPr>
        <w:tc>
          <w:tcPr>
            <w:tcW w:w="5040" w:type="dxa"/>
            <w:vAlign w:val="bottom"/>
            <w:gridSpan w:val="7"/>
          </w:tcPr>
          <w:p>
            <w:pPr>
              <w:spacing w:after="0" w:line="194"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SPECIAL NOTE REGARDING FORWARD-LOOKING</w:t>
              </w:r>
            </w:hyperlink>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100" w:type="dxa"/>
            <w:vAlign w:val="bottom"/>
            <w:gridSpan w:val="6"/>
          </w:tcPr>
          <w:p>
            <w:pPr>
              <w:spacing w:after="0" w:line="194" w:lineRule="exact"/>
              <w:rPr>
                <w:rFonts w:ascii="Times New Roman" w:cs="Times New Roman" w:eastAsia="Times New Roman" w:hAnsi="Times New Roman"/>
                <w:sz w:val="18"/>
                <w:szCs w:val="18"/>
                <w:u w:val="single" w:color="auto"/>
                <w:color w:val="0000EE"/>
              </w:rPr>
            </w:pPr>
            <w:hyperlink w:anchor="page176">
              <w:r>
                <w:rPr>
                  <w:rFonts w:ascii="Times New Roman" w:cs="Times New Roman" w:eastAsia="Times New Roman" w:hAnsi="Times New Roman"/>
                  <w:sz w:val="18"/>
                  <w:szCs w:val="18"/>
                  <w:u w:val="single" w:color="auto"/>
                  <w:color w:val="0000EE"/>
                </w:rPr>
                <w:t>PRINCIPAL STOCKHOLDERS</w:t>
              </w:r>
            </w:hyperlink>
          </w:p>
        </w:tc>
        <w:tc>
          <w:tcPr>
            <w:tcW w:w="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114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w:anchor="page74">
              <w:r>
                <w:rPr>
                  <w:rFonts w:ascii="Times New Roman" w:cs="Times New Roman" w:eastAsia="Times New Roman" w:hAnsi="Times New Roman"/>
                  <w:sz w:val="18"/>
                  <w:szCs w:val="18"/>
                  <w:color w:val="0000EE"/>
                  <w:w w:val="95"/>
                </w:rPr>
                <w:t>STATEMENTS</w:t>
              </w:r>
            </w:hyperlink>
          </w:p>
        </w:tc>
        <w:tc>
          <w:tcPr>
            <w:tcW w:w="2800" w:type="dxa"/>
            <w:vAlign w:val="bottom"/>
            <w:tcBorders>
              <w:top w:val="single" w:sz="8" w:color="0000EE"/>
            </w:tcBorders>
            <w:gridSpan w:val="2"/>
          </w:tcPr>
          <w:p>
            <w:pPr>
              <w:spacing w:after="0"/>
              <w:rPr>
                <w:sz w:val="16"/>
                <w:szCs w:val="16"/>
                <w:color w:val="auto"/>
              </w:rPr>
            </w:pPr>
          </w:p>
        </w:tc>
        <w:tc>
          <w:tcPr>
            <w:tcW w:w="920" w:type="dxa"/>
            <w:vAlign w:val="bottom"/>
            <w:gridSpan w:val="2"/>
          </w:tcPr>
          <w:p>
            <w:pPr>
              <w:spacing w:after="0"/>
              <w:rPr>
                <w:sz w:val="16"/>
                <w:szCs w:val="16"/>
                <w:color w:val="auto"/>
              </w:rPr>
            </w:pPr>
          </w:p>
        </w:tc>
        <w:tc>
          <w:tcPr>
            <w:tcW w:w="70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70</w:t>
            </w:r>
          </w:p>
        </w:tc>
        <w:tc>
          <w:tcPr>
            <w:tcW w:w="5100" w:type="dxa"/>
            <w:vAlign w:val="bottom"/>
            <w:gridSpan w:val="6"/>
          </w:tcPr>
          <w:p>
            <w:pPr>
              <w:spacing w:after="0" w:line="194" w:lineRule="exact"/>
              <w:rPr>
                <w:rFonts w:ascii="Times New Roman" w:cs="Times New Roman" w:eastAsia="Times New Roman" w:hAnsi="Times New Roman"/>
                <w:sz w:val="18"/>
                <w:szCs w:val="18"/>
                <w:u w:val="single" w:color="auto"/>
                <w:color w:val="0000EE"/>
              </w:rPr>
            </w:pPr>
            <w:hyperlink w:anchor="page178">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5040" w:type="dxa"/>
            <w:vAlign w:val="bottom"/>
            <w:gridSpan w:val="7"/>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USE OF PROCEEDS</w:t>
              </w:r>
            </w:hyperlink>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73</w:t>
            </w:r>
          </w:p>
        </w:tc>
        <w:tc>
          <w:tcPr>
            <w:tcW w:w="5100" w:type="dxa"/>
            <w:vAlign w:val="bottom"/>
            <w:gridSpan w:val="6"/>
          </w:tcPr>
          <w:p>
            <w:pPr>
              <w:spacing w:after="0"/>
              <w:rPr>
                <w:rFonts w:ascii="Times New Roman" w:cs="Times New Roman" w:eastAsia="Times New Roman" w:hAnsi="Times New Roman"/>
                <w:sz w:val="18"/>
                <w:szCs w:val="18"/>
                <w:u w:val="single" w:color="auto"/>
                <w:color w:val="0000EE"/>
              </w:rPr>
            </w:pPr>
            <w:hyperlink w:anchor="page185">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92"/>
        </w:trPr>
        <w:tc>
          <w:tcPr>
            <w:tcW w:w="5040" w:type="dxa"/>
            <w:vAlign w:val="bottom"/>
            <w:gridSpan w:val="7"/>
          </w:tcPr>
          <w:p>
            <w:pPr>
              <w:spacing w:after="0" w:line="192" w:lineRule="exact"/>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DIVIDEND POLICY</w:t>
              </w:r>
            </w:hyperlink>
          </w:p>
        </w:tc>
        <w:tc>
          <w:tcPr>
            <w:tcW w:w="700" w:type="dxa"/>
            <w:vAlign w:val="bottom"/>
            <w:gridSpan w:val="2"/>
          </w:tcPr>
          <w:p>
            <w:pPr>
              <w:jc w:val="right"/>
              <w:ind w:right="400"/>
              <w:spacing w:after="0" w:line="192" w:lineRule="exact"/>
              <w:rPr>
                <w:sz w:val="20"/>
                <w:szCs w:val="20"/>
                <w:color w:val="auto"/>
              </w:rPr>
            </w:pPr>
            <w:r>
              <w:rPr>
                <w:rFonts w:ascii="Times New Roman" w:cs="Times New Roman" w:eastAsia="Times New Roman" w:hAnsi="Times New Roman"/>
                <w:sz w:val="18"/>
                <w:szCs w:val="18"/>
                <w:color w:val="auto"/>
              </w:rPr>
              <w:t>75</w:t>
            </w:r>
          </w:p>
        </w:tc>
        <w:tc>
          <w:tcPr>
            <w:tcW w:w="5100" w:type="dxa"/>
            <w:vAlign w:val="bottom"/>
            <w:gridSpan w:val="6"/>
          </w:tcPr>
          <w:p>
            <w:pPr>
              <w:spacing w:after="0" w:line="192" w:lineRule="exact"/>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MATERIAL U.S. FEDERAL INCOME TAX CONSEQUENCES</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40" w:type="dxa"/>
            <w:vAlign w:val="bottom"/>
            <w:gridSpan w:val="7"/>
          </w:tcPr>
          <w:p>
            <w:pPr>
              <w:spacing w:after="0" w:line="194" w:lineRule="exact"/>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CAPITALIZATION</w:t>
              </w:r>
            </w:hyperlink>
          </w:p>
        </w:tc>
        <w:tc>
          <w:tcPr>
            <w:tcW w:w="70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top w:val="single" w:sz="8" w:color="0000EE"/>
            </w:tcBorders>
          </w:tcPr>
          <w:p>
            <w:pPr>
              <w:spacing w:after="0"/>
              <w:rPr>
                <w:sz w:val="16"/>
                <w:szCs w:val="16"/>
                <w:color w:val="auto"/>
              </w:rPr>
            </w:pPr>
          </w:p>
        </w:tc>
        <w:tc>
          <w:tcPr>
            <w:tcW w:w="4520" w:type="dxa"/>
            <w:vAlign w:val="bottom"/>
            <w:tcBorders>
              <w:top w:val="single" w:sz="8" w:color="0000EE"/>
            </w:tcBorders>
            <w:gridSpan w:val="4"/>
          </w:tcPr>
          <w:p>
            <w:pPr>
              <w:spacing w:after="0" w:line="194" w:lineRule="exact"/>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TO NON-U.S. HOLDERS</w:t>
              </w:r>
            </w:hyperlink>
          </w:p>
        </w:tc>
        <w:tc>
          <w:tcPr>
            <w:tcW w:w="400" w:type="dxa"/>
            <w:vAlign w:val="bottom"/>
          </w:tcPr>
          <w:p>
            <w:pPr>
              <w:spacing w:after="0"/>
              <w:rPr>
                <w:sz w:val="16"/>
                <w:szCs w:val="16"/>
                <w:color w:val="auto"/>
              </w:rPr>
            </w:pPr>
          </w:p>
        </w:tc>
        <w:tc>
          <w:tcPr>
            <w:tcW w:w="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5040" w:type="dxa"/>
            <w:vAlign w:val="bottom"/>
            <w:gridSpan w:val="7"/>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7"/>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DILUTION</w:t>
              </w:r>
            </w:hyperlink>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78</w:t>
            </w:r>
          </w:p>
        </w:tc>
        <w:tc>
          <w:tcPr>
            <w:tcW w:w="5100" w:type="dxa"/>
            <w:vAlign w:val="bottom"/>
            <w:gridSpan w:val="6"/>
          </w:tcPr>
          <w:p>
            <w:pPr>
              <w:spacing w:after="0"/>
              <w:rPr>
                <w:rFonts w:ascii="Times New Roman" w:cs="Times New Roman" w:eastAsia="Times New Roman" w:hAnsi="Times New Roman"/>
                <w:sz w:val="18"/>
                <w:szCs w:val="18"/>
                <w:u w:val="single" w:color="auto"/>
                <w:color w:val="0000EE"/>
              </w:rPr>
            </w:pPr>
            <w:hyperlink w:anchor="page192">
              <w:r>
                <w:rPr>
                  <w:rFonts w:ascii="Times New Roman" w:cs="Times New Roman" w:eastAsia="Times New Roman" w:hAnsi="Times New Roman"/>
                  <w:sz w:val="18"/>
                  <w:szCs w:val="18"/>
                  <w:u w:val="single" w:color="auto"/>
                  <w:color w:val="0000EE"/>
                </w:rPr>
                <w:t>UNDERWRITERS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4"/>
        </w:trPr>
        <w:tc>
          <w:tcPr>
            <w:tcW w:w="5040" w:type="dxa"/>
            <w:vAlign w:val="bottom"/>
            <w:gridSpan w:val="7"/>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SELECTED FINANCIAL DATA</w:t>
              </w:r>
            </w:hyperlink>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81</w:t>
            </w:r>
          </w:p>
        </w:tc>
        <w:tc>
          <w:tcPr>
            <w:tcW w:w="5100" w:type="dxa"/>
            <w:vAlign w:val="bottom"/>
            <w:gridSpan w:val="6"/>
          </w:tcPr>
          <w:p>
            <w:pPr>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LEGAL MATTERS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8"/>
              </w:rPr>
            </w:pPr>
            <w:hyperlink w:anchor="page87">
              <w:r>
                <w:rPr>
                  <w:rFonts w:ascii="Times New Roman" w:cs="Times New Roman" w:eastAsia="Times New Roman" w:hAnsi="Times New Roman"/>
                  <w:sz w:val="18"/>
                  <w:szCs w:val="18"/>
                  <w:color w:val="0000EE"/>
                  <w:w w:val="98"/>
                </w:rPr>
                <w:t>MANAGEMENT’S DISCUSSION AND ANALYSIS OF</w:t>
              </w:r>
            </w:hyperlink>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100" w:type="dxa"/>
            <w:vAlign w:val="bottom"/>
            <w:gridSpan w:val="6"/>
          </w:tcPr>
          <w:p>
            <w:pPr>
              <w:spacing w:after="0" w:line="192" w:lineRule="exact"/>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EXPERTS</w:t>
              </w:r>
            </w:hyperlink>
          </w:p>
        </w:tc>
        <w:tc>
          <w:tcPr>
            <w:tcW w:w="3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4860" w:type="dxa"/>
            <w:vAlign w:val="bottom"/>
            <w:gridSpan w:val="6"/>
          </w:tcPr>
          <w:p>
            <w:pPr>
              <w:spacing w:after="0" w:line="194"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FINANCIAL CONDITION AND RESULTS OF</w:t>
              </w:r>
            </w:hyperlink>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100" w:type="dxa"/>
            <w:vAlign w:val="bottom"/>
            <w:gridSpan w:val="6"/>
          </w:tcPr>
          <w:p>
            <w:pPr>
              <w:spacing w:after="0" w:line="194" w:lineRule="exact"/>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ADDITIONAL INFORMATION</w:t>
              </w:r>
            </w:hyperlink>
          </w:p>
        </w:tc>
        <w:tc>
          <w:tcPr>
            <w:tcW w:w="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100" w:type="dxa"/>
            <w:vAlign w:val="bottom"/>
            <w:tcBorders>
              <w:top w:val="single" w:sz="8" w:color="0000EE"/>
              <w:bottom w:val="single" w:sz="8" w:color="0000EE"/>
            </w:tcBorders>
          </w:tcPr>
          <w:p>
            <w:pPr>
              <w:spacing w:after="0" w:line="194" w:lineRule="exact"/>
              <w:rPr>
                <w:rFonts w:ascii="Times New Roman" w:cs="Times New Roman" w:eastAsia="Times New Roman" w:hAnsi="Times New Roman"/>
                <w:sz w:val="18"/>
                <w:szCs w:val="18"/>
                <w:color w:val="0000EE"/>
                <w:w w:val="96"/>
              </w:rPr>
            </w:pPr>
            <w:hyperlink w:anchor="page87">
              <w:r>
                <w:rPr>
                  <w:rFonts w:ascii="Times New Roman" w:cs="Times New Roman" w:eastAsia="Times New Roman" w:hAnsi="Times New Roman"/>
                  <w:sz w:val="18"/>
                  <w:szCs w:val="18"/>
                  <w:color w:val="0000EE"/>
                  <w:w w:val="96"/>
                </w:rPr>
                <w:t>OPERATIONS</w:t>
              </w:r>
            </w:hyperlink>
          </w:p>
        </w:tc>
        <w:tc>
          <w:tcPr>
            <w:tcW w:w="2400" w:type="dxa"/>
            <w:vAlign w:val="bottom"/>
            <w:tcBorders>
              <w:top w:val="single" w:sz="8" w:color="0000EE"/>
            </w:tcBorders>
            <w:gridSpan w:val="2"/>
          </w:tcPr>
          <w:p>
            <w:pPr>
              <w:spacing w:after="0"/>
              <w:rPr>
                <w:sz w:val="16"/>
                <w:szCs w:val="16"/>
                <w:color w:val="auto"/>
              </w:rPr>
            </w:pPr>
          </w:p>
        </w:tc>
        <w:tc>
          <w:tcPr>
            <w:tcW w:w="1360" w:type="dxa"/>
            <w:vAlign w:val="bottom"/>
            <w:gridSpan w:val="3"/>
          </w:tcPr>
          <w:p>
            <w:pPr>
              <w:spacing w:after="0"/>
              <w:rPr>
                <w:sz w:val="16"/>
                <w:szCs w:val="16"/>
                <w:color w:val="auto"/>
              </w:rPr>
            </w:pPr>
          </w:p>
        </w:tc>
        <w:tc>
          <w:tcPr>
            <w:tcW w:w="70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5100" w:type="dxa"/>
            <w:vAlign w:val="bottom"/>
            <w:gridSpan w:val="6"/>
          </w:tcPr>
          <w:p>
            <w:pPr>
              <w:spacing w:after="0" w:line="194" w:lineRule="exact"/>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35"/>
        </w:trPr>
        <w:tc>
          <w:tcPr>
            <w:tcW w:w="5040" w:type="dxa"/>
            <w:vAlign w:val="bottom"/>
            <w:gridSpan w:val="7"/>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BUSINESS</w:t>
              </w:r>
            </w:hyperlink>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313690</wp:posOffset>
            </wp:positionV>
            <wp:extent cx="14947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w:t>
      </w:r>
    </w:p>
    <w:p>
      <w:pPr>
        <w:spacing w:after="0" w:line="184"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20" w:top="454" w:right="3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mark “Prelude Therapeutics,” the Prelude logo and all product names are our common law trademarks. All other service marks, trademarks and trade names appearing in this prospectus are the property of their respective owners. Solely for convenience, the trademarks and tradenames referred to in this prospectus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20" w:top="454" w:right="3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592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035" cy="55924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3" w:lineRule="exact"/>
        <w:rPr>
          <w:sz w:val="20"/>
          <w:szCs w:val="20"/>
          <w:color w:val="auto"/>
        </w:rPr>
      </w:pPr>
    </w:p>
    <w:p>
      <w:pPr>
        <w:ind w:left="200" w:right="40" w:firstLine="434"/>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thereto and the information set forth under the sections entitled “Risk Factors,” “Selected Financial Data” and “Management’s Discussion and Analysis of Financial Condition and Results of Operations,” in each case included in this prospectus. Some of the statements in this prospectus constitute forward-looking statements that involve risks and uncertainties. See the section entitled “Special Note Regarding Forward-Looking Statements.” Unless the context otherwise requires, we use the terms “Prelude,” “the company,” “we,” “us” and “our” in this prospectus to refer to Prelude Therapeutics Incorporated.</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three investigational new drug applications, or INDs, and successfully advanced these three programs into clinical development. In addition, we have three unique programs in various stages of preclinical development that we plan to advance into clinical development beginning in 2021.</w:t>
      </w:r>
    </w:p>
    <w:p>
      <w:pPr>
        <w:spacing w:after="0" w:line="187" w:lineRule="exact"/>
        <w:rPr>
          <w:sz w:val="20"/>
          <w:szCs w:val="20"/>
          <w:color w:val="auto"/>
        </w:rPr>
      </w:pPr>
    </w:p>
    <w:p>
      <w:pPr>
        <w:ind w:left="200" w:right="80" w:firstLine="434"/>
        <w:spacing w:after="0" w:line="254" w:lineRule="auto"/>
        <w:rPr>
          <w:sz w:val="20"/>
          <w:szCs w:val="20"/>
          <w:color w:val="auto"/>
        </w:rPr>
      </w:pPr>
      <w:r>
        <w:rPr>
          <w:rFonts w:ascii="Times New Roman" w:cs="Times New Roman" w:eastAsia="Times New Roman" w:hAnsi="Times New Roman"/>
          <w:sz w:val="18"/>
          <w:szCs w:val="18"/>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84" w:lineRule="exact"/>
        <w:rPr>
          <w:sz w:val="20"/>
          <w:szCs w:val="20"/>
          <w:color w:val="auto"/>
        </w:rPr>
      </w:pPr>
    </w:p>
    <w:p>
      <w:pPr>
        <w:ind w:left="200" w:right="20" w:firstLine="434"/>
        <w:spacing w:after="0" w:line="267" w:lineRule="auto"/>
        <w:rPr>
          <w:sz w:val="20"/>
          <w:szCs w:val="20"/>
          <w:color w:val="auto"/>
        </w:rPr>
      </w:pPr>
      <w:r>
        <w:rPr>
          <w:rFonts w:ascii="Times New Roman" w:cs="Times New Roman" w:eastAsia="Times New Roman" w:hAnsi="Times New Roman"/>
          <w:sz w:val="17"/>
          <w:szCs w:val="17"/>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We are currently advancing our first clinical candidate, PRT543, in a Phase 1 clinical trial in select solid tumors and myeloid malignancies in patients who are refractory to or intolerant of established therapies. Interim Phase 1 results indicate dose-dependent increases in exposure and target engagement, and we have observed early signs of clinical activity, including a confirmed complete response, or CR, in a patient with HRD+ high grade serous ovarian cancer. A complete response is defined as the disappearance of all target lesions. While we will need to enroll and demonstrate objective responses in additional patients to support further development and potential approval by the FDA or other regulatory authorities, and while such approval is not guaranteed, we are encouraged by the clinical activity to date. We anticipate enrollment in expansion cohorts in our ongoing Phase 1 trial beginning in the second half of 2020 and expect clinical data beginning in the first half of 2021. We are also advancing PRT811, a second PRMT5 inhibitor that we have optimized for high brain exposure, in a Phase 1 clinical trial in solid tumors, including GBM. We expect to begin enrolling patients in the expansion portion of the Phase 1 clinical trial in the first half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320" w:top="454" w:right="5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6653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66535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right="180"/>
        <w:spacing w:after="0" w:line="255" w:lineRule="auto"/>
        <w:rPr>
          <w:sz w:val="20"/>
          <w:szCs w:val="20"/>
          <w:color w:val="auto"/>
        </w:rPr>
      </w:pPr>
      <w:r>
        <w:rPr>
          <w:rFonts w:ascii="Times New Roman" w:cs="Times New Roman" w:eastAsia="Times New Roman" w:hAnsi="Times New Roman"/>
          <w:sz w:val="18"/>
          <w:szCs w:val="18"/>
          <w:color w:val="auto"/>
        </w:rPr>
        <w:t>of 2021 and anticipate initial clinical data from these expansion cohorts by the end of 2021. We have also received FDA clearance of our IND for PRT1419, which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are initiating a Phase 1 clinical trial in relapsed/refractory patients with myelodysplastic syndrome, or MDS, acute myeloid leukemia, or AML, non-Hodgkin’s lymphoma, or NHL, and multiple myeloma, or MM, in the second half of 2020.</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pipeline is summarized in the figure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Prelude Discovery and Development Approach</w:t>
      </w:r>
    </w:p>
    <w:p>
      <w:pPr>
        <w:spacing w:after="0" w:line="118" w:lineRule="exact"/>
        <w:rPr>
          <w:sz w:val="20"/>
          <w:szCs w:val="20"/>
          <w:color w:val="auto"/>
        </w:rPr>
      </w:pPr>
    </w:p>
    <w:p>
      <w:pPr>
        <w:ind w:left="200" w:right="640" w:firstLine="434"/>
        <w:spacing w:after="0" w:line="278" w:lineRule="auto"/>
        <w:rPr>
          <w:sz w:val="20"/>
          <w:szCs w:val="20"/>
          <w:color w:val="auto"/>
        </w:rPr>
      </w:pPr>
      <w:r>
        <w:rPr>
          <w:rFonts w:ascii="Times New Roman" w:cs="Times New Roman" w:eastAsia="Times New Roman" w:hAnsi="Times New Roman"/>
          <w:sz w:val="18"/>
          <w:szCs w:val="18"/>
          <w:color w:val="auto"/>
        </w:rPr>
        <w:t>We carefully evaluate and select our targets based on three key pillars, which provide a framework for optimizing our drug discovery and development efforts.</w:t>
      </w:r>
    </w:p>
    <w:p>
      <w:pPr>
        <w:spacing w:after="0" w:line="69" w:lineRule="exact"/>
        <w:rPr>
          <w:sz w:val="20"/>
          <w:szCs w:val="20"/>
          <w:color w:val="auto"/>
        </w:rPr>
      </w:pPr>
    </w:p>
    <w:p>
      <w:pPr>
        <w:ind w:left="1160" w:hanging="539"/>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target mechanisms with compelling biological rationale</w:t>
      </w:r>
    </w:p>
    <w:p>
      <w:pPr>
        <w:spacing w:after="0" w:line="125" w:lineRule="exact"/>
        <w:rPr>
          <w:rFonts w:ascii="Times New Roman" w:cs="Times New Roman" w:eastAsia="Times New Roman" w:hAnsi="Times New Roman"/>
          <w:sz w:val="18"/>
          <w:szCs w:val="18"/>
          <w:color w:val="auto"/>
        </w:rPr>
      </w:pPr>
    </w:p>
    <w:p>
      <w:pPr>
        <w:ind w:left="1600" w:right="160" w:hanging="431"/>
        <w:spacing w:after="0" w:line="280" w:lineRule="auto"/>
        <w:tabs>
          <w:tab w:leader="none" w:pos="1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target mechanisms of focus include: transcriptional regulation, deoxyribonucleic acid, or DNA, repair pathway, cell cycle regulation, exploitation of synthetic lethality and brain penetrant molecules</w:t>
      </w:r>
    </w:p>
    <w:p>
      <w:pPr>
        <w:spacing w:after="0" w:line="67" w:lineRule="exact"/>
        <w:rPr>
          <w:rFonts w:ascii="Times New Roman" w:cs="Times New Roman" w:eastAsia="Times New Roman" w:hAnsi="Times New Roman"/>
          <w:sz w:val="18"/>
          <w:szCs w:val="18"/>
          <w:color w:val="auto"/>
        </w:rPr>
      </w:pPr>
    </w:p>
    <w:p>
      <w:pPr>
        <w:ind w:left="1160" w:hanging="539"/>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our advanced medicinal chemistry capabilities to create better product candidates</w:t>
      </w:r>
    </w:p>
    <w:p>
      <w:pPr>
        <w:spacing w:after="0" w:line="125" w:lineRule="exact"/>
        <w:rPr>
          <w:rFonts w:ascii="Times New Roman" w:cs="Times New Roman" w:eastAsia="Times New Roman" w:hAnsi="Times New Roman"/>
          <w:sz w:val="18"/>
          <w:szCs w:val="18"/>
          <w:color w:val="auto"/>
        </w:rPr>
      </w:pPr>
    </w:p>
    <w:p>
      <w:pPr>
        <w:ind w:left="1600" w:hanging="431"/>
        <w:spacing w:after="0"/>
        <w:tabs>
          <w:tab w:leader="none" w:pos="1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view all target classes equally and strive to invent clinical candidates that meet our desired target product profiles</w:t>
      </w:r>
    </w:p>
    <w:p>
      <w:pPr>
        <w:spacing w:after="0" w:line="129" w:lineRule="exact"/>
        <w:rPr>
          <w:rFonts w:ascii="Times New Roman" w:cs="Times New Roman" w:eastAsia="Times New Roman" w:hAnsi="Times New Roman"/>
          <w:sz w:val="18"/>
          <w:szCs w:val="18"/>
          <w:color w:val="auto"/>
        </w:rPr>
      </w:pPr>
    </w:p>
    <w:p>
      <w:pPr>
        <w:ind w:left="1160" w:hanging="539"/>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Pursue targets that drive cancers with high unmet need</w:t>
      </w:r>
    </w:p>
    <w:p>
      <w:pPr>
        <w:spacing w:after="0" w:line="125" w:lineRule="exact"/>
        <w:rPr>
          <w:rFonts w:ascii="Times New Roman" w:cs="Times New Roman" w:eastAsia="Times New Roman" w:hAnsi="Times New Roman"/>
          <w:sz w:val="18"/>
          <w:szCs w:val="18"/>
          <w:color w:val="auto"/>
        </w:rPr>
      </w:pPr>
    </w:p>
    <w:p>
      <w:pPr>
        <w:ind w:left="1600" w:right="800" w:hanging="431"/>
        <w:spacing w:after="0" w:line="280" w:lineRule="auto"/>
        <w:tabs>
          <w:tab w:leader="none" w:pos="1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on targets that allow us to select patients and cancers with high unmet need with no approved therapies, or patient populations that are underserved by approved treatments</w:t>
      </w:r>
    </w:p>
    <w:p>
      <w:pPr>
        <w:spacing w:after="0" w:line="161" w:lineRule="exact"/>
        <w:rPr>
          <w:sz w:val="20"/>
          <w:szCs w:val="20"/>
          <w:color w:val="auto"/>
        </w:rPr>
      </w:pPr>
    </w:p>
    <w:p>
      <w:pPr>
        <w:jc w:val="both"/>
        <w:ind w:left="200" w:firstLine="434"/>
        <w:spacing w:after="0" w:line="258" w:lineRule="auto"/>
        <w:rPr>
          <w:sz w:val="20"/>
          <w:szCs w:val="20"/>
          <w:color w:val="auto"/>
        </w:rPr>
      </w:pPr>
      <w:r>
        <w:rPr>
          <w:rFonts w:ascii="Times New Roman" w:cs="Times New Roman" w:eastAsia="Times New Roman" w:hAnsi="Times New Roman"/>
          <w:sz w:val="18"/>
          <w:szCs w:val="18"/>
          <w:color w:val="auto"/>
        </w:rPr>
        <w:t>Once we have identified optimal targets using the three pillars above, we engage our unique discovery engine to rapidly and efficiently invent and develop molecules. We believe our expertise, capabilities and experience to select high value biological targets and invent molecules with an optimized balance of biological and chemical properties differentiates us from others in the precision oncology space. We believe our unique discovery engine will enable us to continue delivering a new IND every 12 to 18 months.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4" w:right="5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864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035" cy="58642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right="20" w:firstLine="434"/>
        <w:spacing w:after="0" w:line="263" w:lineRule="auto"/>
        <w:rPr>
          <w:sz w:val="20"/>
          <w:szCs w:val="20"/>
          <w:color w:val="auto"/>
        </w:rPr>
      </w:pPr>
      <w:r>
        <w:rPr>
          <w:rFonts w:ascii="Times New Roman" w:cs="Times New Roman" w:eastAsia="Times New Roman" w:hAnsi="Times New Roman"/>
          <w:sz w:val="18"/>
          <w:szCs w:val="18"/>
          <w:color w:val="auto"/>
        </w:rPr>
        <w:t>We design our clinical trials to leverage the broad utility of our compounds with a focus on efficient regulatory pathways to enable our potentially transformative medicines to quickly reach patients with high unmet medical need. By focusing on validated cancer signaling pathways and early clinical proof-of-concept, we seek to advance our programs through expedited approval processes.</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18"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color w:val="auto"/>
        </w:rPr>
        <w:t>Our first two candidates, PRT543 and PRT811, are designed to be potent, selective and oral inhibitors of PRMT5. We believe targeting PRMT5 has broad applicability and a strong scientific rationale for the treatment of cancer as it regulates transcription, translation and messenger ribonucleic acid, or mRNA, as well as the splicing of cancer related genes. Inhibition of PRMT5 has been observed to suppress tumor growth and produce synthetic lethality preclinically.</w:t>
      </w:r>
    </w:p>
    <w:p>
      <w:pPr>
        <w:spacing w:after="0" w:line="180" w:lineRule="exact"/>
        <w:rPr>
          <w:sz w:val="20"/>
          <w:szCs w:val="20"/>
          <w:color w:val="auto"/>
        </w:rPr>
      </w:pPr>
    </w:p>
    <w:p>
      <w:pPr>
        <w:ind w:left="200" w:firstLine="434"/>
        <w:spacing w:after="0" w:line="250" w:lineRule="auto"/>
        <w:rPr>
          <w:sz w:val="20"/>
          <w:szCs w:val="20"/>
          <w:color w:val="auto"/>
        </w:rPr>
      </w:pPr>
      <w:r>
        <w:rPr>
          <w:rFonts w:ascii="Times New Roman" w:cs="Times New Roman" w:eastAsia="Times New Roman" w:hAnsi="Times New Roman"/>
          <w:sz w:val="18"/>
          <w:szCs w:val="18"/>
          <w:color w:val="auto"/>
        </w:rPr>
        <w:t xml:space="preserve">PRT543, our first clinical candidate, is currently in a Phase 1 clinical trial in advanced solid tumors and select myeloid malignancies. We have been encouraged by both the clinical activity and tolerability data that have been seen in 41 patients (29 with advanced solid tumors, one with NHL, nine with MF and two with MDS) that have enrolled into the dose escalation portion of the study as of our data cutoff date of September 1, 2020. We have observed early signs of clinical activity, including a confirmed CR per RECIST v1.1, in a patient with HRD+ high grade serous ovarian cancer, in the 35 mg 5x/week (once a day, for five days, with two days off) cohort. We will need to enroll and demonstrate objective responses in additional patients to support further development and potential approval by FDA or other regulatory authorities, and such approval is not guaranteed. In addition, extended duration of therapy and improvements in symptoms have been observed in several patients with MF, with one patient demonstrating a response of clinical improvement and another patient showing an approximately 66% reduction in Total Symptom Score, or TSS, a validated clinical endpoint in MF. Clinical improvement means an achievement in anemia, spleen, or symptom response without progressive disease or increase in the severity of anemia, thrombocytopenia or neutropenia. Upon establishing a recommended expansion dose, we plan to begin enrolling patients in the expansion portion of the Phase 1 clinical trial in select tumor types that are potentially driven by </w:t>
      </w:r>
      <w:r>
        <w:rPr>
          <w:rFonts w:ascii="Times New Roman" w:cs="Times New Roman" w:eastAsia="Times New Roman" w:hAnsi="Times New Roman"/>
          <w:sz w:val="18"/>
          <w:szCs w:val="18"/>
          <w:i w:val="1"/>
          <w:iCs w:val="1"/>
          <w:color w:val="auto"/>
        </w:rPr>
        <w:t>PRMT5</w:t>
      </w:r>
      <w:r>
        <w:rPr>
          <w:rFonts w:ascii="Times New Roman" w:cs="Times New Roman" w:eastAsia="Times New Roman" w:hAnsi="Times New Roman"/>
          <w:sz w:val="18"/>
          <w:szCs w:val="18"/>
          <w:color w:val="auto"/>
        </w:rPr>
        <w:t xml:space="preserve"> dysregulation. These tumor types include ACC, MF, genomically selected MDS and HRD+ tumors. We anticipate enrollment into these expansion cohorts to begin in the second half of 2020 and clinical data beginning in the first half of 2021.</w:t>
      </w:r>
    </w:p>
    <w:p>
      <w:pPr>
        <w:spacing w:after="0" w:line="193" w:lineRule="exact"/>
        <w:rPr>
          <w:sz w:val="20"/>
          <w:szCs w:val="20"/>
          <w:color w:val="auto"/>
        </w:rPr>
      </w:pPr>
    </w:p>
    <w:p>
      <w:pPr>
        <w:ind w:left="200" w:right="180" w:firstLine="434"/>
        <w:spacing w:after="0" w:line="255" w:lineRule="auto"/>
        <w:rPr>
          <w:sz w:val="20"/>
          <w:szCs w:val="20"/>
          <w:color w:val="auto"/>
        </w:rPr>
      </w:pPr>
      <w:r>
        <w:rPr>
          <w:rFonts w:ascii="Times New Roman" w:cs="Times New Roman" w:eastAsia="Times New Roman" w:hAnsi="Times New Roman"/>
          <w:sz w:val="18"/>
          <w:szCs w:val="18"/>
          <w:color w:val="auto"/>
        </w:rPr>
        <w:t>PRT811, our second clinical candidate, is currently advancing in the dose escalation portion of a Phase 1 clinical trial in solid tumors, including GBM and primary central nervous system lymphomas, or PCNSL. PRT811 has been optimized for high brain exposure and hence we believe is uniquely positioned to treat PRMT5 sensitive CNS cancers. We plan to initially enroll patients in the expansion portion of the clinical trial with GBM and PCNSL once we have established an expansion dose. We expect these expansions to begin in the first half of 2021 and anticipate initial clinical results from these expansion cohorts by the end of 2021.</w:t>
      </w:r>
    </w:p>
    <w:p>
      <w:pPr>
        <w:spacing w:after="0" w:line="184" w:lineRule="exact"/>
        <w:rPr>
          <w:sz w:val="20"/>
          <w:szCs w:val="20"/>
          <w:color w:val="auto"/>
        </w:rPr>
      </w:pPr>
    </w:p>
    <w:p>
      <w:pPr>
        <w:ind w:left="200" w:right="80" w:firstLine="434"/>
        <w:spacing w:after="0" w:line="254" w:lineRule="auto"/>
        <w:rPr>
          <w:sz w:val="20"/>
          <w:szCs w:val="20"/>
          <w:color w:val="auto"/>
        </w:rPr>
      </w:pPr>
      <w:r>
        <w:rPr>
          <w:rFonts w:ascii="Times New Roman" w:cs="Times New Roman" w:eastAsia="Times New Roman" w:hAnsi="Times New Roman"/>
          <w:sz w:val="18"/>
          <w:szCs w:val="18"/>
          <w:color w:val="auto"/>
        </w:rPr>
        <w:t xml:space="preserve">PRT1419, our third clinical candidate, is designed to be a potent and selective inhibitor of the anti-apoptotic protein, MCL1. We believe hematological malignancies are particularly sensitive to MCL1 inhibitors.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upregulation has been noted as a mechanism of acquired resistance to venetoclax and tyrosine kinase inhibitors, or TKIs. In addition, certain solid tumors are responsive to MCL1 inhibition, informing a potential patient selection strategy. We have received FDA clearance of our IND for our oral formulation, and we expect to advance PRT1419 in a Phase 1 clinical trial in high risk MDS, AML, NHL and MM patients in the second half of 2020 including in an expansion cohort in combination with azacitidine or venetoclax in patients with MDS or AML.</w:t>
      </w:r>
    </w:p>
    <w:p>
      <w:pPr>
        <w:spacing w:after="0" w:line="184" w:lineRule="exact"/>
        <w:rPr>
          <w:sz w:val="20"/>
          <w:szCs w:val="20"/>
          <w:color w:val="auto"/>
        </w:rPr>
      </w:pPr>
    </w:p>
    <w:p>
      <w:pPr>
        <w:ind w:left="200" w:right="60" w:firstLine="434"/>
        <w:spacing w:after="0" w:line="285" w:lineRule="auto"/>
        <w:rPr>
          <w:sz w:val="20"/>
          <w:szCs w:val="20"/>
          <w:color w:val="auto"/>
        </w:rPr>
      </w:pPr>
      <w:r>
        <w:rPr>
          <w:rFonts w:ascii="Times New Roman" w:cs="Times New Roman" w:eastAsia="Times New Roman" w:hAnsi="Times New Roman"/>
          <w:sz w:val="17"/>
          <w:szCs w:val="17"/>
          <w:color w:val="auto"/>
        </w:rPr>
        <w:t>In addition to our three clinical stage candidates, our two most advanced preclinical programs target cyclin-dependent kinase 9, or CDK9, and Brahma homologue, or BRM, otherwise known as SMARCA2, respectively. PRT2527, designed to be a potent and selective CDK9 inhibitor, has entered IND-enabling studies with an IND submission expected in 2021. We have also identified SMARCA2 protein degraders that appear to be potent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40"/>
          </w:cols>
          <w:pgMar w:left="320" w:top="454" w:right="5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932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59321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200" w:right="40"/>
        <w:spacing w:after="0" w:line="263" w:lineRule="auto"/>
        <w:rPr>
          <w:sz w:val="20"/>
          <w:szCs w:val="20"/>
          <w:color w:val="auto"/>
        </w:rPr>
      </w:pPr>
      <w:r>
        <w:rPr>
          <w:rFonts w:ascii="Times New Roman" w:cs="Times New Roman" w:eastAsia="Times New Roman" w:hAnsi="Times New Roman"/>
          <w:sz w:val="18"/>
          <w:szCs w:val="18"/>
          <w:color w:val="auto"/>
        </w:rPr>
        <w:t>based on preclinical data demonstrating degradation of SMARCA2 at sub-nanomolar concentration. Optimization of the lead compound, PRT-SCA2, is progressing, and we expect to initiate IND-enabling studies in 2021. Our sixth program is exploring a kinase target for solid tumors. We are optimizing our lead compound, PRT-K4, and expect to begin IND-enabling studies in 2021.</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18" w:lineRule="exact"/>
        <w:rPr>
          <w:sz w:val="20"/>
          <w:szCs w:val="20"/>
          <w:color w:val="auto"/>
        </w:rPr>
      </w:pPr>
    </w:p>
    <w:p>
      <w:pPr>
        <w:ind w:left="200" w:firstLine="434"/>
        <w:spacing w:after="0" w:line="255" w:lineRule="auto"/>
        <w:rPr>
          <w:sz w:val="20"/>
          <w:szCs w:val="20"/>
          <w:color w:val="auto"/>
        </w:rPr>
      </w:pPr>
      <w:r>
        <w:rPr>
          <w:rFonts w:ascii="Times New Roman" w:cs="Times New Roman" w:eastAsia="Times New Roman" w:hAnsi="Times New Roman"/>
          <w:sz w:val="18"/>
          <w:szCs w:val="18"/>
          <w:color w:val="auto"/>
        </w:rPr>
        <w:t>We were founded in 2016 by Kris Vaddi, Ph.D., a founding scientist at Incyte, and have assembled an experienced management team and board of directors with deep expertise in oncology and drug development. We have built from the “ground up” our internal discovery team, led by scientific and medical teams with deep expertise and proven capabilities in inventing and rapidly advancing small molecule medicines that address important gaps in the current precision oncology ecosystem. Members of our management team have successfully developed and commercialized numerous drugs such as Jakafi, Olumiant, Velcade, VITRAKVI, Retevmo, Tabrecta and Pemazyre.</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18" w:lineRule="exact"/>
        <w:rPr>
          <w:sz w:val="20"/>
          <w:szCs w:val="20"/>
          <w:color w:val="auto"/>
        </w:rPr>
      </w:pPr>
    </w:p>
    <w:p>
      <w:pPr>
        <w:ind w:left="200" w:right="160" w:firstLine="434"/>
        <w:spacing w:after="0" w:line="258"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common stock. These risks are discussed more fully in the section titled “Risk Factors” beginning on page 11 of this prospectus, and include the following:</w:t>
      </w:r>
    </w:p>
    <w:p>
      <w:pPr>
        <w:spacing w:after="0" w:line="86" w:lineRule="exact"/>
        <w:rPr>
          <w:sz w:val="20"/>
          <w:szCs w:val="20"/>
          <w:color w:val="auto"/>
        </w:rPr>
      </w:pPr>
    </w:p>
    <w:p>
      <w:pPr>
        <w:ind w:left="1160" w:right="260" w:hanging="539"/>
        <w:spacing w:after="0" w:line="263"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81" w:lineRule="exact"/>
        <w:rPr>
          <w:rFonts w:ascii="Times New Roman" w:cs="Times New Roman" w:eastAsia="Times New Roman" w:hAnsi="Times New Roman"/>
          <w:sz w:val="18"/>
          <w:szCs w:val="18"/>
          <w:color w:val="auto"/>
        </w:rPr>
      </w:pPr>
    </w:p>
    <w:p>
      <w:pPr>
        <w:ind w:left="1160" w:right="40" w:hanging="539"/>
        <w:spacing w:after="0" w:line="263"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this offering is successful, we will require substantial additional funding to pursue our business objectives. If we are unable to raise capital when needed or on terms acceptable to us, we could be forced to delay, reduce or eliminate our research or drug development programs or any future commercialization efforts or other operations.</w:t>
      </w:r>
    </w:p>
    <w:p>
      <w:pPr>
        <w:spacing w:after="0" w:line="81" w:lineRule="exact"/>
        <w:rPr>
          <w:rFonts w:ascii="Times New Roman" w:cs="Times New Roman" w:eastAsia="Times New Roman" w:hAnsi="Times New Roman"/>
          <w:sz w:val="18"/>
          <w:szCs w:val="18"/>
          <w:color w:val="auto"/>
        </w:rPr>
      </w:pPr>
    </w:p>
    <w:p>
      <w:pPr>
        <w:ind w:left="1160" w:right="440" w:hanging="539"/>
        <w:spacing w:after="0" w:line="27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68" w:lineRule="exact"/>
        <w:rPr>
          <w:rFonts w:ascii="Times New Roman" w:cs="Times New Roman" w:eastAsia="Times New Roman" w:hAnsi="Times New Roman"/>
          <w:sz w:val="18"/>
          <w:szCs w:val="18"/>
          <w:color w:val="auto"/>
        </w:rPr>
      </w:pPr>
    </w:p>
    <w:p>
      <w:pPr>
        <w:ind w:left="1160" w:right="740" w:hanging="539"/>
        <w:spacing w:after="0" w:line="263"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our product candidates, PRT543, PRT811 and PRT1419,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81" w:lineRule="exact"/>
        <w:rPr>
          <w:rFonts w:ascii="Times New Roman" w:cs="Times New Roman" w:eastAsia="Times New Roman" w:hAnsi="Times New Roman"/>
          <w:sz w:val="18"/>
          <w:szCs w:val="18"/>
          <w:color w:val="auto"/>
        </w:rPr>
      </w:pPr>
    </w:p>
    <w:p>
      <w:pPr>
        <w:ind w:left="1160" w:right="20" w:hanging="539"/>
        <w:spacing w:after="0" w:line="27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pharmaceutical products are subject to extensive regulation, and we may not obtain regulatory approvals for PRT543, PRT811, PRT1419 or any other product candidates, on a timely basis or at all.</w:t>
      </w:r>
    </w:p>
    <w:p>
      <w:pPr>
        <w:spacing w:after="0" w:line="68" w:lineRule="exact"/>
        <w:rPr>
          <w:rFonts w:ascii="Times New Roman" w:cs="Times New Roman" w:eastAsia="Times New Roman" w:hAnsi="Times New Roman"/>
          <w:sz w:val="18"/>
          <w:szCs w:val="18"/>
          <w:color w:val="auto"/>
        </w:rPr>
      </w:pPr>
    </w:p>
    <w:p>
      <w:pPr>
        <w:ind w:left="1160" w:right="400" w:hanging="539"/>
        <w:spacing w:after="0" w:line="27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intend to continue to rely, on third parties to conduct our clinical trials and perform some of our research and preclinical studies.</w:t>
      </w:r>
    </w:p>
    <w:p>
      <w:pPr>
        <w:spacing w:after="0" w:line="68" w:lineRule="exact"/>
        <w:rPr>
          <w:rFonts w:ascii="Times New Roman" w:cs="Times New Roman" w:eastAsia="Times New Roman" w:hAnsi="Times New Roman"/>
          <w:sz w:val="18"/>
          <w:szCs w:val="18"/>
          <w:color w:val="auto"/>
        </w:rPr>
      </w:pPr>
    </w:p>
    <w:p>
      <w:pPr>
        <w:ind w:left="1160" w:right="560" w:hanging="539"/>
        <w:spacing w:after="0" w:line="27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third-party suppliers, including single source suppliers, to manufacture preclinical and clinical supplies of our product candidates and we intend to rely on third parties to produce commercial supplies of any approved product candidate.</w:t>
      </w:r>
    </w:p>
    <w:p>
      <w:pPr>
        <w:spacing w:after="0" w:line="68" w:lineRule="exact"/>
        <w:rPr>
          <w:rFonts w:ascii="Times New Roman" w:cs="Times New Roman" w:eastAsia="Times New Roman" w:hAnsi="Times New Roman"/>
          <w:sz w:val="18"/>
          <w:szCs w:val="18"/>
          <w:color w:val="auto"/>
        </w:rPr>
      </w:pPr>
    </w:p>
    <w:p>
      <w:pPr>
        <w:ind w:left="1160" w:right="240" w:hanging="539"/>
        <w:spacing w:after="0" w:line="27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our product candidates, or if the scope of the patent protection is not sufficiently broad, third parties, including our competitors, could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454" w:right="5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6398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035" cy="63988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right="340"/>
        <w:spacing w:after="0" w:line="278" w:lineRule="auto"/>
        <w:rPr>
          <w:sz w:val="20"/>
          <w:szCs w:val="20"/>
          <w:color w:val="auto"/>
        </w:rPr>
      </w:pPr>
      <w:r>
        <w:rPr>
          <w:rFonts w:ascii="Times New Roman" w:cs="Times New Roman" w:eastAsia="Times New Roman" w:hAnsi="Times New Roman"/>
          <w:sz w:val="18"/>
          <w:szCs w:val="18"/>
          <w:color w:val="auto"/>
        </w:rPr>
        <w:t>develop and commercialize products similar or identical to ours, and our ability to commercialize our product candidates successfully may be adversely affected.</w:t>
      </w:r>
    </w:p>
    <w:p>
      <w:pPr>
        <w:spacing w:after="0" w:line="69" w:lineRule="exact"/>
        <w:rPr>
          <w:sz w:val="20"/>
          <w:szCs w:val="20"/>
          <w:color w:val="auto"/>
        </w:rPr>
      </w:pPr>
    </w:p>
    <w:p>
      <w:pPr>
        <w:ind w:left="1160" w:right="680" w:hanging="539"/>
        <w:spacing w:after="0" w:line="278"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68" w:lineRule="exact"/>
        <w:rPr>
          <w:rFonts w:ascii="Times New Roman" w:cs="Times New Roman" w:eastAsia="Times New Roman" w:hAnsi="Times New Roman"/>
          <w:sz w:val="18"/>
          <w:szCs w:val="18"/>
          <w:color w:val="auto"/>
        </w:rPr>
      </w:pPr>
    </w:p>
    <w:p>
      <w:pPr>
        <w:ind w:left="1160" w:hanging="539"/>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disclosed that there is a substantial doubt about our ability to continue as a going concern.</w:t>
      </w:r>
    </w:p>
    <w:p>
      <w:pPr>
        <w:spacing w:after="0" w:line="127" w:lineRule="exact"/>
        <w:rPr>
          <w:rFonts w:ascii="Times New Roman" w:cs="Times New Roman" w:eastAsia="Times New Roman" w:hAnsi="Times New Roman"/>
          <w:sz w:val="18"/>
          <w:szCs w:val="18"/>
          <w:color w:val="auto"/>
        </w:rPr>
      </w:pPr>
    </w:p>
    <w:p>
      <w:pPr>
        <w:ind w:left="1160" w:hanging="539"/>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impact our business, including our clinical trials and clinical trial operations.</w:t>
      </w:r>
    </w:p>
    <w:p>
      <w:pPr>
        <w:spacing w:after="0" w:line="3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8"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February 2016. Our principal executive offices are located at 200 Powder Mill Road, Wilmington, DE 19803, and our telephone number is (302) 467-1280. Our website address is www.preludetx.com.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18" w:lineRule="exact"/>
        <w:rPr>
          <w:sz w:val="20"/>
          <w:szCs w:val="20"/>
          <w:color w:val="auto"/>
        </w:rPr>
      </w:pPr>
    </w:p>
    <w:p>
      <w:pPr>
        <w:jc w:val="both"/>
        <w:ind w:left="200" w:right="120" w:firstLine="434"/>
        <w:spacing w:after="0" w:line="263"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Jumpstart Our Business Startups Act of 2012, or JOBS Act. An emerging growth company may take advantage of reduced reporting requirements that are otherwise applicable to public companies. These provisions include, but are not limited to:</w:t>
      </w:r>
    </w:p>
    <w:p>
      <w:pPr>
        <w:spacing w:after="0" w:line="82" w:lineRule="exact"/>
        <w:rPr>
          <w:sz w:val="20"/>
          <w:szCs w:val="20"/>
          <w:color w:val="auto"/>
        </w:rPr>
      </w:pPr>
    </w:p>
    <w:p>
      <w:pPr>
        <w:ind w:left="1160" w:right="220" w:hanging="539"/>
        <w:spacing w:after="0" w:line="263"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w:t>
      </w:r>
    </w:p>
    <w:p>
      <w:pPr>
        <w:spacing w:after="0" w:line="81" w:lineRule="exact"/>
        <w:rPr>
          <w:rFonts w:ascii="Times New Roman" w:cs="Times New Roman" w:eastAsia="Times New Roman" w:hAnsi="Times New Roman"/>
          <w:sz w:val="18"/>
          <w:szCs w:val="18"/>
          <w:color w:val="auto"/>
        </w:rPr>
      </w:pPr>
    </w:p>
    <w:p>
      <w:pPr>
        <w:ind w:left="1160" w:right="80" w:hanging="539"/>
        <w:spacing w:after="0" w:line="278"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on the effectiveness of our internal controls over financial reporting;</w:t>
      </w:r>
    </w:p>
    <w:p>
      <w:pPr>
        <w:spacing w:after="0" w:line="68" w:lineRule="exact"/>
        <w:rPr>
          <w:rFonts w:ascii="Times New Roman" w:cs="Times New Roman" w:eastAsia="Times New Roman" w:hAnsi="Times New Roman"/>
          <w:sz w:val="18"/>
          <w:szCs w:val="18"/>
          <w:color w:val="auto"/>
        </w:rPr>
      </w:pPr>
    </w:p>
    <w:p>
      <w:pPr>
        <w:ind w:left="1160" w:right="120" w:hanging="539"/>
        <w:spacing w:after="0" w:line="278"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arrangements in our periodic reports, proxy statements and registration statements, including this prospectus; and</w:t>
      </w:r>
    </w:p>
    <w:p>
      <w:pPr>
        <w:spacing w:after="0" w:line="68" w:lineRule="exact"/>
        <w:rPr>
          <w:rFonts w:ascii="Times New Roman" w:cs="Times New Roman" w:eastAsia="Times New Roman" w:hAnsi="Times New Roman"/>
          <w:sz w:val="18"/>
          <w:szCs w:val="18"/>
          <w:color w:val="auto"/>
        </w:rPr>
      </w:pPr>
    </w:p>
    <w:p>
      <w:pPr>
        <w:ind w:left="1160" w:right="340" w:hanging="539"/>
        <w:spacing w:after="0" w:line="278"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color w:val="auto"/>
        </w:rPr>
        <w:t>We may use these provisions until the last day of our fiscal year in which the fifth anniversary of the completion of this offering occurs.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80" w:lineRule="exact"/>
        <w:rPr>
          <w:sz w:val="20"/>
          <w:szCs w:val="20"/>
          <w:color w:val="auto"/>
        </w:rPr>
      </w:pPr>
    </w:p>
    <w:p>
      <w:pPr>
        <w:ind w:left="200" w:right="140" w:firstLine="434"/>
        <w:spacing w:after="0" w:line="263"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5" w:lineRule="exact"/>
        <w:rPr>
          <w:sz w:val="20"/>
          <w:szCs w:val="20"/>
          <w:color w:val="auto"/>
        </w:rPr>
      </w:pPr>
    </w:p>
    <w:p>
      <w:pPr>
        <w:ind w:left="200" w:firstLine="434"/>
        <w:spacing w:after="0" w:line="263"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4"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23310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23310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of 1933, as amended, or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184" w:lineRule="exact"/>
        <w:rPr>
          <w:sz w:val="20"/>
          <w:szCs w:val="20"/>
          <w:color w:val="auto"/>
        </w:rPr>
      </w:pPr>
    </w:p>
    <w:p>
      <w:pPr>
        <w:ind w:left="200" w:firstLine="434"/>
        <w:spacing w:after="0" w:line="25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454"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498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035" cy="549846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OFFERING</w:t>
      </w:r>
    </w:p>
    <w:p>
      <w:pPr>
        <w:spacing w:after="0" w:line="252" w:lineRule="exact"/>
        <w:rPr>
          <w:sz w:val="20"/>
          <w:szCs w:val="20"/>
          <w:color w:val="auto"/>
        </w:rPr>
      </w:pPr>
    </w:p>
    <w:p>
      <w:pPr>
        <w:ind w:left="200"/>
        <w:spacing w:after="0"/>
        <w:tabs>
          <w:tab w:leader="none" w:pos="658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8"/>
          <w:szCs w:val="18"/>
          <w:color w:val="auto"/>
        </w:rPr>
        <w:t>shares</w:t>
      </w:r>
    </w:p>
    <w:p>
      <w:pPr>
        <w:sectPr>
          <w:pgSz w:w="11900" w:h="16838" w:orient="portrait"/>
          <w:cols w:equalWidth="0" w:num="1">
            <w:col w:w="11240"/>
          </w:cols>
          <w:pgMar w:left="320" w:top="454" w:right="339" w:bottom="1440" w:gutter="0" w:footer="0" w:header="0"/>
        </w:sectPr>
      </w:pPr>
    </w:p>
    <w:p>
      <w:pPr>
        <w:spacing w:after="0" w:line="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 w:hanging="177"/>
        <w:spacing w:after="0" w:line="278" w:lineRule="auto"/>
        <w:rPr>
          <w:sz w:val="20"/>
          <w:szCs w:val="20"/>
          <w:color w:val="auto"/>
        </w:rPr>
      </w:pPr>
      <w:r>
        <w:rPr>
          <w:rFonts w:ascii="Times New Roman" w:cs="Times New Roman" w:eastAsia="Times New Roman" w:hAnsi="Times New Roman"/>
          <w:sz w:val="18"/>
          <w:szCs w:val="18"/>
          <w:color w:val="auto"/>
        </w:rPr>
        <w:t>Total common stock and non-voting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7"/>
          <w:szCs w:val="17"/>
          <w:color w:val="auto"/>
        </w:rPr>
        <w:t>We have granted the underwriters an option, exercisable for 30 days after the date of this prospectus, to purchase up to an additional</w:t>
      </w:r>
    </w:p>
    <w:p>
      <w:pPr>
        <w:ind w:right="500" w:firstLine="758"/>
        <w:spacing w:after="0" w:line="256" w:lineRule="auto"/>
        <w:rPr>
          <w:sz w:val="20"/>
          <w:szCs w:val="20"/>
          <w:color w:val="auto"/>
        </w:rPr>
      </w:pPr>
      <w:r>
        <w:rPr>
          <w:rFonts w:ascii="Times New Roman" w:cs="Times New Roman" w:eastAsia="Times New Roman" w:hAnsi="Times New Roman"/>
          <w:sz w:val="18"/>
          <w:szCs w:val="18"/>
          <w:color w:val="auto"/>
        </w:rPr>
        <w:t>shares from us at the initial public offering price per share less the underwriting discounts and commissions.</w:t>
      </w:r>
    </w:p>
    <w:p>
      <w:pPr>
        <w:spacing w:after="0" w:line="248" w:lineRule="exact"/>
        <w:rPr>
          <w:sz w:val="20"/>
          <w:szCs w:val="20"/>
          <w:color w:val="auto"/>
        </w:rPr>
      </w:pPr>
    </w:p>
    <w:p>
      <w:pPr>
        <w:ind w:right="280" w:firstLine="758"/>
        <w:spacing w:after="0" w:line="278" w:lineRule="auto"/>
        <w:rPr>
          <w:sz w:val="20"/>
          <w:szCs w:val="20"/>
          <w:color w:val="auto"/>
        </w:rPr>
      </w:pPr>
      <w:r>
        <w:rPr>
          <w:rFonts w:ascii="Times New Roman" w:cs="Times New Roman" w:eastAsia="Times New Roman" w:hAnsi="Times New Roman"/>
          <w:sz w:val="18"/>
          <w:szCs w:val="18"/>
          <w:color w:val="auto"/>
        </w:rPr>
        <w:t>shares (or shares, if the underwriters exercise their option to purchase additional shares in full).</w:t>
      </w:r>
    </w:p>
    <w:p>
      <w:pPr>
        <w:spacing w:after="0" w:line="15" w:lineRule="exact"/>
        <w:rPr>
          <w:sz w:val="20"/>
          <w:szCs w:val="20"/>
          <w:color w:val="auto"/>
        </w:rPr>
      </w:pPr>
    </w:p>
    <w:p>
      <w:pPr>
        <w:sectPr>
          <w:pgSz w:w="11900" w:h="16838" w:orient="portrait"/>
          <w:cols w:equalWidth="0" w:num="2">
            <w:col w:w="5140" w:space="720"/>
            <w:col w:w="5380"/>
          </w:cols>
          <w:pgMar w:left="320" w:top="454"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650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w:t>
            </w:r>
          </w:p>
        </w:tc>
        <w:tc>
          <w:tcPr>
            <w:tcW w:w="1020" w:type="dxa"/>
            <w:vAlign w:val="bottom"/>
          </w:tcPr>
          <w:p>
            <w:pPr>
              <w:spacing w:after="0"/>
              <w:rPr>
                <w:sz w:val="18"/>
                <w:szCs w:val="18"/>
                <w:color w:val="auto"/>
              </w:rPr>
            </w:pPr>
          </w:p>
        </w:tc>
      </w:tr>
      <w:tr>
        <w:trPr>
          <w:trHeight w:val="214"/>
        </w:trPr>
        <w:tc>
          <w:tcPr>
            <w:tcW w:w="3720" w:type="dxa"/>
            <w:vAlign w:val="bottom"/>
          </w:tcPr>
          <w:p>
            <w:pPr>
              <w:spacing w:after="0"/>
              <w:rPr>
                <w:sz w:val="18"/>
                <w:szCs w:val="18"/>
                <w:color w:val="auto"/>
              </w:rPr>
            </w:pPr>
          </w:p>
        </w:tc>
        <w:tc>
          <w:tcPr>
            <w:tcW w:w="35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approximately $</w:t>
            </w: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million if the</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underwriters exercise their option to purchase additional shares in full),</w:t>
            </w:r>
          </w:p>
        </w:tc>
      </w:tr>
      <w:tr>
        <w:trPr>
          <w:trHeight w:val="214"/>
        </w:trPr>
        <w:tc>
          <w:tcPr>
            <w:tcW w:w="3720" w:type="dxa"/>
            <w:vAlign w:val="bottom"/>
          </w:tcPr>
          <w:p>
            <w:pPr>
              <w:spacing w:after="0"/>
              <w:rPr>
                <w:sz w:val="18"/>
                <w:szCs w:val="18"/>
                <w:color w:val="auto"/>
              </w:rPr>
            </w:pPr>
          </w:p>
        </w:tc>
        <w:tc>
          <w:tcPr>
            <w:tcW w:w="650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based upon the assumed initial public offering price of $</w:t>
            </w: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 share,</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which is the midpoint of the price range set forth on the cover of this</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prospectus, after deducting the estimated underwriting discounts and</w:t>
            </w:r>
          </w:p>
        </w:tc>
      </w:tr>
      <w:tr>
        <w:trPr>
          <w:trHeight w:val="233"/>
        </w:trPr>
        <w:tc>
          <w:tcPr>
            <w:tcW w:w="3720" w:type="dxa"/>
            <w:vAlign w:val="bottom"/>
          </w:tcPr>
          <w:p>
            <w:pPr>
              <w:spacing w:after="0"/>
              <w:rPr>
                <w:sz w:val="20"/>
                <w:szCs w:val="20"/>
                <w:color w:val="auto"/>
              </w:rPr>
            </w:pPr>
          </w:p>
        </w:tc>
        <w:tc>
          <w:tcPr>
            <w:tcW w:w="650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w w:val="99"/>
              </w:rPr>
              <w:t>commissions and estimated offering expenses payable by us.</w:t>
            </w:r>
          </w:p>
        </w:tc>
        <w:tc>
          <w:tcPr>
            <w:tcW w:w="1020" w:type="dxa"/>
            <w:vAlign w:val="bottom"/>
          </w:tcPr>
          <w:p>
            <w:pPr>
              <w:spacing w:after="0"/>
              <w:rPr>
                <w:sz w:val="20"/>
                <w:szCs w:val="20"/>
                <w:color w:val="auto"/>
              </w:rPr>
            </w:pPr>
          </w:p>
        </w:tc>
      </w:tr>
      <w:tr>
        <w:trPr>
          <w:trHeight w:val="262"/>
        </w:trPr>
        <w:tc>
          <w:tcPr>
            <w:tcW w:w="3720" w:type="dxa"/>
            <w:vAlign w:val="bottom"/>
          </w:tcPr>
          <w:p>
            <w:pPr>
              <w:spacing w:after="0"/>
              <w:rPr>
                <w:sz w:val="22"/>
                <w:szCs w:val="22"/>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together with our</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existing cash and cash equivalents, to advance the clinical development</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of PRT543, PRT811, PRT1419, to fund further development of our</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preclinical programs towards IND filings and/or into clinical trials and</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to fund working capital and general corporate purposes. See the section</w:t>
            </w:r>
          </w:p>
        </w:tc>
      </w:tr>
      <w:tr>
        <w:trPr>
          <w:trHeight w:val="233"/>
        </w:trPr>
        <w:tc>
          <w:tcPr>
            <w:tcW w:w="3720" w:type="dxa"/>
            <w:vAlign w:val="bottom"/>
          </w:tcPr>
          <w:p>
            <w:pPr>
              <w:spacing w:after="0"/>
              <w:rPr>
                <w:sz w:val="20"/>
                <w:szCs w:val="20"/>
                <w:color w:val="auto"/>
              </w:rPr>
            </w:pPr>
          </w:p>
        </w:tc>
        <w:tc>
          <w:tcPr>
            <w:tcW w:w="58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entitled “Use of Proceeds.”</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2"/>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 rights</w:t>
            </w: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We have two classes of common stock: the voting common stock</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offered hereby and non-voting common stock. For a description of the</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rights of the voting common stock and non-voting common stock, see</w:t>
            </w:r>
          </w:p>
        </w:tc>
      </w:tr>
      <w:tr>
        <w:trPr>
          <w:trHeight w:val="233"/>
        </w:trPr>
        <w:tc>
          <w:tcPr>
            <w:tcW w:w="3720" w:type="dxa"/>
            <w:vAlign w:val="bottom"/>
          </w:tcPr>
          <w:p>
            <w:pPr>
              <w:spacing w:after="0"/>
              <w:rPr>
                <w:sz w:val="20"/>
                <w:szCs w:val="20"/>
                <w:color w:val="auto"/>
              </w:rPr>
            </w:pPr>
          </w:p>
        </w:tc>
        <w:tc>
          <w:tcPr>
            <w:tcW w:w="58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2"/>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You should read the section entitled “Risk Factors” in this prospectus for</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a discussion of factors that you should consider carefully before</w:t>
            </w:r>
          </w:p>
        </w:tc>
      </w:tr>
      <w:tr>
        <w:trPr>
          <w:trHeight w:val="233"/>
        </w:trPr>
        <w:tc>
          <w:tcPr>
            <w:tcW w:w="3720" w:type="dxa"/>
            <w:vAlign w:val="bottom"/>
          </w:tcPr>
          <w:p>
            <w:pPr>
              <w:spacing w:after="0"/>
              <w:rPr>
                <w:sz w:val="20"/>
                <w:szCs w:val="20"/>
                <w:color w:val="auto"/>
              </w:rPr>
            </w:pPr>
          </w:p>
        </w:tc>
        <w:tc>
          <w:tcPr>
            <w:tcW w:w="58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deciding to invest in shares of our common stock.</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2"/>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Directed share program</w:t>
            </w: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At our request, the underwriters have reserved for sale, at the initial</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public offering price, up to five percent of the shares offered by this</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prospectus for sale to some of our directors, officers, employees,</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business associates and related persons through a directed share</w:t>
            </w:r>
          </w:p>
        </w:tc>
      </w:tr>
      <w:tr>
        <w:trPr>
          <w:trHeight w:val="214"/>
        </w:trPr>
        <w:tc>
          <w:tcPr>
            <w:tcW w:w="3720" w:type="dxa"/>
            <w:vAlign w:val="bottom"/>
          </w:tcPr>
          <w:p>
            <w:pPr>
              <w:spacing w:after="0"/>
              <w:rPr>
                <w:sz w:val="18"/>
                <w:szCs w:val="18"/>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program. If these persons purchase shares through the directed share</w:t>
            </w:r>
          </w:p>
        </w:tc>
      </w:tr>
      <w:tr>
        <w:trPr>
          <w:trHeight w:val="233"/>
        </w:trPr>
        <w:tc>
          <w:tcPr>
            <w:tcW w:w="3720" w:type="dxa"/>
            <w:vAlign w:val="bottom"/>
          </w:tcPr>
          <w:p>
            <w:pPr>
              <w:spacing w:after="0"/>
              <w:rPr>
                <w:sz w:val="20"/>
                <w:szCs w:val="20"/>
                <w:color w:val="auto"/>
              </w:rPr>
            </w:pPr>
          </w:p>
        </w:tc>
        <w:tc>
          <w:tcPr>
            <w:tcW w:w="752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program, this will reduce the number of shares available for sale to the</w:t>
            </w:r>
          </w:p>
        </w:tc>
      </w:tr>
      <w:tr>
        <w:trPr>
          <w:trHeight w:val="250"/>
        </w:trPr>
        <w:tc>
          <w:tcPr>
            <w:tcW w:w="372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599"/>
        </w:trPr>
        <w:tc>
          <w:tcPr>
            <w:tcW w:w="3720" w:type="dxa"/>
            <w:vAlign w:val="bottom"/>
          </w:tcPr>
          <w:p>
            <w:pPr>
              <w:spacing w:after="0"/>
              <w:rPr>
                <w:sz w:val="24"/>
                <w:szCs w:val="24"/>
                <w:color w:val="auto"/>
              </w:rPr>
            </w:pPr>
          </w:p>
        </w:tc>
        <w:tc>
          <w:tcPr>
            <w:tcW w:w="3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7</w:t>
            </w:r>
          </w:p>
        </w:tc>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626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035" cy="56261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general public. Any reserved shares that are not so purchased will be</w:t>
      </w:r>
    </w:p>
    <w:p>
      <w:pPr>
        <w:spacing w:after="0" w:line="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offered by the underwriters to the general public on the same terms as</w:t>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the other shares offered by this prospectus. See the section titled</w:t>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“Underwriting.”</w:t>
      </w:r>
    </w:p>
    <w:p>
      <w:pPr>
        <w:spacing w:after="0" w:line="55" w:lineRule="exact"/>
        <w:rPr>
          <w:sz w:val="20"/>
          <w:szCs w:val="20"/>
          <w:color w:val="auto"/>
        </w:rPr>
      </w:pPr>
    </w:p>
    <w:p>
      <w:pPr>
        <w:ind w:left="200"/>
        <w:spacing w:after="0"/>
        <w:tabs>
          <w:tab w:leader="none" w:pos="5840" w:val="left"/>
        </w:tabs>
        <w:rPr>
          <w:sz w:val="20"/>
          <w:szCs w:val="20"/>
          <w:color w:val="auto"/>
        </w:rPr>
      </w:pPr>
      <w:r>
        <w:rPr>
          <w:rFonts w:ascii="Times New Roman" w:cs="Times New Roman" w:eastAsia="Times New Roman" w:hAnsi="Times New Roman"/>
          <w:sz w:val="18"/>
          <w:szCs w:val="18"/>
          <w:color w:val="auto"/>
        </w:rPr>
        <w:t>Proposed Nasdaq Global Market symbol</w:t>
      </w:r>
      <w:r>
        <w:rPr>
          <w:sz w:val="20"/>
          <w:szCs w:val="20"/>
          <w:color w:val="auto"/>
        </w:rPr>
        <w:tab/>
      </w:r>
      <w:r>
        <w:rPr>
          <w:rFonts w:ascii="Times New Roman" w:cs="Times New Roman" w:eastAsia="Times New Roman" w:hAnsi="Times New Roman"/>
          <w:sz w:val="17"/>
          <w:szCs w:val="17"/>
          <w:color w:val="auto"/>
        </w:rPr>
        <w:t>“PRLD”</w:t>
      </w:r>
    </w:p>
    <w:p>
      <w:pPr>
        <w:spacing w:after="0" w:line="221" w:lineRule="exact"/>
        <w:rPr>
          <w:sz w:val="20"/>
          <w:szCs w:val="20"/>
          <w:color w:val="auto"/>
        </w:rPr>
      </w:pPr>
    </w:p>
    <w:p>
      <w:pPr>
        <w:ind w:left="200" w:firstLine="434"/>
        <w:spacing w:after="0" w:line="255" w:lineRule="auto"/>
        <w:rPr>
          <w:sz w:val="20"/>
          <w:szCs w:val="20"/>
          <w:color w:val="auto"/>
        </w:rPr>
      </w:pPr>
      <w:r>
        <w:rPr>
          <w:rFonts w:ascii="Times New Roman" w:cs="Times New Roman" w:eastAsia="Times New Roman" w:hAnsi="Times New Roman"/>
          <w:sz w:val="18"/>
          <w:szCs w:val="18"/>
          <w:color w:val="auto"/>
        </w:rPr>
        <w:t>The number of shares of our common stock and non-voting common stock to be outstanding after this offering is based on 4,270,424 shares of our common stock outstanding as of September 4, 2020 (including 1,546,740 unvested restricted shares outstanding as of September 4, 2020), and gives effect to the automatic conversion of 35,203,953 shares of our outstanding convertible preferred stock as of September 4, 2020 into an aggregate of 35,203,953 shares of common stock and non-voting common stock (of which 12,850,259 shares are non-voting common stock) immediately prior to the completion of this offering, and excludes:</w:t>
      </w:r>
    </w:p>
    <w:p>
      <w:pPr>
        <w:spacing w:after="0" w:line="91" w:lineRule="exact"/>
        <w:rPr>
          <w:sz w:val="20"/>
          <w:szCs w:val="20"/>
          <w:color w:val="auto"/>
        </w:rPr>
      </w:pPr>
    </w:p>
    <w:p>
      <w:pPr>
        <w:ind w:left="1160" w:right="100" w:hanging="539"/>
        <w:spacing w:after="0" w:line="278"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7,683,331 shares of common stock issuable upon the exercise of stock options outstanding as of September 4, 2020 under our 2016 Stock Incentive Plan, or the 2016 Plan, with an average exercise price of $6.05 per share;</w:t>
      </w:r>
    </w:p>
    <w:p>
      <w:pPr>
        <w:spacing w:after="0" w:line="69" w:lineRule="exact"/>
        <w:rPr>
          <w:sz w:val="20"/>
          <w:szCs w:val="20"/>
          <w:color w:val="auto"/>
        </w:rPr>
      </w:pPr>
    </w:p>
    <w:p>
      <w:pPr>
        <w:ind w:left="620"/>
        <w:spacing w:after="0"/>
        <w:tabs>
          <w:tab w:leader="none" w:pos="20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shares of common stock reserved for future issuance under our stock-based compensation plans, consisting of</w:t>
      </w:r>
    </w:p>
    <w:p>
      <w:pPr>
        <w:spacing w:after="0" w:line="26" w:lineRule="exact"/>
        <w:rPr>
          <w:sz w:val="20"/>
          <w:szCs w:val="20"/>
          <w:color w:val="auto"/>
        </w:rPr>
      </w:pPr>
    </w:p>
    <w:p>
      <w:pPr>
        <w:ind w:left="1160" w:right="40" w:hanging="5"/>
        <w:spacing w:after="0" w:line="262" w:lineRule="auto"/>
        <w:tabs>
          <w:tab w:leader="none" w:pos="230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reserved for future issuance under our 2020 Equity Incentive Plan, or the 2020 Plan, which will become effective on the date immediately prior to the date of the effectiveness of the registration statement of which this prospectus forms</w:t>
      </w:r>
    </w:p>
    <w:p>
      <w:pPr>
        <w:spacing w:after="0" w:line="1" w:lineRule="exact"/>
        <w:rPr>
          <w:sz w:val="20"/>
          <w:szCs w:val="20"/>
          <w:color w:val="auto"/>
        </w:rPr>
      </w:pPr>
    </w:p>
    <w:p>
      <w:pPr>
        <w:ind w:left="1160" w:right="140"/>
        <w:spacing w:after="0" w:line="249" w:lineRule="auto"/>
        <w:rPr>
          <w:sz w:val="20"/>
          <w:szCs w:val="20"/>
          <w:color w:val="auto"/>
        </w:rPr>
      </w:pPr>
      <w:r>
        <w:rPr>
          <w:rFonts w:ascii="Times New Roman" w:cs="Times New Roman" w:eastAsia="Times New Roman" w:hAnsi="Times New Roman"/>
          <w:sz w:val="18"/>
          <w:szCs w:val="18"/>
          <w:color w:val="auto"/>
        </w:rPr>
        <w:t>a part and (ii) shares of common stock reserved for future issuance under our 2020 Employee Stock Purchase Plan, or the ESPP, which will become effective on the date of the effectiveness of the registration statement of which this prospectus forms a part. Upon completion of this offering, any remaining shares available for issuance under our 2016 Plan will be added to the shares reserved under our 2020 Plan and we will cease granting awards under our 2016 Plan. Our 2020 Plan and ESPP also provide for automatic annual increases in the number of shares reserved under the plans each year, as more fully described in “Executive Compensation — Equity Compensation Plans and Other Benefit Plans.”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 or gives effect to:</w:t>
      </w:r>
    </w:p>
    <w:p>
      <w:pPr>
        <w:spacing w:after="0" w:line="127" w:lineRule="exact"/>
        <w:rPr>
          <w:sz w:val="20"/>
          <w:szCs w:val="20"/>
          <w:color w:val="auto"/>
        </w:rPr>
      </w:pPr>
    </w:p>
    <w:p>
      <w:pPr>
        <w:ind w:left="1160" w:right="40" w:hanging="539"/>
        <w:spacing w:after="0" w:line="254"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outstanding shares of our convertible preferred stock (including 3,982,887 shares of our Series C convertible preferred stock issued after June 30, 2020) into an aggregate of 35,203,953 shares of common stock and non-voting common stock (of which 12,850,259 shares are non-voting common stock) immediately prior to the completion of this offering, assuming holders of our convertible preferred stock with the option to convert their convertible preferred stock into shares of non-voting common stock will convert to the maximum number of non-voting common stock permitted as described under “Description of Capital Stock — Common Stock and Non-Voting Common Stock”;</w:t>
      </w:r>
    </w:p>
    <w:p>
      <w:pPr>
        <w:spacing w:after="0" w:line="90" w:lineRule="exact"/>
        <w:rPr>
          <w:sz w:val="20"/>
          <w:szCs w:val="20"/>
          <w:color w:val="auto"/>
        </w:rPr>
      </w:pPr>
    </w:p>
    <w:p>
      <w:pPr>
        <w:ind w:left="620"/>
        <w:spacing w:after="0"/>
        <w:tabs>
          <w:tab w:leader="none" w:pos="1140" w:val="left"/>
          <w:tab w:leader="none" w:pos="1800" w:val="left"/>
          <w:tab w:leader="none" w:pos="2700" w:val="left"/>
          <w:tab w:leader="none" w:pos="10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reverse stock split of our outstanding common stock and convertible preferred stock to be effected on</w:t>
      </w:r>
      <w:r>
        <w:rPr>
          <w:sz w:val="20"/>
          <w:szCs w:val="20"/>
          <w:color w:val="auto"/>
        </w:rPr>
        <w:tab/>
      </w:r>
      <w:r>
        <w:rPr>
          <w:rFonts w:ascii="Times New Roman" w:cs="Times New Roman" w:eastAsia="Times New Roman" w:hAnsi="Times New Roman"/>
          <w:sz w:val="17"/>
          <w:szCs w:val="17"/>
          <w:color w:val="auto"/>
        </w:rPr>
        <w:t>, 2020;</w:t>
      </w:r>
    </w:p>
    <w:p>
      <w:pPr>
        <w:spacing w:after="0" w:line="127" w:lineRule="exact"/>
        <w:rPr>
          <w:sz w:val="20"/>
          <w:szCs w:val="20"/>
          <w:color w:val="auto"/>
        </w:rPr>
      </w:pPr>
    </w:p>
    <w:p>
      <w:pPr>
        <w:ind w:left="1160" w:right="520" w:hanging="539"/>
        <w:spacing w:after="0" w:line="278"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restated certificate of incorporation and restated bylaws in connection with the completion of this offering;</w:t>
      </w:r>
    </w:p>
    <w:p>
      <w:pPr>
        <w:spacing w:after="0" w:line="68" w:lineRule="exact"/>
        <w:rPr>
          <w:rFonts w:ascii="Times New Roman" w:cs="Times New Roman" w:eastAsia="Times New Roman" w:hAnsi="Times New Roman"/>
          <w:sz w:val="18"/>
          <w:szCs w:val="18"/>
          <w:color w:val="auto"/>
        </w:rPr>
      </w:pPr>
    </w:p>
    <w:p>
      <w:pPr>
        <w:ind w:left="1160" w:hanging="539"/>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options after June 30, 2020; and</w:t>
      </w:r>
    </w:p>
    <w:p>
      <w:pPr>
        <w:spacing w:after="0" w:line="127" w:lineRule="exact"/>
        <w:rPr>
          <w:rFonts w:ascii="Times New Roman" w:cs="Times New Roman" w:eastAsia="Times New Roman" w:hAnsi="Times New Roman"/>
          <w:sz w:val="18"/>
          <w:szCs w:val="18"/>
          <w:color w:val="auto"/>
        </w:rPr>
      </w:pPr>
    </w:p>
    <w:p>
      <w:pPr>
        <w:ind w:left="1160" w:hanging="539"/>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4" w:right="5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5286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035" cy="528637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5" w:lineRule="exact"/>
        <w:rPr>
          <w:sz w:val="20"/>
          <w:szCs w:val="20"/>
          <w:color w:val="auto"/>
        </w:rPr>
      </w:pPr>
    </w:p>
    <w:p>
      <w:pPr>
        <w:ind w:left="200" w:right="20" w:firstLine="434"/>
        <w:spacing w:after="0" w:line="250" w:lineRule="auto"/>
        <w:rPr>
          <w:sz w:val="20"/>
          <w:szCs w:val="20"/>
          <w:color w:val="auto"/>
        </w:rPr>
      </w:pPr>
      <w:r>
        <w:rPr>
          <w:rFonts w:ascii="Times New Roman" w:cs="Times New Roman" w:eastAsia="Times New Roman" w:hAnsi="Times New Roman"/>
          <w:sz w:val="18"/>
          <w:szCs w:val="18"/>
          <w:color w:val="auto"/>
        </w:rPr>
        <w:t>The following tables set forth our summary statements of operations and balance sheet data. The summary statement of operations data presented below for the years ended December 31, 2018 and 2019 are derived from our audited financial statements included elsewhere in this prospectus. The summary statement of operations data for the six months ended June 30, 2019 and 2020 and balance sheet data as of June 30, 2020 are derived from our unaudited interim financial statements included elsewhere in this prospectus. The unaudited interim financial statements, in management’s opinion, have been prepared on the same basis as the audited financial statements and the related notes included elsewhere in this prospectus, and include all adjustments, consisting only of normal recurring adjustments, that management considers necessary for a fair presentation of the information for the periods presented. The following summary financial data should be read in conjunction with “Selected Financial Data,”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six months ended June 30, 2020 are not necessarily indicative of the results that may be expected for the year ended December 31, 2020. The summary financial data in this section are not intended to replace our financial statements and are qualified in their entirety by the financial statements and related notes included elsewhere in this prospectus.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7"/>
        </w:trPr>
        <w:tc>
          <w:tcPr>
            <w:tcW w:w="56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2"/>
              <w:spacing w:after="0" w:line="127"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60" w:type="dxa"/>
            <w:vAlign w:val="bottom"/>
            <w:tcBorders>
              <w:top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8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18,312</w:t>
            </w:r>
          </w:p>
        </w:tc>
        <w:tc>
          <w:tcPr>
            <w:tcW w:w="0" w:type="dxa"/>
            <w:vAlign w:val="bottom"/>
          </w:tcPr>
          <w:p>
            <w:pPr>
              <w:spacing w:after="0"/>
              <w:rPr>
                <w:sz w:val="1"/>
                <w:szCs w:val="1"/>
                <w:color w:val="auto"/>
              </w:rPr>
            </w:pPr>
          </w:p>
        </w:tc>
      </w:tr>
      <w:tr>
        <w:trPr>
          <w:trHeight w:val="221"/>
        </w:trPr>
        <w:tc>
          <w:tcPr>
            <w:tcW w:w="5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21,173</w:t>
            </w:r>
          </w:p>
        </w:tc>
        <w:tc>
          <w:tcPr>
            <w:tcW w:w="0" w:type="dxa"/>
            <w:vAlign w:val="bottom"/>
          </w:tcPr>
          <w:p>
            <w:pPr>
              <w:spacing w:after="0"/>
              <w:rPr>
                <w:sz w:val="1"/>
                <w:szCs w:val="1"/>
                <w:color w:val="auto"/>
              </w:rPr>
            </w:pPr>
          </w:p>
        </w:tc>
      </w:tr>
      <w:tr>
        <w:trPr>
          <w:trHeight w:val="221"/>
        </w:trPr>
        <w:tc>
          <w:tcPr>
            <w:tcW w:w="56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r>
              <w:rPr>
                <w:rFonts w:ascii="Times New Roman" w:cs="Times New Roman" w:eastAsia="Times New Roman" w:hAnsi="Times New Roman"/>
                <w:sz w:val="15"/>
                <w:szCs w:val="15"/>
                <w:color w:val="auto"/>
              </w:rPr>
              <w:t>(1)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(9.05)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(14.29)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1,622,634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1,929,863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1,823,259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of common stock, basic and diluted (unaudited)</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178"/>
        </w:trPr>
        <w:tc>
          <w:tcPr>
            <w:tcW w:w="1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w:t>
            </w:r>
          </w:p>
        </w:tc>
        <w:tc>
          <w:tcPr>
            <w:tcW w:w="16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 forma weighted average shares outstanding, basic and diluted</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37,133,816</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37,475,997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20" w:right="20" w:hanging="427"/>
        <w:spacing w:after="0" w:line="263"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to our financial statements included elsewhere in this prospectus for a description of how we compute net loss per share of common stock, basic and diluted, pro forma net loss per share of common stock, basic and diluted, and the weighted average shares outstanding used in the computation of these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320" w:top="454" w:right="5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4088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035" cy="408876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8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40" w:type="dxa"/>
            <w:vAlign w:val="bottom"/>
          </w:tcPr>
          <w:p>
            <w:pPr>
              <w:spacing w:after="0"/>
              <w:rPr>
                <w:sz w:val="10"/>
                <w:szCs w:val="10"/>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40" w:type="dxa"/>
            <w:vAlign w:val="bottom"/>
          </w:tcPr>
          <w:p>
            <w:pPr>
              <w:spacing w:after="0"/>
              <w:rPr>
                <w:sz w:val="10"/>
                <w:szCs w:val="10"/>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w:t>
            </w:r>
          </w:p>
        </w:tc>
        <w:tc>
          <w:tcPr>
            <w:tcW w:w="8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840" w:type="dxa"/>
            <w:vAlign w:val="bottom"/>
            <w:gridSpan w:val="2"/>
            <w:vMerge w:val="continue"/>
          </w:tcPr>
          <w:p>
            <w:pPr>
              <w:spacing w:after="0"/>
              <w:rPr>
                <w:sz w:val="13"/>
                <w:szCs w:val="13"/>
                <w:color w:val="auto"/>
              </w:rPr>
            </w:pPr>
          </w:p>
        </w:tc>
        <w:tc>
          <w:tcPr>
            <w:tcW w:w="23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920" w:type="dxa"/>
            <w:vAlign w:val="bottom"/>
            <w:gridSpan w:val="2"/>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8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2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$ 29,716</w:t>
            </w:r>
          </w:p>
        </w:tc>
        <w:tc>
          <w:tcPr>
            <w:tcW w:w="320" w:type="dxa"/>
            <w:vAlign w:val="bottom"/>
          </w:tcPr>
          <w:p>
            <w:pPr>
              <w:spacing w:after="0"/>
              <w:rPr>
                <w:sz w:val="18"/>
                <w:szCs w:val="18"/>
                <w:color w:val="auto"/>
              </w:rPr>
            </w:pPr>
          </w:p>
        </w:tc>
        <w:tc>
          <w:tcPr>
            <w:tcW w:w="17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   79,626</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(3)</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w:t>
            </w:r>
          </w:p>
        </w:tc>
        <w:tc>
          <w:tcPr>
            <w:tcW w:w="3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74,968</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320" w:type="dxa"/>
            <w:vAlign w:val="bottom"/>
          </w:tcPr>
          <w:p>
            <w:pPr>
              <w:spacing w:after="0"/>
              <w:rPr>
                <w:sz w:val="18"/>
                <w:szCs w:val="18"/>
                <w:color w:val="auto"/>
              </w:rPr>
            </w:pPr>
          </w:p>
        </w:tc>
        <w:tc>
          <w:tcPr>
            <w:tcW w:w="17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82,657</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(69,311)</w:t>
            </w:r>
          </w:p>
        </w:tc>
        <w:tc>
          <w:tcPr>
            <w:tcW w:w="17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76,984</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620" w:right="100" w:hanging="427"/>
        <w:spacing w:after="0" w:line="268"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 forma amounts give effect to (i) the automatic conversion of 31,221,066 shares of our outstanding convertible preferred stock as of June 30, 2020 into an aggregate of 31,221,066 shares of common stock and non-voting common stock (of which 11,894,366 shares are non-voting common stock) immediately prior to the completion of this offering, (ii) the issuance and sale of 3,982,887 shares of Series C convertible preferred stock in August 2020 for net proceeds of approximately $49.9 million and the automatic conversion of such shares into an aggregate of</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3,982,887 shares of common stock and non-voting common stock (of which 955,893 shares are non-voting common stock) immediately prior to</w:t>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completion of this offering.</w:t>
      </w:r>
    </w:p>
    <w:p>
      <w:pPr>
        <w:spacing w:after="0" w:line="7" w:lineRule="exact"/>
        <w:rPr>
          <w:sz w:val="20"/>
          <w:szCs w:val="20"/>
          <w:color w:val="auto"/>
        </w:rPr>
      </w:pPr>
    </w:p>
    <w:p>
      <w:pPr>
        <w:ind w:left="200"/>
        <w:spacing w:after="0"/>
        <w:tabs>
          <w:tab w:leader="none" w:pos="600" w:val="left"/>
          <w:tab w:leader="none" w:pos="9060" w:val="left"/>
        </w:tabs>
        <w:rPr>
          <w:sz w:val="20"/>
          <w:szCs w:val="20"/>
          <w:color w:val="auto"/>
        </w:rPr>
      </w:pPr>
      <w:r>
        <w:rPr>
          <w:rFonts w:ascii="Times New Roman" w:cs="Times New Roman" w:eastAsia="Times New Roman" w:hAnsi="Times New Roman"/>
          <w:sz w:val="18"/>
          <w:szCs w:val="18"/>
          <w:color w:val="auto"/>
        </w:rPr>
        <w:t>(2)</w:t>
        <w:tab/>
        <w:t>Pro forma as adjusted amounts reflect pro forma adjustments described in footnote (1) as well as the sale of</w:t>
      </w:r>
      <w:r>
        <w:rPr>
          <w:sz w:val="20"/>
          <w:szCs w:val="20"/>
          <w:color w:val="auto"/>
        </w:rPr>
        <w:tab/>
      </w:r>
      <w:r>
        <w:rPr>
          <w:rFonts w:ascii="Times New Roman" w:cs="Times New Roman" w:eastAsia="Times New Roman" w:hAnsi="Times New Roman"/>
          <w:sz w:val="17"/>
          <w:szCs w:val="17"/>
          <w:color w:val="auto"/>
        </w:rPr>
        <w:t>shares of our common</w:t>
      </w:r>
    </w:p>
    <w:p>
      <w:pPr>
        <w:spacing w:after="0" w:line="7" w:lineRule="exact"/>
        <w:rPr>
          <w:sz w:val="20"/>
          <w:szCs w:val="20"/>
          <w:color w:val="auto"/>
        </w:rPr>
      </w:pPr>
    </w:p>
    <w:p>
      <w:pPr>
        <w:ind w:left="620"/>
        <w:spacing w:after="0"/>
        <w:tabs>
          <w:tab w:leader="none" w:pos="5820" w:val="left"/>
        </w:tabs>
        <w:rPr>
          <w:sz w:val="20"/>
          <w:szCs w:val="20"/>
          <w:color w:val="auto"/>
        </w:rPr>
      </w:pPr>
      <w:r>
        <w:rPr>
          <w:rFonts w:ascii="Times New Roman" w:cs="Times New Roman" w:eastAsia="Times New Roman" w:hAnsi="Times New Roman"/>
          <w:sz w:val="18"/>
          <w:szCs w:val="18"/>
          <w:color w:val="auto"/>
        </w:rPr>
        <w:t>stock in this offering at the assumed initial public offering price of $</w:t>
      </w:r>
      <w:r>
        <w:rPr>
          <w:sz w:val="20"/>
          <w:szCs w:val="20"/>
          <w:color w:val="auto"/>
        </w:rPr>
        <w:tab/>
      </w:r>
      <w:r>
        <w:rPr>
          <w:rFonts w:ascii="Times New Roman" w:cs="Times New Roman" w:eastAsia="Times New Roman" w:hAnsi="Times New Roman"/>
          <w:sz w:val="17"/>
          <w:szCs w:val="17"/>
          <w:color w:val="auto"/>
        </w:rPr>
        <w:t>per share, the midpoint of the price range set forth on the cover page of</w:t>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this prospectus, after deducting the estimated underwriting discounts and commissions and estimated offering expenses payable by us. A $1.00</w:t>
      </w:r>
    </w:p>
    <w:p>
      <w:pPr>
        <w:spacing w:after="0" w:line="7" w:lineRule="exact"/>
        <w:rPr>
          <w:sz w:val="20"/>
          <w:szCs w:val="20"/>
          <w:color w:val="auto"/>
        </w:rPr>
      </w:pPr>
    </w:p>
    <w:p>
      <w:pPr>
        <w:ind w:left="620"/>
        <w:spacing w:after="0"/>
        <w:tabs>
          <w:tab w:leader="none" w:pos="5720" w:val="left"/>
        </w:tabs>
        <w:rPr>
          <w:sz w:val="20"/>
          <w:szCs w:val="20"/>
          <w:color w:val="auto"/>
        </w:rPr>
      </w:pPr>
      <w:r>
        <w:rPr>
          <w:rFonts w:ascii="Times New Roman" w:cs="Times New Roman" w:eastAsia="Times New Roman" w:hAnsi="Times New Roman"/>
          <w:sz w:val="18"/>
          <w:szCs w:val="18"/>
          <w:color w:val="auto"/>
        </w:rPr>
        <w:t>increase (decrease) in the assumed initial public offering price of $</w:t>
      </w:r>
      <w:r>
        <w:rPr>
          <w:sz w:val="20"/>
          <w:szCs w:val="20"/>
          <w:color w:val="auto"/>
        </w:rPr>
        <w:tab/>
      </w:r>
      <w:r>
        <w:rPr>
          <w:rFonts w:ascii="Times New Roman" w:cs="Times New Roman" w:eastAsia="Times New Roman" w:hAnsi="Times New Roman"/>
          <w:sz w:val="17"/>
          <w:szCs w:val="17"/>
          <w:color w:val="auto"/>
        </w:rPr>
        <w:t>per share, the midpoint of the price range set forth on the cover of this</w:t>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prospectus, would increase (decrease) the pro forma as adjusted amount of each of cash and cash equivalents, working capital, total assets and</w:t>
      </w:r>
    </w:p>
    <w:p>
      <w:pPr>
        <w:spacing w:after="0" w:line="7" w:lineRule="exact"/>
        <w:rPr>
          <w:sz w:val="20"/>
          <w:szCs w:val="20"/>
          <w:color w:val="auto"/>
        </w:rPr>
      </w:pPr>
    </w:p>
    <w:p>
      <w:pPr>
        <w:ind w:left="620"/>
        <w:spacing w:after="0"/>
        <w:tabs>
          <w:tab w:leader="none" w:pos="3120" w:val="left"/>
        </w:tabs>
        <w:rPr>
          <w:sz w:val="20"/>
          <w:szCs w:val="20"/>
          <w:color w:val="auto"/>
        </w:rPr>
      </w:pPr>
      <w:r>
        <w:rPr>
          <w:rFonts w:ascii="Times New Roman" w:cs="Times New Roman" w:eastAsia="Times New Roman" w:hAnsi="Times New Roman"/>
          <w:sz w:val="18"/>
          <w:szCs w:val="18"/>
          <w:color w:val="auto"/>
        </w:rPr>
        <w:t>total stockholders’ equity by $</w:t>
      </w:r>
      <w:r>
        <w:rPr>
          <w:sz w:val="20"/>
          <w:szCs w:val="20"/>
          <w:color w:val="auto"/>
        </w:rPr>
        <w:tab/>
      </w:r>
      <w:r>
        <w:rPr>
          <w:rFonts w:ascii="Times New Roman" w:cs="Times New Roman" w:eastAsia="Times New Roman" w:hAnsi="Times New Roman"/>
          <w:sz w:val="17"/>
          <w:szCs w:val="17"/>
          <w:color w:val="auto"/>
        </w:rPr>
        <w:t>million, assuming that the number of shares offered by us, as set forth on the cover of this prospectus, remains</w:t>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same and after deducting estimated underwriting discounts and commissions and estimated offering expenses payable by us. Similarly, each</w:t>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increase (decrease) of 1,000,000 in the number of shares offered by us in this offering would increase (decrease) the pro forma as adjusted</w:t>
      </w:r>
    </w:p>
    <w:p>
      <w:pPr>
        <w:spacing w:after="0" w:line="7" w:lineRule="exact"/>
        <w:rPr>
          <w:sz w:val="20"/>
          <w:szCs w:val="20"/>
          <w:color w:val="auto"/>
        </w:rPr>
      </w:pPr>
    </w:p>
    <w:p>
      <w:pPr>
        <w:ind w:left="620"/>
        <w:spacing w:after="0"/>
        <w:tabs>
          <w:tab w:leader="none" w:pos="8720" w:val="left"/>
        </w:tabs>
        <w:rPr>
          <w:sz w:val="20"/>
          <w:szCs w:val="20"/>
          <w:color w:val="auto"/>
        </w:rPr>
      </w:pPr>
      <w:r>
        <w:rPr>
          <w:rFonts w:ascii="Times New Roman" w:cs="Times New Roman" w:eastAsia="Times New Roman" w:hAnsi="Times New Roman"/>
          <w:sz w:val="18"/>
          <w:szCs w:val="18"/>
          <w:color w:val="auto"/>
        </w:rPr>
        <w:t>amount of each of cash and cash equivalents, working capital, total assets and total stockholders’ equity by $</w:t>
      </w:r>
      <w:r>
        <w:rPr>
          <w:sz w:val="20"/>
          <w:szCs w:val="20"/>
          <w:color w:val="auto"/>
        </w:rPr>
        <w:tab/>
      </w:r>
      <w:r>
        <w:rPr>
          <w:rFonts w:ascii="Times New Roman" w:cs="Times New Roman" w:eastAsia="Times New Roman" w:hAnsi="Times New Roman"/>
          <w:sz w:val="17"/>
          <w:szCs w:val="17"/>
          <w:color w:val="auto"/>
        </w:rPr>
        <w:t>million, assuming the assumed</w:t>
      </w:r>
    </w:p>
    <w:p>
      <w:pPr>
        <w:spacing w:after="0" w:line="7" w:lineRule="exact"/>
        <w:rPr>
          <w:sz w:val="20"/>
          <w:szCs w:val="20"/>
          <w:color w:val="auto"/>
        </w:rPr>
      </w:pPr>
    </w:p>
    <w:p>
      <w:pPr>
        <w:ind w:left="620" w:right="580"/>
        <w:spacing w:after="0" w:line="248" w:lineRule="auto"/>
        <w:rPr>
          <w:sz w:val="20"/>
          <w:szCs w:val="20"/>
          <w:color w:val="auto"/>
        </w:rPr>
      </w:pPr>
      <w:r>
        <w:rPr>
          <w:rFonts w:ascii="Times New Roman" w:cs="Times New Roman" w:eastAsia="Times New Roman" w:hAnsi="Times New Roman"/>
          <w:sz w:val="18"/>
          <w:szCs w:val="18"/>
          <w:color w:val="auto"/>
        </w:rPr>
        <w:t>initial offering price remains the same and after deducting estimated underwriting discounts commissions and estimated offering expenses payable by us.</w:t>
      </w:r>
    </w:p>
    <w:p>
      <w:pPr>
        <w:ind w:left="620" w:right="460" w:hanging="427"/>
        <w:spacing w:after="0" w:line="256"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as current assets less current liabilities. See our financial statements and related notes appearing at the end of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4" w:right="5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3"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14" w:lineRule="exact"/>
        <w:rPr>
          <w:sz w:val="20"/>
          <w:szCs w:val="20"/>
          <w:color w:val="auto"/>
        </w:rPr>
      </w:pPr>
    </w:p>
    <w:p>
      <w:pPr>
        <w:ind w:left="460"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67"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7"/>
          <w:szCs w:val="17"/>
          <w:color w:val="auto"/>
        </w:rPr>
        <w:t>Investment in drug development is a highly speculative undertaking and involves a substantial degree of risk. We commenced operations in 2016 and are a clinical-stage biopharmaceutical company with a limited operating history. We have not yet commercialized any product and we do not expect to generate revenue from sales of any products for several years, if at all. Consequently, there have been limited operations upon which we or you can evaluate our business, and predictions about our future success or viability may not be as accurate as they could be if we had a longer operating history or a history of successfully developing and commercializing cancer therapies. For the years ended December 31, 2018 and 2019, we reported a net loss of $14.7 million and $27.6 million, respectively, and for the six months ended June 30, 2020, we reported a net loss of $20.9 million. As of June 30, 2020, we had an accumulated deficit of $71.4 million. We expect to continue to incur significant research and development and other expenses related to our ongoing operations.</w:t>
      </w:r>
    </w:p>
    <w:p>
      <w:pPr>
        <w:spacing w:after="0" w:line="17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research, preclinical and clinical development of our product candidates, PRT543, PRT811 and PRT1419, and our research efforts on other potential product candidates targeting Protein Arginine Methyltransferase 5, or PRMT5, Myeloid Cell Leukemia Sequence 1, or MCL1, Cyclin-dependent kinase 9, or CDK9, and Brahma homologue, or BRM, otherwise known as SMARCA2. To date, we have funded our operations with proceeds from sales of shares of our convertible preferred stock. From inception through June 30, 2020, we received an aggregate of $94.6 million in net proceeds from such sales. As of June 30, 2020, our cash and cash equivalents were $29.7 million.</w:t>
      </w:r>
    </w:p>
    <w:p>
      <w:pPr>
        <w:spacing w:after="0" w:line="184"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We expect to incur increasing levels of operating losses for the foreseeable future, particularly as we advance PRT543, PRT811 and PRT1419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and the planned expansion cohorts of PRT543 and PRT811, the upcoming planned Phase 1 clinical trial for PRT1419 and development and subsequent INDs of other future product candidates we may choose to pursue, including PRT2527, our CDK9 inhibitor, a SMARCA2 protein degrader and a kinase inhibitor. In addition, if we obtain marketing approval for PRT543, PRT811, PRT1419 or another product candidate, we will incur significant sales, marketing and outsourced manufacturing expenses in connection with the commercialization of PRT543, PRT811, PRT1419 or such other product candidate, respectively. Once we are a public company,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454"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7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PRT543, PRT811, PRT1419 or another product candidate. Our ability to generate revenue depends on a number of factors, including, but not limited to, our ability to:</w:t>
      </w:r>
    </w:p>
    <w:p>
      <w:pPr>
        <w:spacing w:after="0" w:line="86" w:lineRule="exact"/>
        <w:rPr>
          <w:sz w:val="20"/>
          <w:szCs w:val="20"/>
          <w:color w:val="auto"/>
        </w:rPr>
      </w:pPr>
    </w:p>
    <w:p>
      <w:pPr>
        <w:ind w:left="1000" w:hanging="5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successful Phase 1 portions of PRT543 and PRT811 clinical trials;</w:t>
      </w:r>
    </w:p>
    <w:p>
      <w:pPr>
        <w:spacing w:after="0" w:line="127" w:lineRule="exact"/>
        <w:rPr>
          <w:rFonts w:ascii="Times New Roman" w:cs="Times New Roman" w:eastAsia="Times New Roman" w:hAnsi="Times New Roman"/>
          <w:sz w:val="18"/>
          <w:szCs w:val="18"/>
          <w:color w:val="auto"/>
        </w:rPr>
      </w:pPr>
    </w:p>
    <w:p>
      <w:pPr>
        <w:ind w:left="1000" w:right="180" w:hanging="552"/>
        <w:spacing w:after="0" w:line="263"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obtain U.S. and foreign marketing approval for PRT543 as a treatment for patients with hematological malignancies and advanced solid tumors, and PRT811 as a treatment for patients with glioblastoma and advanced solid tumors;</w:t>
      </w:r>
    </w:p>
    <w:p>
      <w:pPr>
        <w:spacing w:after="0" w:line="81"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successful later-stage clinical trials that meet their clinical endpoints;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approval for PRT543 and PRT811;</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a successful Phase 1 clinical trial of PRT1419 as a treatment for patients with certain hematological malignancies;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may increase the value of our programs;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PRT543, PRT811, PRT1419 and our other product candidates;</w:t>
      </w:r>
    </w:p>
    <w:p>
      <w:pPr>
        <w:spacing w:after="0" w:line="127" w:lineRule="exact"/>
        <w:rPr>
          <w:rFonts w:ascii="Times New Roman" w:cs="Times New Roman" w:eastAsia="Times New Roman" w:hAnsi="Times New Roman"/>
          <w:sz w:val="18"/>
          <w:szCs w:val="18"/>
          <w:color w:val="auto"/>
        </w:rPr>
      </w:pPr>
    </w:p>
    <w:p>
      <w:pPr>
        <w:ind w:left="1000" w:right="500" w:hanging="552"/>
        <w:spacing w:after="0" w:line="27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PRT543, PRT811, PRT1419, if approved, respectively, by building a sales force or entering into collaborations with third parties;</w:t>
      </w:r>
    </w:p>
    <w:p>
      <w:pPr>
        <w:spacing w:after="0" w:line="68" w:lineRule="exact"/>
        <w:rPr>
          <w:rFonts w:ascii="Times New Roman" w:cs="Times New Roman" w:eastAsia="Times New Roman" w:hAnsi="Times New Roman"/>
          <w:sz w:val="18"/>
          <w:szCs w:val="18"/>
          <w:color w:val="auto"/>
        </w:rPr>
      </w:pPr>
    </w:p>
    <w:p>
      <w:pPr>
        <w:ind w:left="1000" w:right="420" w:hanging="552"/>
        <w:spacing w:after="0" w:line="27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INDs for PRT2527 and the SMARCA2 protein degrader that are made effective by the U.S. Food and Drug Administration, or the FDA;</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and</w:t>
      </w:r>
    </w:p>
    <w:p>
      <w:pPr>
        <w:spacing w:after="0" w:line="127" w:lineRule="exact"/>
        <w:rPr>
          <w:rFonts w:ascii="Times New Roman" w:cs="Times New Roman" w:eastAsia="Times New Roman" w:hAnsi="Times New Roman"/>
          <w:sz w:val="18"/>
          <w:szCs w:val="18"/>
          <w:color w:val="auto"/>
        </w:rPr>
      </w:pPr>
    </w:p>
    <w:p>
      <w:pPr>
        <w:ind w:left="1000" w:right="160" w:hanging="552"/>
        <w:spacing w:after="0" w:line="27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PRT543, PRT811, PRT1419 and our other successful product candidates with the medical community and with third-party payors.</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184"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454" w:right="3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84"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disclosed that there is substantial doubt about our ability to continue as a going concern.</w:t>
      </w:r>
    </w:p>
    <w:p>
      <w:pPr>
        <w:spacing w:after="0" w:line="118"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As a result of our net losses from operations, accumulated deficit and need for substantial additional capital, our independent registered public accounting firm included an explanatory paragraph in its report on our financial statements as of, and for the years ended, December 31, 2018 and 2019 that raises substantial doubt about our ability to continue as a going concern. If we are unable to obtain sufficient funding, we could be forced to delay, reduce or eliminate all of our research and development programs, future research and development efforts and ongoing preclinical studies and clinical trials, and our financial condition and results of operations will be materially and adversely affected and we may be unable to continue as a going concern. After the completion of this offering, future financial statements may continue to disclose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290" w:lineRule="exact"/>
        <w:rPr>
          <w:sz w:val="20"/>
          <w:szCs w:val="20"/>
          <w:color w:val="auto"/>
        </w:rPr>
      </w:pPr>
    </w:p>
    <w:p>
      <w:pPr>
        <w:jc w:val="both"/>
        <w:ind w:left="4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67"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PRT543, PRT811 and PRT1419, and other pipeline product candidates through clinical development, and seek to design additional product candidates from our discovery programs. We expect increased expenses as we continue our research and development,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upon the closing of this offering, we expect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We believe that the net proceeds from this offering, together with our existing cash and cash equivalents, will enable us to fund our operating</w:t>
      </w:r>
    </w:p>
    <w:p>
      <w:pPr>
        <w:spacing w:after="0" w:line="2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expenses, and capital expenditure requirements through at least . We have based this estimate on assumptions that may prove to be wrong, and we could use our capital resources sooner than we currently expect. Changes beyond our control may occur that would cause us to use our available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454"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capital before that time, including changes in and progress of our drug development activities and changes in regulation. Our future capital requirements will depend on many factors, including:</w:t>
      </w:r>
    </w:p>
    <w:p>
      <w:pPr>
        <w:spacing w:after="0" w:line="69" w:lineRule="exact"/>
        <w:rPr>
          <w:sz w:val="20"/>
          <w:szCs w:val="20"/>
          <w:color w:val="auto"/>
        </w:rPr>
      </w:pPr>
    </w:p>
    <w:p>
      <w:pPr>
        <w:ind w:left="1000" w:hanging="552"/>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127" w:lineRule="exact"/>
        <w:rPr>
          <w:rFonts w:ascii="Times New Roman" w:cs="Times New Roman" w:eastAsia="Times New Roman" w:hAnsi="Times New Roman"/>
          <w:sz w:val="18"/>
          <w:szCs w:val="18"/>
          <w:color w:val="auto"/>
        </w:rPr>
      </w:pPr>
    </w:p>
    <w:p>
      <w:pPr>
        <w:ind w:left="1000" w:right="520" w:hanging="552"/>
        <w:spacing w:after="0" w:line="27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other indications for our current product candidates that we may pursue;</w:t>
      </w:r>
    </w:p>
    <w:p>
      <w:pPr>
        <w:spacing w:after="0" w:line="68" w:lineRule="exact"/>
        <w:rPr>
          <w:rFonts w:ascii="Times New Roman" w:cs="Times New Roman" w:eastAsia="Times New Roman" w:hAnsi="Times New Roman"/>
          <w:sz w:val="18"/>
          <w:szCs w:val="18"/>
          <w:color w:val="auto"/>
        </w:rPr>
      </w:pPr>
    </w:p>
    <w:p>
      <w:pPr>
        <w:ind w:left="1000" w:right="80" w:hanging="552"/>
        <w:spacing w:after="0" w:line="27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regulatory approvals of our current or future product candidates and any companion diagnostics we may pursue;</w:t>
      </w:r>
    </w:p>
    <w:p>
      <w:pPr>
        <w:spacing w:after="0" w:line="68" w:lineRule="exact"/>
        <w:rPr>
          <w:rFonts w:ascii="Times New Roman" w:cs="Times New Roman" w:eastAsia="Times New Roman" w:hAnsi="Times New Roman"/>
          <w:sz w:val="18"/>
          <w:szCs w:val="18"/>
          <w:color w:val="auto"/>
        </w:rPr>
      </w:pPr>
    </w:p>
    <w:p>
      <w:pPr>
        <w:ind w:left="1000" w:right="260" w:hanging="552"/>
        <w:spacing w:after="0" w:line="27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68" w:lineRule="exact"/>
        <w:rPr>
          <w:rFonts w:ascii="Times New Roman" w:cs="Times New Roman" w:eastAsia="Times New Roman" w:hAnsi="Times New Roman"/>
          <w:sz w:val="18"/>
          <w:szCs w:val="18"/>
          <w:color w:val="auto"/>
        </w:rPr>
      </w:pPr>
    </w:p>
    <w:p>
      <w:pPr>
        <w:ind w:left="1000" w:hanging="552"/>
        <w:spacing w:after="0" w:line="27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68" w:lineRule="exact"/>
        <w:rPr>
          <w:rFonts w:ascii="Times New Roman" w:cs="Times New Roman" w:eastAsia="Times New Roman" w:hAnsi="Times New Roman"/>
          <w:sz w:val="18"/>
          <w:szCs w:val="18"/>
          <w:color w:val="auto"/>
        </w:rPr>
      </w:pPr>
    </w:p>
    <w:p>
      <w:pPr>
        <w:ind w:left="1000" w:right="880" w:hanging="552"/>
        <w:spacing w:after="0" w:line="27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 candidates, including establishing sales, marketing and distribution capabilities;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required by the FDA or other regulatory authorities;</w:t>
      </w:r>
    </w:p>
    <w:p>
      <w:pPr>
        <w:spacing w:after="0" w:line="127" w:lineRule="exact"/>
        <w:rPr>
          <w:rFonts w:ascii="Times New Roman" w:cs="Times New Roman" w:eastAsia="Times New Roman" w:hAnsi="Times New Roman"/>
          <w:sz w:val="18"/>
          <w:szCs w:val="18"/>
          <w:color w:val="auto"/>
        </w:rPr>
      </w:pPr>
    </w:p>
    <w:p>
      <w:pPr>
        <w:ind w:left="1000" w:right="520" w:hanging="552"/>
        <w:spacing w:after="0" w:line="27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PRT543, PRT811, or PRT1419, if any are approved, or our other pipeline product candidates that receive marketing approval;</w:t>
      </w:r>
    </w:p>
    <w:p>
      <w:pPr>
        <w:spacing w:after="0" w:line="68" w:lineRule="exact"/>
        <w:rPr>
          <w:rFonts w:ascii="Times New Roman" w:cs="Times New Roman" w:eastAsia="Times New Roman" w:hAnsi="Times New Roman"/>
          <w:sz w:val="18"/>
          <w:szCs w:val="18"/>
          <w:color w:val="auto"/>
        </w:rPr>
      </w:pPr>
    </w:p>
    <w:p>
      <w:pPr>
        <w:ind w:left="1000" w:right="420" w:hanging="552"/>
        <w:spacing w:after="0" w:line="308" w:lineRule="auto"/>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46" w:lineRule="exact"/>
        <w:rPr>
          <w:rFonts w:ascii="Times New Roman" w:cs="Times New Roman" w:eastAsia="Times New Roman" w:hAnsi="Times New Roman"/>
          <w:sz w:val="17"/>
          <w:szCs w:val="17"/>
          <w:color w:val="auto"/>
        </w:rPr>
      </w:pPr>
    </w:p>
    <w:p>
      <w:pPr>
        <w:ind w:left="1000" w:right="20" w:hanging="552"/>
        <w:spacing w:after="0" w:line="27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 and</w:t>
      </w:r>
    </w:p>
    <w:p>
      <w:pPr>
        <w:spacing w:after="0" w:line="68" w:lineRule="exact"/>
        <w:rPr>
          <w:rFonts w:ascii="Times New Roman" w:cs="Times New Roman" w:eastAsia="Times New Roman" w:hAnsi="Times New Roman"/>
          <w:sz w:val="18"/>
          <w:szCs w:val="18"/>
          <w:color w:val="auto"/>
        </w:rPr>
      </w:pPr>
    </w:p>
    <w:p>
      <w:pPr>
        <w:ind w:left="1000" w:right="160" w:hanging="552"/>
        <w:spacing w:after="0" w:line="263"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PRT543, PRT811, PRT1419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75" w:lineRule="exact"/>
        <w:rPr>
          <w:sz w:val="20"/>
          <w:szCs w:val="20"/>
          <w:color w:val="auto"/>
        </w:rPr>
      </w:pPr>
    </w:p>
    <w:p>
      <w:pPr>
        <w:ind w:right="200" w:firstLine="449"/>
        <w:spacing w:after="0" w:line="254" w:lineRule="auto"/>
        <w:rPr>
          <w:sz w:val="20"/>
          <w:szCs w:val="20"/>
          <w:color w:val="auto"/>
        </w:rPr>
      </w:pPr>
      <w:r>
        <w:rPr>
          <w:rFonts w:ascii="Times New Roman" w:cs="Times New Roman" w:eastAsia="Times New Roman" w:hAnsi="Times New Roman"/>
          <w:sz w:val="18"/>
          <w:szCs w:val="18"/>
          <w:color w:val="auto"/>
        </w:rPr>
        <w:t>Even if this offering is successful, 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287"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53" w:lineRule="exact"/>
        <w:rPr>
          <w:sz w:val="20"/>
          <w:szCs w:val="20"/>
          <w:color w:val="auto"/>
        </w:rPr>
      </w:pPr>
    </w:p>
    <w:p>
      <w:pPr>
        <w:ind w:right="720" w:firstLine="449"/>
        <w:spacing w:after="0" w:line="27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454"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4"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Design and Development of our Product Candidates</w:t>
      </w:r>
    </w:p>
    <w:p>
      <w:pPr>
        <w:spacing w:after="0" w:line="114" w:lineRule="exact"/>
        <w:rPr>
          <w:sz w:val="20"/>
          <w:szCs w:val="20"/>
          <w:color w:val="auto"/>
        </w:rPr>
      </w:pPr>
    </w:p>
    <w:p>
      <w:pPr>
        <w:ind w:left="460"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our product candidates, PRT543, PRT811 and PRT1419,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67" w:lineRule="exact"/>
        <w:rPr>
          <w:sz w:val="20"/>
          <w:szCs w:val="20"/>
          <w:color w:val="auto"/>
        </w:rPr>
      </w:pPr>
    </w:p>
    <w:p>
      <w:pPr>
        <w:ind w:right="80" w:firstLine="449"/>
        <w:spacing w:after="0" w:line="274" w:lineRule="auto"/>
        <w:rPr>
          <w:sz w:val="20"/>
          <w:szCs w:val="20"/>
          <w:color w:val="auto"/>
        </w:rPr>
      </w:pPr>
      <w:r>
        <w:rPr>
          <w:rFonts w:ascii="Times New Roman" w:cs="Times New Roman" w:eastAsia="Times New Roman" w:hAnsi="Times New Roman"/>
          <w:sz w:val="17"/>
          <w:szCs w:val="17"/>
          <w:color w:val="auto"/>
        </w:rPr>
        <w:t>Our future success is highly dependent on our ability to obtain regulatory approval for, and then successfully commercialize, our product candidates, PRT543, PRT811 and PRT1419. We are early in our development efforts and our lead product candidates, PRT543 and PRT811, are each currently in a Phase 1 clinical trial, and PRT1419 is anticipated to enter into a Phase 1 clinical trial in the second half of 2020. Our other product candidates are in earlier stages of development. We currently have no products that are approved for sale in any jurisdiction. There can be no assurance that PRT543, PRT811, PRT1419 or our other product candidates in development will achieve success in their clinical trials or obtain regulatory approval.</w:t>
      </w:r>
    </w:p>
    <w:p>
      <w:pPr>
        <w:spacing w:after="0" w:line="168" w:lineRule="exact"/>
        <w:rPr>
          <w:sz w:val="20"/>
          <w:szCs w:val="20"/>
          <w:color w:val="auto"/>
        </w:rPr>
      </w:pPr>
    </w:p>
    <w:p>
      <w:pPr>
        <w:ind w:right="500" w:firstLine="449"/>
        <w:spacing w:after="0" w:line="263"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for many years, if ever, will depend heavily on the successful development and eventual commercialization of PRT543, PRT811, PRT1419 or other product candidates in development. The success of our product candidates, including PRT543, PRT811 and PRT1419, will depend on several factors, including the following:</w:t>
      </w:r>
    </w:p>
    <w:p>
      <w:pPr>
        <w:spacing w:after="0" w:line="82" w:lineRule="exact"/>
        <w:rPr>
          <w:sz w:val="20"/>
          <w:szCs w:val="20"/>
          <w:color w:val="auto"/>
        </w:rPr>
      </w:pPr>
    </w:p>
    <w:p>
      <w:pPr>
        <w:ind w:left="1000" w:hanging="55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27" w:lineRule="exact"/>
        <w:rPr>
          <w:rFonts w:ascii="Times New Roman" w:cs="Times New Roman" w:eastAsia="Times New Roman" w:hAnsi="Times New Roman"/>
          <w:sz w:val="18"/>
          <w:szCs w:val="18"/>
          <w:color w:val="auto"/>
        </w:rPr>
      </w:pPr>
    </w:p>
    <w:p>
      <w:pPr>
        <w:ind w:left="1000" w:right="140" w:hanging="552"/>
        <w:spacing w:after="0" w:line="27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by the FDA or other similar clinical trial applications from foreign regulatory authorities for our future clinical trials for our pipeline product candidates;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27" w:lineRule="exact"/>
        <w:rPr>
          <w:rFonts w:ascii="Times New Roman" w:cs="Times New Roman" w:eastAsia="Times New Roman" w:hAnsi="Times New Roman"/>
          <w:sz w:val="18"/>
          <w:szCs w:val="18"/>
          <w:color w:val="auto"/>
        </w:rPr>
      </w:pPr>
    </w:p>
    <w:p>
      <w:pPr>
        <w:ind w:left="1000" w:right="380" w:hanging="552"/>
        <w:spacing w:after="0" w:line="27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efficacy and acceptable risk-benefit profiles of our product candidates to the satisfaction of the FDA and foreign regulatory agencies;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collaborators, to develop and obtain clearance or approval of companion diagnostics, on a timely basis, or at all;</w:t>
      </w:r>
    </w:p>
    <w:p>
      <w:pPr>
        <w:spacing w:after="0" w:line="127" w:lineRule="exact"/>
        <w:rPr>
          <w:rFonts w:ascii="Times New Roman" w:cs="Times New Roman" w:eastAsia="Times New Roman" w:hAnsi="Times New Roman"/>
          <w:sz w:val="18"/>
          <w:szCs w:val="18"/>
          <w:color w:val="auto"/>
        </w:rPr>
      </w:pPr>
    </w:p>
    <w:p>
      <w:pPr>
        <w:ind w:left="1000" w:right="540" w:hanging="552"/>
        <w:spacing w:after="0" w:line="27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 including the completion of any required post-marketing studies or trials;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commercialize our product candidates;</w:t>
      </w:r>
    </w:p>
    <w:p>
      <w:pPr>
        <w:spacing w:after="0" w:line="1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4"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hanging="552"/>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127" w:lineRule="exact"/>
        <w:rPr>
          <w:rFonts w:ascii="Times New Roman" w:cs="Times New Roman" w:eastAsia="Times New Roman" w:hAnsi="Times New Roman"/>
          <w:sz w:val="18"/>
          <w:szCs w:val="18"/>
          <w:color w:val="auto"/>
        </w:rPr>
      </w:pPr>
    </w:p>
    <w:p>
      <w:pPr>
        <w:ind w:left="1000" w:right="120" w:hanging="552"/>
        <w:spacing w:after="0" w:line="27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and reimbursement strategies;</w:t>
      </w:r>
    </w:p>
    <w:p>
      <w:pPr>
        <w:spacing w:after="0" w:line="127" w:lineRule="exact"/>
        <w:rPr>
          <w:rFonts w:ascii="Times New Roman" w:cs="Times New Roman" w:eastAsia="Times New Roman" w:hAnsi="Times New Roman"/>
          <w:sz w:val="18"/>
          <w:szCs w:val="18"/>
          <w:color w:val="auto"/>
        </w:rPr>
      </w:pPr>
    </w:p>
    <w:p>
      <w:pPr>
        <w:ind w:left="1000" w:right="360" w:hanging="552"/>
        <w:spacing w:after="0" w:line="27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payor coverage and adequate reimbursement;</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2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PRT543 or PRT811, or anticipated clinical trial of PRT1419, vary adversely from our expectations.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involves a lengthy and expensive process, and clinical testing is uncertain as to the outcome.</w:t>
      </w:r>
    </w:p>
    <w:p>
      <w:pPr>
        <w:spacing w:after="0" w:line="11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currently have two product candidates in Phase 1 clinical development, one product candidate preparing to enter into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184"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 In addition, although we have observed encouraging clinical activity in the dose escalation portion of the Phase 1 portion of our ongoing PRT543 and PRT811 clinical trials, the primary objectives were to determine the safety, tolerability and maximum tolerated dose of PRT543 and PRT811, respectively, and to determine a recommended Phase 2 dose for the expansion portion of our Phase 1 clinical trials, and not to demonstrate efficacy. The assessments of clinical activity from this portion of the clinical trials, some of which were not pre-specified, may not be predictive of the results in dose expansion cohorts, specific tumor types or further clinical trials of PRT543 and PRT811. In addition, while we may believe certain results in patients, such as stable disease, suggest encouraging clinical activity, stable disease is not considered a response for regulatory purposes. Stable disease, or SD, is defined as failure to meet the definition of objective clinical response or progressive disease. Furthermore, safety events may be observed in later trials that alter the anticipated risk-benefit profiles of PRT543 and PRT811.</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454" w:right="3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and/or commercialization of PRT543, PRT811, PRT1419 or our other product candidates.</w:t>
      </w:r>
    </w:p>
    <w:p>
      <w:pPr>
        <w:spacing w:after="0" w:line="53"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75" w:lineRule="exact"/>
        <w:rPr>
          <w:sz w:val="20"/>
          <w:szCs w:val="20"/>
          <w:color w:val="auto"/>
        </w:rPr>
      </w:pPr>
    </w:p>
    <w:p>
      <w:pPr>
        <w:ind w:right="360" w:firstLine="449"/>
        <w:spacing w:after="0" w:line="278" w:lineRule="auto"/>
        <w:rPr>
          <w:sz w:val="20"/>
          <w:szCs w:val="20"/>
          <w:color w:val="auto"/>
        </w:rPr>
      </w:pPr>
      <w:r>
        <w:rPr>
          <w:rFonts w:ascii="Times New Roman" w:cs="Times New Roman" w:eastAsia="Times New Roman" w:hAnsi="Times New Roman"/>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62" w:lineRule="exact"/>
        <w:rPr>
          <w:sz w:val="20"/>
          <w:szCs w:val="20"/>
          <w:color w:val="auto"/>
        </w:rPr>
      </w:pPr>
    </w:p>
    <w:p>
      <w:pPr>
        <w:ind w:right="260" w:firstLine="449"/>
        <w:spacing w:after="0" w:line="263" w:lineRule="auto"/>
        <w:rPr>
          <w:sz w:val="20"/>
          <w:szCs w:val="20"/>
          <w:color w:val="auto"/>
        </w:rPr>
      </w:pPr>
      <w:r>
        <w:rPr>
          <w:rFonts w:ascii="Times New Roman" w:cs="Times New Roman" w:eastAsia="Times New Roman" w:hAnsi="Times New Roman"/>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82" w:lineRule="exact"/>
        <w:rPr>
          <w:sz w:val="20"/>
          <w:szCs w:val="20"/>
          <w:color w:val="auto"/>
        </w:rPr>
      </w:pPr>
    </w:p>
    <w:p>
      <w:pPr>
        <w:ind w:left="1000" w:right="40" w:hanging="552"/>
        <w:spacing w:after="0" w:line="27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68" w:lineRule="exact"/>
        <w:rPr>
          <w:rFonts w:ascii="Times New Roman" w:cs="Times New Roman" w:eastAsia="Times New Roman" w:hAnsi="Times New Roman"/>
          <w:sz w:val="18"/>
          <w:szCs w:val="18"/>
          <w:color w:val="auto"/>
        </w:rPr>
      </w:pPr>
    </w:p>
    <w:p>
      <w:pPr>
        <w:ind w:left="1000" w:right="120" w:hanging="552"/>
        <w:spacing w:after="0" w:line="27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as to the design or implementation of our clinical trials or with our recommended Phase 2 doses for any of our pipeline programs;</w:t>
      </w:r>
    </w:p>
    <w:p>
      <w:pPr>
        <w:spacing w:after="0" w:line="68" w:lineRule="exact"/>
        <w:rPr>
          <w:rFonts w:ascii="Times New Roman" w:cs="Times New Roman" w:eastAsia="Times New Roman" w:hAnsi="Times New Roman"/>
          <w:sz w:val="18"/>
          <w:szCs w:val="18"/>
          <w:color w:val="auto"/>
        </w:rPr>
      </w:pPr>
    </w:p>
    <w:p>
      <w:pPr>
        <w:ind w:left="1000" w:right="800" w:hanging="552"/>
        <w:spacing w:after="0" w:line="27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clinical research organizations, or CROs, and prospective trial sites;</w:t>
      </w:r>
    </w:p>
    <w:p>
      <w:pPr>
        <w:spacing w:after="0" w:line="68" w:lineRule="exact"/>
        <w:rPr>
          <w:rFonts w:ascii="Times New Roman" w:cs="Times New Roman" w:eastAsia="Times New Roman" w:hAnsi="Times New Roman"/>
          <w:sz w:val="18"/>
          <w:szCs w:val="18"/>
          <w:color w:val="auto"/>
        </w:rPr>
      </w:pPr>
    </w:p>
    <w:p>
      <w:pPr>
        <w:ind w:left="1000" w:right="340" w:hanging="552"/>
        <w:spacing w:after="0" w:line="27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may produce negative or inconclusive results, and we may decide, or regulators may require us, to conduct additional clinical trials, delay or halt clinical trials or abandon product development programs;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27" w:lineRule="exact"/>
        <w:rPr>
          <w:rFonts w:ascii="Times New Roman" w:cs="Times New Roman" w:eastAsia="Times New Roman" w:hAnsi="Times New Roman"/>
          <w:sz w:val="18"/>
          <w:szCs w:val="18"/>
          <w:color w:val="auto"/>
        </w:rPr>
      </w:pPr>
    </w:p>
    <w:p>
      <w:pPr>
        <w:ind w:left="1000" w:right="80" w:hanging="552"/>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86" w:lineRule="exact"/>
        <w:rPr>
          <w:rFonts w:ascii="Times New Roman" w:cs="Times New Roman" w:eastAsia="Times New Roman" w:hAnsi="Times New Roman"/>
          <w:sz w:val="18"/>
          <w:szCs w:val="18"/>
          <w:color w:val="auto"/>
        </w:rPr>
      </w:pPr>
    </w:p>
    <w:p>
      <w:pPr>
        <w:ind w:left="1000" w:right="520" w:hanging="552"/>
        <w:spacing w:after="0" w:line="27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clinical trial participants from investigational and approved therapies may make it more difficult to enroll patients in our clinical trials;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maintaining contact with patients after treatment, resulting in incomplete data;</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collaborators may fail to obtain regulatory approval of companion diagnostic tests, if required, on a timely basis, or at all;</w:t>
      </w:r>
    </w:p>
    <w:p>
      <w:pPr>
        <w:spacing w:after="0" w:line="127" w:lineRule="exact"/>
        <w:rPr>
          <w:rFonts w:ascii="Times New Roman" w:cs="Times New Roman" w:eastAsia="Times New Roman" w:hAnsi="Times New Roman"/>
          <w:sz w:val="18"/>
          <w:szCs w:val="18"/>
          <w:color w:val="auto"/>
        </w:rPr>
      </w:pPr>
    </w:p>
    <w:p>
      <w:pPr>
        <w:ind w:left="1000" w:right="720" w:hanging="552"/>
        <w:spacing w:after="0" w:line="27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meet their contractual obligations to us in a timely manner, or at all, or may fail to comply with regulatory requirements;</w:t>
      </w:r>
    </w:p>
    <w:p>
      <w:pPr>
        <w:spacing w:after="0" w:line="68" w:lineRule="exact"/>
        <w:rPr>
          <w:rFonts w:ascii="Times New Roman" w:cs="Times New Roman" w:eastAsia="Times New Roman" w:hAnsi="Times New Roman"/>
          <w:sz w:val="18"/>
          <w:szCs w:val="18"/>
          <w:color w:val="auto"/>
        </w:rPr>
      </w:pPr>
    </w:p>
    <w:p>
      <w:pPr>
        <w:ind w:left="1000" w:right="500" w:hanging="552"/>
        <w:spacing w:after="0" w:line="27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for our product candidates for various reasons, including a finding by us or by a Data Monitoring Committee for a trial that the participants are being exposed to unacceptable health risks;</w:t>
      </w:r>
    </w:p>
    <w:p>
      <w:pPr>
        <w:spacing w:after="0" w:line="68" w:lineRule="exact"/>
        <w:rPr>
          <w:rFonts w:ascii="Times New Roman" w:cs="Times New Roman" w:eastAsia="Times New Roman" w:hAnsi="Times New Roman"/>
          <w:sz w:val="18"/>
          <w:szCs w:val="18"/>
          <w:color w:val="auto"/>
        </w:rPr>
      </w:pPr>
    </w:p>
    <w:p>
      <w:pPr>
        <w:ind w:left="1000" w:right="280" w:hanging="552"/>
        <w:spacing w:after="0" w:line="27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or unexpected side effects or other unexpected characteristics, causing us or our investigators, regulators or IRBs/ECs to suspend or terminate the trials;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454"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hanging="552"/>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for our product candidates may be greater than we anticipate;</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127" w:lineRule="exact"/>
        <w:rPr>
          <w:rFonts w:ascii="Times New Roman" w:cs="Times New Roman" w:eastAsia="Times New Roman" w:hAnsi="Times New Roman"/>
          <w:sz w:val="18"/>
          <w:szCs w:val="18"/>
          <w:color w:val="auto"/>
        </w:rPr>
      </w:pPr>
    </w:p>
    <w:p>
      <w:pPr>
        <w:ind w:left="1000" w:right="580" w:hanging="552"/>
        <w:spacing w:after="0" w:line="27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68" w:lineRule="exact"/>
        <w:rPr>
          <w:rFonts w:ascii="Times New Roman" w:cs="Times New Roman" w:eastAsia="Times New Roman" w:hAnsi="Times New Roman"/>
          <w:sz w:val="18"/>
          <w:szCs w:val="18"/>
          <w:color w:val="auto"/>
        </w:rPr>
      </w:pPr>
    </w:p>
    <w:p>
      <w:pPr>
        <w:ind w:left="1000" w:hanging="552"/>
        <w:spacing w:after="0" w:line="27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62"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84" w:lineRule="exact"/>
        <w:rPr>
          <w:sz w:val="20"/>
          <w:szCs w:val="20"/>
          <w:color w:val="auto"/>
        </w:rPr>
      </w:pPr>
    </w:p>
    <w:p>
      <w:pPr>
        <w:jc w:val="both"/>
        <w:ind w:right="440" w:firstLine="449"/>
        <w:spacing w:after="0" w:line="263" w:lineRule="auto"/>
        <w:rPr>
          <w:sz w:val="20"/>
          <w:szCs w:val="20"/>
          <w:color w:val="auto"/>
        </w:rPr>
      </w:pPr>
      <w:r>
        <w:rPr>
          <w:rFonts w:ascii="Times New Roman" w:cs="Times New Roman" w:eastAsia="Times New Roman" w:hAnsi="Times New Roman"/>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78" w:lineRule="exact"/>
        <w:rPr>
          <w:sz w:val="20"/>
          <w:szCs w:val="20"/>
          <w:color w:val="auto"/>
        </w:rPr>
      </w:pPr>
    </w:p>
    <w:p>
      <w:pPr>
        <w:ind w:left="46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5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This is acutely relevant for our development of PRT543 for the treatment of patients with myeloid malignancies and other solid tumors, including adenoid cystic carcinoma, or ACC, indications for which investigational drugs by our competitors are competing for clinical trial participants. Patient enrollment is also affected by other factors, including:</w:t>
      </w:r>
    </w:p>
    <w:p>
      <w:pPr>
        <w:spacing w:after="0" w:line="91" w:lineRule="exact"/>
        <w:rPr>
          <w:sz w:val="20"/>
          <w:szCs w:val="20"/>
          <w:color w:val="auto"/>
        </w:rPr>
      </w:pPr>
    </w:p>
    <w:p>
      <w:pPr>
        <w:ind w:left="1000" w:hanging="552"/>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27" w:lineRule="exact"/>
        <w:rPr>
          <w:rFonts w:ascii="Times New Roman" w:cs="Times New Roman" w:eastAsia="Times New Roman" w:hAnsi="Times New Roman"/>
          <w:sz w:val="18"/>
          <w:szCs w:val="18"/>
          <w:color w:val="auto"/>
        </w:rPr>
      </w:pPr>
    </w:p>
    <w:p>
      <w:pPr>
        <w:ind w:left="1000" w:right="260" w:hanging="552"/>
        <w:spacing w:after="0" w:line="27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invasive procedures required to enroll patients and to obtain evidence of the product candidate’s performance during the clinical trial;</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454" w:right="3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hanging="552"/>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to encourage patient participation in clinical trials;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21" w:lineRule="exact"/>
        <w:rPr>
          <w:sz w:val="20"/>
          <w:szCs w:val="20"/>
          <w:color w:val="auto"/>
        </w:rPr>
      </w:pPr>
    </w:p>
    <w:p>
      <w:pPr>
        <w:ind w:right="320" w:firstLine="449"/>
        <w:spacing w:after="0" w:line="263"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COVID-19 pandemic, may result in increased development costs, which would cause the value of our company to decline and limit our ability to obtain additional financing.</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impact our business, including our clinical trials and clinical trial operations.</w:t>
      </w:r>
    </w:p>
    <w:p>
      <w:pPr>
        <w:spacing w:after="0" w:line="118" w:lineRule="exact"/>
        <w:rPr>
          <w:sz w:val="20"/>
          <w:szCs w:val="20"/>
          <w:color w:val="auto"/>
        </w:rPr>
      </w:pPr>
    </w:p>
    <w:p>
      <w:pPr>
        <w:ind w:right="140" w:firstLine="449"/>
        <w:spacing w:after="0" w:line="278" w:lineRule="auto"/>
        <w:rPr>
          <w:sz w:val="20"/>
          <w:szCs w:val="20"/>
          <w:color w:val="auto"/>
        </w:rPr>
      </w:pPr>
      <w:r>
        <w:rPr>
          <w:rFonts w:ascii="Times New Roman" w:cs="Times New Roman" w:eastAsia="Times New Roman" w:hAnsi="Times New Roman"/>
          <w:sz w:val="18"/>
          <w:szCs w:val="18"/>
          <w:color w:val="auto"/>
        </w:rPr>
        <w:t>The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69" w:lineRule="exact"/>
        <w:rPr>
          <w:sz w:val="20"/>
          <w:szCs w:val="20"/>
          <w:color w:val="auto"/>
        </w:rPr>
      </w:pPr>
    </w:p>
    <w:p>
      <w:pPr>
        <w:ind w:left="1000" w:hanging="55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screening, enrolling and maintaining patients in our clinical trials;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27" w:lineRule="exact"/>
        <w:rPr>
          <w:rFonts w:ascii="Times New Roman" w:cs="Times New Roman" w:eastAsia="Times New Roman" w:hAnsi="Times New Roman"/>
          <w:sz w:val="18"/>
          <w:szCs w:val="18"/>
          <w:color w:val="auto"/>
        </w:rPr>
      </w:pPr>
    </w:p>
    <w:p>
      <w:pPr>
        <w:ind w:left="1000" w:right="120" w:hanging="552"/>
        <w:spacing w:after="0" w:line="27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subjects to travel to the clinical trial sites;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difficulties, or incompleteness in data collection and analysis and other related activities;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implementation of protocol required clinical trial activities and quality of source data verification at clinical trial sites;</w:t>
      </w:r>
    </w:p>
    <w:p>
      <w:pPr>
        <w:spacing w:after="0" w:line="127" w:lineRule="exact"/>
        <w:rPr>
          <w:rFonts w:ascii="Times New Roman" w:cs="Times New Roman" w:eastAsia="Times New Roman" w:hAnsi="Times New Roman"/>
          <w:sz w:val="18"/>
          <w:szCs w:val="18"/>
          <w:color w:val="auto"/>
        </w:rPr>
      </w:pPr>
    </w:p>
    <w:p>
      <w:pPr>
        <w:ind w:left="1000" w:hanging="552"/>
        <w:spacing w:after="0" w:line="27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68" w:lineRule="exact"/>
        <w:rPr>
          <w:rFonts w:ascii="Times New Roman" w:cs="Times New Roman" w:eastAsia="Times New Roman" w:hAnsi="Times New Roman"/>
          <w:sz w:val="18"/>
          <w:szCs w:val="18"/>
          <w:color w:val="auto"/>
        </w:rPr>
      </w:pPr>
    </w:p>
    <w:p>
      <w:pPr>
        <w:ind w:left="1000" w:right="40" w:hanging="552"/>
        <w:spacing w:after="0" w:line="308" w:lineRule="auto"/>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46" w:lineRule="exact"/>
        <w:rPr>
          <w:rFonts w:ascii="Times New Roman" w:cs="Times New Roman" w:eastAsia="Times New Roman" w:hAnsi="Times New Roman"/>
          <w:sz w:val="17"/>
          <w:szCs w:val="17"/>
          <w:color w:val="auto"/>
        </w:rPr>
      </w:pPr>
    </w:p>
    <w:p>
      <w:pPr>
        <w:ind w:left="1000" w:right="360" w:hanging="552"/>
        <w:spacing w:after="0" w:line="27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production shortages resulting from any events affecting raw material supply or manufacturing capabilities domestically and abroad;</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127" w:lineRule="exact"/>
        <w:rPr>
          <w:rFonts w:ascii="Times New Roman" w:cs="Times New Roman" w:eastAsia="Times New Roman" w:hAnsi="Times New Roman"/>
          <w:sz w:val="18"/>
          <w:szCs w:val="18"/>
          <w:color w:val="auto"/>
        </w:rPr>
      </w:pPr>
    </w:p>
    <w:p>
      <w:pPr>
        <w:ind w:left="1000" w:right="120" w:hanging="552"/>
        <w:spacing w:after="0" w:line="27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and domestic shipping that may affect the transport of clinical trial materials, such as investigational drug products used in our clinical trials;</w:t>
      </w:r>
    </w:p>
    <w:p>
      <w:pPr>
        <w:spacing w:after="0" w:line="68" w:lineRule="exact"/>
        <w:rPr>
          <w:rFonts w:ascii="Times New Roman" w:cs="Times New Roman" w:eastAsia="Times New Roman" w:hAnsi="Times New Roman"/>
          <w:sz w:val="18"/>
          <w:szCs w:val="18"/>
          <w:color w:val="auto"/>
        </w:rPr>
      </w:pPr>
    </w:p>
    <w:p>
      <w:pPr>
        <w:ind w:left="1000" w:right="200" w:hanging="552"/>
        <w:spacing w:after="0" w:line="27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delays, or to discontinue the clinical trials altogether;</w:t>
      </w:r>
    </w:p>
    <w:p>
      <w:pPr>
        <w:spacing w:after="0" w:line="68" w:lineRule="exact"/>
        <w:rPr>
          <w:rFonts w:ascii="Times New Roman" w:cs="Times New Roman" w:eastAsia="Times New Roman" w:hAnsi="Times New Roman"/>
          <w:sz w:val="18"/>
          <w:szCs w:val="18"/>
          <w:color w:val="auto"/>
        </w:rPr>
      </w:pPr>
    </w:p>
    <w:p>
      <w:pPr>
        <w:ind w:left="1000" w:right="360" w:hanging="552"/>
        <w:spacing w:after="0" w:line="27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454"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right="800" w:hanging="552"/>
        <w:spacing w:after="0" w:line="27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regulatory authorities such as FDA or European Medicines Agency, or EMA, to accept data from clinical trials in affected geographies; and</w:t>
      </w:r>
    </w:p>
    <w:p>
      <w:pPr>
        <w:spacing w:after="0" w:line="68" w:lineRule="exact"/>
        <w:rPr>
          <w:rFonts w:ascii="Times New Roman" w:cs="Times New Roman" w:eastAsia="Times New Roman" w:hAnsi="Times New Roman"/>
          <w:sz w:val="18"/>
          <w:szCs w:val="18"/>
          <w:color w:val="auto"/>
        </w:rPr>
      </w:pPr>
    </w:p>
    <w:p>
      <w:pPr>
        <w:ind w:left="1000" w:right="680" w:hanging="552"/>
        <w:spacing w:after="0" w:line="27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global economic conditions which could have an adverse effect on our business and financial condition, including impairing our ability to raise capital when needed.</w:t>
      </w:r>
    </w:p>
    <w:p>
      <w:pPr>
        <w:spacing w:after="0" w:line="162"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CROs, CMOs and clinical sites as we seek to mitigate the impact of COVID-19 on our studies and current timelines. Measures we have taken in response to COVID-19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EMA or other health authorities, which could result in delays in meetings related to planned or completed clinical trials and ultimately of reviews and approvals of our product candidates. The global COVID-19 pandemic continues to rapidly evolve. The extent to which the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94" w:lineRule="exact"/>
        <w:rPr>
          <w:sz w:val="20"/>
          <w:szCs w:val="20"/>
          <w:color w:val="auto"/>
        </w:rPr>
      </w:pPr>
    </w:p>
    <w:p>
      <w:pPr>
        <w:ind w:left="460"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PRT543, PRT811, PRT1419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6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As is the case with pharmaceuticals generally, we have observed side effects and adverse events associated with our clinical product candidate, PRT543. These side effects included diarrhea, nausea and fatigue, but none of these side effects were considered related to PRT543. At the highest dose level of our clinical product candidate, PRT543, there were occurrences of grade 4 thrombocytopenia that were deemed related to PRT543, but the toxicity was reversible after a one to two week drug holiday and the affected patients remained on the study and were restarted at a lower dose. We have also observed side effects and adverse effects associated with PRT811. These side effects included nausea, constipation, vomiting and hyponatremia, but none of these side effects were considered related to PRT811.</w:t>
      </w:r>
    </w:p>
    <w:p>
      <w:pPr>
        <w:spacing w:after="0" w:line="184"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184" w:lineRule="exact"/>
        <w:rPr>
          <w:sz w:val="20"/>
          <w:szCs w:val="20"/>
          <w:color w:val="auto"/>
        </w:rPr>
      </w:pPr>
    </w:p>
    <w:p>
      <w:pPr>
        <w:ind w:right="80" w:firstLine="449"/>
        <w:spacing w:after="0" w:line="263" w:lineRule="auto"/>
        <w:rPr>
          <w:sz w:val="20"/>
          <w:szCs w:val="20"/>
          <w:color w:val="auto"/>
        </w:rPr>
      </w:pPr>
      <w:r>
        <w:rPr>
          <w:rFonts w:ascii="Times New Roman" w:cs="Times New Roman" w:eastAsia="Times New Roman" w:hAnsi="Times New Roman"/>
          <w:sz w:val="18"/>
          <w:szCs w:val="18"/>
          <w:color w:val="auto"/>
        </w:rPr>
        <w:t>Additionally, due to the high mortality rates of the cancers for which we are initially pursuing development and the pretreated nature of many patients in our ongoing and planned clinical trials of PRT543, PRT811 and PRT1419, a material percentage of patients in these clinical trials may die during a trial, which could impact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454"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development of PRT543, PRT811 and PRT1419, respectively.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Any of these occurrences may harm our business, prospects, financial condition and results of operations significantly.</w:t>
      </w:r>
    </w:p>
    <w:p>
      <w:pPr>
        <w:spacing w:after="0" w:line="180" w:lineRule="exact"/>
        <w:rPr>
          <w:sz w:val="20"/>
          <w:szCs w:val="20"/>
          <w:color w:val="auto"/>
        </w:rPr>
      </w:pPr>
    </w:p>
    <w:p>
      <w:pPr>
        <w:ind w:right="160" w:firstLine="449"/>
        <w:spacing w:after="0" w:line="253"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84" w:lineRule="exact"/>
        <w:rPr>
          <w:sz w:val="20"/>
          <w:szCs w:val="20"/>
          <w:color w:val="auto"/>
        </w:rPr>
      </w:pPr>
    </w:p>
    <w:p>
      <w:pPr>
        <w:jc w:val="both"/>
        <w:ind w:right="60" w:firstLine="449"/>
        <w:spacing w:after="0" w:line="255"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4" w:lineRule="exact"/>
        <w:rPr>
          <w:sz w:val="20"/>
          <w:szCs w:val="20"/>
          <w:color w:val="auto"/>
        </w:rPr>
      </w:pPr>
    </w:p>
    <w:p>
      <w:pPr>
        <w:ind w:right="200" w:firstLine="449"/>
        <w:spacing w:after="0" w:line="278"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9" w:lineRule="exact"/>
        <w:rPr>
          <w:sz w:val="20"/>
          <w:szCs w:val="20"/>
          <w:color w:val="auto"/>
        </w:rPr>
      </w:pPr>
    </w:p>
    <w:p>
      <w:pPr>
        <w:ind w:left="1000" w:hanging="55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27" w:lineRule="exact"/>
        <w:rPr>
          <w:rFonts w:ascii="Times New Roman" w:cs="Times New Roman" w:eastAsia="Times New Roman" w:hAnsi="Times New Roman"/>
          <w:sz w:val="18"/>
          <w:szCs w:val="18"/>
          <w:color w:val="auto"/>
        </w:rPr>
      </w:pPr>
    </w:p>
    <w:p>
      <w:pPr>
        <w:ind w:left="1000" w:right="220" w:hanging="552"/>
        <w:spacing w:after="0" w:line="308" w:lineRule="auto"/>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46" w:lineRule="exact"/>
        <w:rPr>
          <w:rFonts w:ascii="Times New Roman" w:cs="Times New Roman" w:eastAsia="Times New Roman" w:hAnsi="Times New Roman"/>
          <w:sz w:val="17"/>
          <w:szCs w:val="17"/>
          <w:color w:val="auto"/>
        </w:rPr>
      </w:pPr>
    </w:p>
    <w:p>
      <w:pPr>
        <w:ind w:left="1000" w:hanging="552"/>
        <w:spacing w:after="0" w:line="27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or REMS, or create a medication guide outlining the risks of such side effects for distribution to patients;</w:t>
      </w:r>
    </w:p>
    <w:p>
      <w:pPr>
        <w:spacing w:after="0" w:line="68" w:lineRule="exact"/>
        <w:rPr>
          <w:rFonts w:ascii="Times New Roman" w:cs="Times New Roman" w:eastAsia="Times New Roman" w:hAnsi="Times New Roman"/>
          <w:sz w:val="18"/>
          <w:szCs w:val="18"/>
          <w:color w:val="auto"/>
        </w:rPr>
      </w:pPr>
    </w:p>
    <w:p>
      <w:pPr>
        <w:ind w:left="1000" w:right="60" w:hanging="552"/>
        <w:spacing w:after="0" w:line="27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promotion of the particular product or the manufacturing processes for the product or any component thereof;</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1" w:lineRule="exact"/>
        <w:rPr>
          <w:sz w:val="20"/>
          <w:szCs w:val="20"/>
          <w:color w:val="auto"/>
        </w:rPr>
      </w:pPr>
    </w:p>
    <w:p>
      <w:pPr>
        <w:ind w:right="40" w:firstLine="449"/>
        <w:spacing w:after="0" w:line="278"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454" w:right="3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right="4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3" w:lineRule="exact"/>
        <w:rPr>
          <w:sz w:val="20"/>
          <w:szCs w:val="20"/>
          <w:color w:val="auto"/>
        </w:rPr>
      </w:pPr>
    </w:p>
    <w:p>
      <w:pPr>
        <w:jc w:val="both"/>
        <w:ind w:right="120" w:firstLine="449"/>
        <w:spacing w:after="0" w:line="270" w:lineRule="auto"/>
        <w:rPr>
          <w:sz w:val="20"/>
          <w:szCs w:val="20"/>
          <w:color w:val="auto"/>
        </w:rPr>
      </w:pPr>
      <w:r>
        <w:rPr>
          <w:rFonts w:ascii="Times New Roman" w:cs="Times New Roman" w:eastAsia="Times New Roman" w:hAnsi="Times New Roman"/>
          <w:sz w:val="17"/>
          <w:szCs w:val="17"/>
          <w:color w:val="auto"/>
        </w:rPr>
        <w:t>From time to time, we may publicly disclose preliminary, interim or topline data from our clinical trials, such as the preliminary data analysis for the Phase 1 dose expansion portions of our PRT543 and PRT811 trials. These updates are based on a preliminary analysis of then-available data, and the results and related findings and conclusions are subject to change following a more comprehensive review of the data related to the particular study or trial.</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after this offering. See the description of risks under the heading “Risks Related to our Common Stock and This Offering” for more disclosure related to the risk of volatility in our stock price.</w:t>
      </w:r>
    </w:p>
    <w:p>
      <w:pPr>
        <w:spacing w:after="0" w:line="196" w:lineRule="exact"/>
        <w:rPr>
          <w:sz w:val="20"/>
          <w:szCs w:val="20"/>
          <w:color w:val="auto"/>
        </w:rPr>
      </w:pPr>
    </w:p>
    <w:p>
      <w:pPr>
        <w:ind w:right="120" w:firstLine="449"/>
        <w:spacing w:after="0" w:line="251"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PRT543, PRT811 or PRT1419, or any other product candidates may be harmed, which could harm our business, financial condition, results of operations and prospects.</w:t>
      </w:r>
    </w:p>
    <w:p>
      <w:pPr>
        <w:spacing w:after="0" w:line="295" w:lineRule="exact"/>
        <w:rPr>
          <w:sz w:val="20"/>
          <w:szCs w:val="20"/>
          <w:color w:val="auto"/>
        </w:rPr>
      </w:pPr>
    </w:p>
    <w:p>
      <w:pPr>
        <w:ind w:left="460" w:right="6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3"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454"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design additional potential product candidates.</w:t>
      </w:r>
    </w:p>
    <w:p>
      <w:pPr>
        <w:spacing w:after="0" w:line="118"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91" w:lineRule="exact"/>
        <w:rPr>
          <w:sz w:val="20"/>
          <w:szCs w:val="20"/>
          <w:color w:val="auto"/>
        </w:rPr>
      </w:pPr>
    </w:p>
    <w:p>
      <w:pPr>
        <w:ind w:left="1000" w:hanging="55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selection methodology used may not be successful in identifying potential product candidates;</w:t>
      </w:r>
    </w:p>
    <w:p>
      <w:pPr>
        <w:spacing w:after="0" w:line="127" w:lineRule="exact"/>
        <w:rPr>
          <w:rFonts w:ascii="Times New Roman" w:cs="Times New Roman" w:eastAsia="Times New Roman" w:hAnsi="Times New Roman"/>
          <w:sz w:val="18"/>
          <w:szCs w:val="18"/>
          <w:color w:val="auto"/>
        </w:rPr>
      </w:pPr>
    </w:p>
    <w:p>
      <w:pPr>
        <w:ind w:left="1000" w:right="360" w:hanging="552"/>
        <w:spacing w:after="0" w:line="278"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drugs that will obtain marketing approval or achieve market acceptance; or</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w:t>
      </w:r>
    </w:p>
    <w:p>
      <w:pPr>
        <w:spacing w:after="0" w:line="221"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4" w:lineRule="exact"/>
        <w:rPr>
          <w:sz w:val="20"/>
          <w:szCs w:val="20"/>
          <w:color w:val="auto"/>
        </w:rPr>
      </w:pPr>
    </w:p>
    <w:p>
      <w:pPr>
        <w:ind w:left="460" w:right="6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regulatory approvals for PRT543, PRT811, PRT1419 or any other product candidates, on a timely basis or at all.</w:t>
      </w:r>
    </w:p>
    <w:p>
      <w:pPr>
        <w:spacing w:after="0" w:line="53" w:lineRule="exact"/>
        <w:rPr>
          <w:sz w:val="20"/>
          <w:szCs w:val="20"/>
          <w:color w:val="auto"/>
        </w:rPr>
      </w:pPr>
    </w:p>
    <w:p>
      <w:pPr>
        <w:ind w:right="20" w:firstLine="449"/>
        <w:spacing w:after="0" w:line="270" w:lineRule="auto"/>
        <w:rPr>
          <w:sz w:val="20"/>
          <w:szCs w:val="20"/>
          <w:color w:val="auto"/>
        </w:rPr>
      </w:pPr>
      <w:r>
        <w:rPr>
          <w:rFonts w:ascii="Times New Roman" w:cs="Times New Roman" w:eastAsia="Times New Roman" w:hAnsi="Times New Roman"/>
          <w:sz w:val="17"/>
          <w:szCs w:val="17"/>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PRT543, PRT811 and PRT1419,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72" w:lineRule="exact"/>
        <w:rPr>
          <w:sz w:val="20"/>
          <w:szCs w:val="20"/>
          <w:color w:val="auto"/>
        </w:rPr>
      </w:pPr>
    </w:p>
    <w:p>
      <w:pPr>
        <w:jc w:val="both"/>
        <w:ind w:right="60" w:firstLine="449"/>
        <w:spacing w:after="0" w:line="258"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80"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Phase 1 clinical trials of PRT543 or PRT811 may be sufficient to support FDA approval of an NDA for PRT543 or PRT811,</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454" w:right="3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respectively, but the FDA may disagree with the sufficiency of our data and require additional clinical trials. Additionally, depending upon the results of the expansion portions of the Phase 1 clinical trials of PRT543 or PRT811, we may choose to seek Subpart H accelerated approval for PRT543 or PRT811, respectively, which would require completion of a confirmatory trial to validate the clinical benefit of the drug. Despite the time and expense associated with preclinical studies and clinical trials, failure can occur at any stage. The results of preclinical and early clinical trials of PRT543, PRT811, PRT1419 or any other product candidate may not be predictive of the results of our later-stage clinical trials.</w:t>
      </w:r>
    </w:p>
    <w:p>
      <w:pPr>
        <w:spacing w:after="0" w:line="184"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could delay, limit or deny approval of a product candidate for many reasons, including because the FDA:</w:t>
      </w:r>
    </w:p>
    <w:p>
      <w:pPr>
        <w:spacing w:after="0" w:line="127" w:lineRule="exact"/>
        <w:rPr>
          <w:sz w:val="20"/>
          <w:szCs w:val="20"/>
          <w:color w:val="auto"/>
        </w:rPr>
      </w:pPr>
    </w:p>
    <w:p>
      <w:pPr>
        <w:ind w:left="1000" w:hanging="55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our product candidate to be safe and effective;</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product candidate does not have an acceptable benefit-risk profile;</w:t>
      </w:r>
    </w:p>
    <w:p>
      <w:pPr>
        <w:spacing w:after="0" w:line="127" w:lineRule="exact"/>
        <w:rPr>
          <w:rFonts w:ascii="Times New Roman" w:cs="Times New Roman" w:eastAsia="Times New Roman" w:hAnsi="Times New Roman"/>
          <w:sz w:val="18"/>
          <w:szCs w:val="18"/>
          <w:color w:val="auto"/>
        </w:rPr>
      </w:pPr>
    </w:p>
    <w:p>
      <w:pPr>
        <w:ind w:left="1000" w:hanging="552"/>
        <w:spacing w:after="0" w:line="27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in the case of an NDA seeking accelerated approval that the NDA does not provide evidence that the product candidate represents a meaningful advantage over available therapies;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objective response rate, or ORR, and duration of response are not clinically meaningful;</w:t>
      </w:r>
    </w:p>
    <w:p>
      <w:pPr>
        <w:spacing w:after="0" w:line="127" w:lineRule="exact"/>
        <w:rPr>
          <w:rFonts w:ascii="Times New Roman" w:cs="Times New Roman" w:eastAsia="Times New Roman" w:hAnsi="Times New Roman"/>
          <w:sz w:val="18"/>
          <w:szCs w:val="18"/>
          <w:color w:val="auto"/>
        </w:rPr>
      </w:pPr>
    </w:p>
    <w:p>
      <w:pPr>
        <w:ind w:left="1000" w:right="280" w:hanging="552"/>
        <w:spacing w:after="0" w:line="308" w:lineRule="auto"/>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46" w:lineRule="exact"/>
        <w:rPr>
          <w:rFonts w:ascii="Times New Roman" w:cs="Times New Roman" w:eastAsia="Times New Roman" w:hAnsi="Times New Roman"/>
          <w:sz w:val="17"/>
          <w:szCs w:val="17"/>
          <w:color w:val="auto"/>
        </w:rPr>
      </w:pPr>
    </w:p>
    <w:p>
      <w:pPr>
        <w:ind w:left="1000" w:hanging="55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adverse events experienced by participants in our clinical trials represent an unacceptable level of risk;</w:t>
      </w:r>
    </w:p>
    <w:p>
      <w:pPr>
        <w:spacing w:after="0" w:line="127" w:lineRule="exact"/>
        <w:rPr>
          <w:rFonts w:ascii="Times New Roman" w:cs="Times New Roman" w:eastAsia="Times New Roman" w:hAnsi="Times New Roman"/>
          <w:sz w:val="18"/>
          <w:szCs w:val="18"/>
          <w:color w:val="auto"/>
        </w:rPr>
      </w:pPr>
    </w:p>
    <w:p>
      <w:pPr>
        <w:ind w:left="1000" w:right="60" w:hanging="552"/>
        <w:spacing w:after="0" w:line="27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population studied in the clinical trial may not be sufficiently broad or representative to assure safety in the full population for which we seek approval;</w:t>
      </w:r>
    </w:p>
    <w:p>
      <w:pPr>
        <w:spacing w:after="0" w:line="68" w:lineRule="exact"/>
        <w:rPr>
          <w:rFonts w:ascii="Times New Roman" w:cs="Times New Roman" w:eastAsia="Times New Roman" w:hAnsi="Times New Roman"/>
          <w:sz w:val="18"/>
          <w:szCs w:val="18"/>
          <w:color w:val="auto"/>
        </w:rPr>
      </w:pPr>
    </w:p>
    <w:p>
      <w:pPr>
        <w:ind w:left="1000" w:right="500" w:hanging="552"/>
        <w:spacing w:after="0" w:line="27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accept clinical data from trials, which are conducted at clinical facilities or in countries where the standard of care is potentially different from that of the United States;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regarding the formulation, labeling and/or the specifications;</w:t>
      </w:r>
    </w:p>
    <w:p>
      <w:pPr>
        <w:spacing w:after="0" w:line="127" w:lineRule="exact"/>
        <w:rPr>
          <w:rFonts w:ascii="Times New Roman" w:cs="Times New Roman" w:eastAsia="Times New Roman" w:hAnsi="Times New Roman"/>
          <w:sz w:val="18"/>
          <w:szCs w:val="18"/>
          <w:color w:val="auto"/>
        </w:rPr>
      </w:pPr>
    </w:p>
    <w:p>
      <w:pPr>
        <w:ind w:left="1000" w:right="200" w:hanging="552"/>
        <w:spacing w:after="0" w:line="27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manufacturing processes associated with our product candidate or may determine that a manufacturing facility does not have an acceptable compliance status;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approval policies or adopt new regulations; or</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file a submission due to, among other reasons, the content or formatting of the submission.</w:t>
      </w:r>
    </w:p>
    <w:p>
      <w:pPr>
        <w:spacing w:after="0" w:line="221" w:lineRule="exact"/>
        <w:rPr>
          <w:sz w:val="20"/>
          <w:szCs w:val="20"/>
          <w:color w:val="auto"/>
        </w:rPr>
      </w:pPr>
    </w:p>
    <w:p>
      <w:pPr>
        <w:ind w:right="60" w:firstLine="449"/>
        <w:spacing w:after="0" w:line="278" w:lineRule="auto"/>
        <w:rPr>
          <w:sz w:val="20"/>
          <w:szCs w:val="20"/>
          <w:color w:val="auto"/>
        </w:rPr>
      </w:pPr>
      <w:r>
        <w:rPr>
          <w:rFonts w:ascii="Times New Roman" w:cs="Times New Roman" w:eastAsia="Times New Roman" w:hAnsi="Times New Roman"/>
          <w:sz w:val="18"/>
          <w:szCs w:val="18"/>
          <w:color w:val="auto"/>
        </w:rPr>
        <w:t>We have not obtained FDA approval for any product. This lack of experience may impede our ability to obtain FDA approval in a timely manner, if at all, for our clinical product candidates.</w:t>
      </w:r>
    </w:p>
    <w:p>
      <w:pPr>
        <w:spacing w:after="0" w:line="162" w:lineRule="exact"/>
        <w:rPr>
          <w:sz w:val="20"/>
          <w:szCs w:val="20"/>
          <w:color w:val="auto"/>
        </w:rPr>
      </w:pPr>
    </w:p>
    <w:p>
      <w:pPr>
        <w:ind w:right="20" w:firstLine="449"/>
        <w:spacing w:after="0" w:line="263"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PRT543, PRT811 or PRT1419, our commercial prospects will be harmed and our ability to generate revenues will be materially impaired which would adversely affect our business, prospects,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454" w:right="3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53"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184"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designated, initiated, and/or fully enrolled prior to approval.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end and accelerated approval of our product candidate would be more difficult or may not occur. Moreover, the FDA may withdraw approval of our product candidate approved under the accelerated approval pathway if, for example:</w:t>
      </w:r>
    </w:p>
    <w:p>
      <w:pPr>
        <w:spacing w:after="0" w:line="90" w:lineRule="exact"/>
        <w:rPr>
          <w:sz w:val="20"/>
          <w:szCs w:val="20"/>
          <w:color w:val="auto"/>
        </w:rPr>
      </w:pPr>
    </w:p>
    <w:p>
      <w:pPr>
        <w:ind w:left="1000" w:right="440" w:hanging="552"/>
        <w:spacing w:after="0" w:line="27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our product candidate is not shown to be safe or effective under the conditions of use;</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324" w:lineRule="exact"/>
        <w:rPr>
          <w:sz w:val="20"/>
          <w:szCs w:val="20"/>
          <w:color w:val="auto"/>
        </w:rPr>
      </w:pPr>
    </w:p>
    <w:p>
      <w:pPr>
        <w:ind w:left="460" w:right="10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Our failure to obtain marketing approval in foreign jurisdictions would prevent our product candidates from being marketed abroad, and any approval we are granted for our product candidates in the United States would not assure approval of product candidates in foreign jurisdictions.</w:t>
      </w:r>
    </w:p>
    <w:p>
      <w:pPr>
        <w:spacing w:after="0" w:line="2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18" w:lineRule="exact"/>
        <w:rPr>
          <w:sz w:val="20"/>
          <w:szCs w:val="20"/>
          <w:color w:val="auto"/>
        </w:rPr>
      </w:pPr>
    </w:p>
    <w:p>
      <w:pPr>
        <w:ind w:right="420" w:firstLine="449"/>
        <w:spacing w:after="0" w:line="27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Orphan Drug Act, the FDA may designate a drug as an</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454" w:right="3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75"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84"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We may apply for an orphan drug designation in the United States or other geographies for our product candidates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292" w:lineRule="exact"/>
        <w:rPr>
          <w:sz w:val="20"/>
          <w:szCs w:val="20"/>
          <w:color w:val="auto"/>
        </w:rPr>
      </w:pPr>
    </w:p>
    <w:p>
      <w:pPr>
        <w:ind w:left="460" w:right="36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2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84"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454"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6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A companion diagnostic is a medical device, often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182"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A companion diagnostic is generally developed in conjunction with the clinical program for an associated therapeutic product. To date, the FDA has required premarket approval of all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8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Development of a companion diagnostic could include additional meetings with regulatory authorities, such as a pre-submission meeting and the requirement to submit an investigational device exemption.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180"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pursue a Fast Track Designation by the FDA, it may not lead to a faster development or regulatory review or approval process.</w:t>
      </w:r>
    </w:p>
    <w:p>
      <w:pPr>
        <w:spacing w:after="0" w:line="118"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or not to grant this designation, so even if we believe a particular product candidate is eligible for this designation, we cannot assure you that the FDA would decide to grant it. Even if we do receive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454" w:right="3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65" w:lineRule="exact"/>
        <w:rPr>
          <w:sz w:val="20"/>
          <w:szCs w:val="20"/>
          <w:color w:val="auto"/>
        </w:rPr>
      </w:pPr>
    </w:p>
    <w:p>
      <w:pPr>
        <w:ind w:left="460" w:right="3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67"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80" w:lineRule="exact"/>
        <w:rPr>
          <w:sz w:val="20"/>
          <w:szCs w:val="20"/>
          <w:color w:val="auto"/>
        </w:rPr>
      </w:pPr>
    </w:p>
    <w:p>
      <w:pPr>
        <w:ind w:right="220" w:firstLine="449"/>
        <w:spacing w:after="0" w:line="263"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7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current good manufacturing practice, or cGMPs, which include requirements relating to quality control and quality assurance as well as the corresponding maintenance of records and documentation and reporting requirements. We and our contract manufacturing organizations, or CMOs, could be subject to periodic unannounced inspections by the FDA to monitor and ensure compliance with cGMPs.</w:t>
      </w:r>
    </w:p>
    <w:p>
      <w:pPr>
        <w:spacing w:after="0" w:line="180"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87" w:lineRule="exact"/>
        <w:rPr>
          <w:sz w:val="20"/>
          <w:szCs w:val="20"/>
          <w:color w:val="auto"/>
        </w:rPr>
      </w:pPr>
    </w:p>
    <w:p>
      <w:pPr>
        <w:ind w:left="460" w:right="260"/>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49" w:lineRule="exact"/>
        <w:rPr>
          <w:sz w:val="20"/>
          <w:szCs w:val="20"/>
          <w:color w:val="auto"/>
        </w:rPr>
      </w:pPr>
    </w:p>
    <w:p>
      <w:pPr>
        <w:ind w:right="40" w:firstLine="449"/>
        <w:spacing w:after="0" w:line="263"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454" w:right="3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right="620"/>
        <w:spacing w:after="0" w:line="263" w:lineRule="auto"/>
        <w:rPr>
          <w:sz w:val="20"/>
          <w:szCs w:val="20"/>
          <w:color w:val="auto"/>
        </w:rPr>
      </w:pPr>
      <w:r>
        <w:rPr>
          <w:rFonts w:ascii="Times New Roman" w:cs="Times New Roman" w:eastAsia="Times New Roman" w:hAnsi="Times New Roman"/>
          <w:sz w:val="18"/>
          <w:szCs w:val="18"/>
          <w:color w:val="auto"/>
        </w:rPr>
        <w:t>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75"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94" w:lineRule="exact"/>
        <w:rPr>
          <w:sz w:val="20"/>
          <w:szCs w:val="20"/>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ind w:right="800" w:firstLine="449"/>
        <w:spacing w:after="0" w:line="278"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65" w:lineRule="exact"/>
        <w:rPr>
          <w:sz w:val="20"/>
          <w:szCs w:val="20"/>
          <w:color w:val="auto"/>
        </w:rPr>
      </w:pPr>
    </w:p>
    <w:p>
      <w:pPr>
        <w:ind w:left="460" w:right="1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67" w:lineRule="exact"/>
        <w:rPr>
          <w:sz w:val="20"/>
          <w:szCs w:val="20"/>
          <w:color w:val="auto"/>
        </w:rPr>
      </w:pPr>
    </w:p>
    <w:p>
      <w:pPr>
        <w:ind w:right="200" w:firstLine="449"/>
        <w:spacing w:after="0" w:line="263"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454" w:right="3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8"/>
          <w:szCs w:val="18"/>
          <w:color w:val="auto"/>
        </w:rPr>
        <w:t>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82" w:lineRule="exact"/>
        <w:rPr>
          <w:sz w:val="20"/>
          <w:szCs w:val="20"/>
          <w:color w:val="auto"/>
        </w:rPr>
      </w:pPr>
    </w:p>
    <w:p>
      <w:pPr>
        <w:ind w:left="1000" w:right="60" w:hanging="552"/>
        <w:spacing w:after="0" w:line="258"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86" w:lineRule="exact"/>
        <w:rPr>
          <w:rFonts w:ascii="Times New Roman" w:cs="Times New Roman" w:eastAsia="Times New Roman" w:hAnsi="Times New Roman"/>
          <w:sz w:val="18"/>
          <w:szCs w:val="18"/>
          <w:color w:val="auto"/>
        </w:rPr>
      </w:pPr>
    </w:p>
    <w:p>
      <w:pPr>
        <w:ind w:left="1000" w:right="40" w:hanging="552"/>
        <w:spacing w:after="0" w:line="277"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73" w:lineRule="exact"/>
        <w:rPr>
          <w:rFonts w:ascii="Times New Roman" w:cs="Times New Roman" w:eastAsia="Times New Roman" w:hAnsi="Times New Roman"/>
          <w:sz w:val="17"/>
          <w:szCs w:val="17"/>
          <w:color w:val="auto"/>
        </w:rPr>
      </w:pPr>
    </w:p>
    <w:p>
      <w:pPr>
        <w:ind w:left="1000" w:right="20" w:hanging="552"/>
        <w:spacing w:after="0" w:line="277"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73" w:lineRule="exact"/>
        <w:rPr>
          <w:rFonts w:ascii="Times New Roman" w:cs="Times New Roman" w:eastAsia="Times New Roman" w:hAnsi="Times New Roman"/>
          <w:sz w:val="17"/>
          <w:szCs w:val="17"/>
          <w:color w:val="auto"/>
        </w:rPr>
      </w:pPr>
    </w:p>
    <w:p>
      <w:pPr>
        <w:ind w:left="1000" w:right="40" w:hanging="552"/>
        <w:spacing w:after="0" w:line="258"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such individually identifiable health information;</w:t>
      </w:r>
    </w:p>
    <w:p>
      <w:pPr>
        <w:spacing w:after="0" w:line="86" w:lineRule="exact"/>
        <w:rPr>
          <w:rFonts w:ascii="Times New Roman" w:cs="Times New Roman" w:eastAsia="Times New Roman" w:hAnsi="Times New Roman"/>
          <w:sz w:val="18"/>
          <w:szCs w:val="18"/>
          <w:color w:val="auto"/>
        </w:rPr>
      </w:pPr>
    </w:p>
    <w:p>
      <w:pPr>
        <w:ind w:left="1000" w:right="320" w:hanging="552"/>
        <w:spacing w:after="0" w:line="277"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report to the Centers for Medicare &amp; Medicaid Services, or CMS, information related to payments and other transfers of value provided to, and ownership and investment interests held by, physicians, as defined by such law, and their immediate family members; and</w:t>
      </w:r>
    </w:p>
    <w:p>
      <w:pPr>
        <w:spacing w:after="0" w:line="73" w:lineRule="exact"/>
        <w:rPr>
          <w:rFonts w:ascii="Times New Roman" w:cs="Times New Roman" w:eastAsia="Times New Roman" w:hAnsi="Times New Roman"/>
          <w:sz w:val="17"/>
          <w:szCs w:val="17"/>
          <w:color w:val="auto"/>
        </w:rPr>
      </w:pPr>
    </w:p>
    <w:p>
      <w:pPr>
        <w:ind w:left="1000" w:hanging="552"/>
        <w:spacing w:after="0" w:line="25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jc w:val="both"/>
        <w:ind w:right="20" w:firstLine="449"/>
        <w:spacing w:after="0" w:line="26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454"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287"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53" w:lineRule="exact"/>
        <w:rPr>
          <w:sz w:val="20"/>
          <w:szCs w:val="20"/>
          <w:color w:val="auto"/>
        </w:rPr>
      </w:pPr>
    </w:p>
    <w:p>
      <w:pPr>
        <w:jc w:val="both"/>
        <w:ind w:right="220" w:firstLine="449"/>
        <w:spacing w:after="0" w:line="26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75" w:lineRule="exact"/>
        <w:rPr>
          <w:sz w:val="20"/>
          <w:szCs w:val="20"/>
          <w:color w:val="auto"/>
        </w:rPr>
      </w:pPr>
    </w:p>
    <w:p>
      <w:pPr>
        <w:ind w:right="80" w:firstLine="449"/>
        <w:spacing w:after="0" w:line="263" w:lineRule="auto"/>
        <w:rPr>
          <w:sz w:val="20"/>
          <w:szCs w:val="20"/>
          <w:color w:val="auto"/>
        </w:rPr>
      </w:pPr>
      <w:r>
        <w:rPr>
          <w:rFonts w:ascii="Times New Roman" w:cs="Times New Roman" w:eastAsia="Times New Roman" w:hAnsi="Times New Roman"/>
          <w:sz w:val="18"/>
          <w:szCs w:val="18"/>
          <w:color w:val="auto"/>
        </w:rPr>
        <w:t>For example, in March 2010, the former U.S. President signed into law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127" w:lineRule="exact"/>
        <w:rPr>
          <w:sz w:val="20"/>
          <w:szCs w:val="20"/>
          <w:color w:val="auto"/>
        </w:rPr>
      </w:pPr>
    </w:p>
    <w:p>
      <w:pPr>
        <w:ind w:left="1000" w:hanging="55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and taxes on manufacturers of certain branded prescription drugs;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products;</w:t>
      </w:r>
    </w:p>
    <w:p>
      <w:pPr>
        <w:spacing w:after="0" w:line="127" w:lineRule="exact"/>
        <w:rPr>
          <w:rFonts w:ascii="Times New Roman" w:cs="Times New Roman" w:eastAsia="Times New Roman" w:hAnsi="Times New Roman"/>
          <w:sz w:val="18"/>
          <w:szCs w:val="18"/>
          <w:color w:val="auto"/>
        </w:rPr>
      </w:pPr>
    </w:p>
    <w:p>
      <w:pPr>
        <w:ind w:left="1000" w:right="340" w:hanging="552"/>
        <w:spacing w:after="0" w:line="263"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81" w:lineRule="exact"/>
        <w:rPr>
          <w:rFonts w:ascii="Times New Roman" w:cs="Times New Roman" w:eastAsia="Times New Roman" w:hAnsi="Times New Roman"/>
          <w:sz w:val="18"/>
          <w:szCs w:val="18"/>
          <w:color w:val="auto"/>
        </w:rPr>
      </w:pPr>
    </w:p>
    <w:p>
      <w:pPr>
        <w:ind w:left="1000" w:right="520" w:hanging="552"/>
        <w:spacing w:after="0" w:line="27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68" w:lineRule="exact"/>
        <w:rPr>
          <w:rFonts w:ascii="Times New Roman" w:cs="Times New Roman" w:eastAsia="Times New Roman" w:hAnsi="Times New Roman"/>
          <w:sz w:val="18"/>
          <w:szCs w:val="18"/>
          <w:color w:val="auto"/>
        </w:rPr>
      </w:pPr>
    </w:p>
    <w:p>
      <w:pPr>
        <w:ind w:left="1000" w:right="440" w:hanging="552"/>
        <w:spacing w:after="0" w:line="27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68" w:lineRule="exact"/>
        <w:rPr>
          <w:rFonts w:ascii="Times New Roman" w:cs="Times New Roman" w:eastAsia="Times New Roman" w:hAnsi="Times New Roman"/>
          <w:sz w:val="18"/>
          <w:szCs w:val="18"/>
          <w:color w:val="auto"/>
        </w:rPr>
      </w:pPr>
    </w:p>
    <w:p>
      <w:pPr>
        <w:ind w:left="1000" w:right="660" w:hanging="552"/>
        <w:spacing w:after="0" w:line="27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financial arrangements with physicians, as defined by such law, and teaching hospitals;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and</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454"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right="420" w:hanging="552"/>
        <w:spacing w:after="0" w:line="27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There remain judicial and Congressional challenges as well as efforts by the current U.S. President’s administration to repeal or replace certain aspects of the ACA. Since January 2017, the current U.S. President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of 2020. It is unclear how such litigation and other efforts to repeal and replace the ACA will impact the ACA and our business.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2011 was signed into law, which, among other things, created the Joint Select Committee on Deficit Reduction to recommend to Congress proposals for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spending reductions. The Joint Select Committee did not achieve a targeted deficit reduction, triggering the legislation’s automatic reduction to several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government programs. These changes include aggregate reductions to Medicare payments to providers of up to 2% per fiscal year, which began in 2013,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to subsequent legislative amendments to the statute, will remain in effect through 2030 unless additional Congressional action is taken. The Coronavirus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Aid, Relief, and Economic Security Act, or the CARES Act, which was signed into law in March 2020 and is designed to provide financial support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 to individuals and businesses affected by the COVID-19 pandemic, suspended the 2% Medicare sequester from May 1, 2020 through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2020, and extended the sequester by one year, through 2030. In January 2013, the American Taxpayer Relief Act of 2012 was signed into law,</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among other things, reduced Medicare payments to several providers, and increased the statute of limitations period for the government to recover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overpayments to providers from three to five years. These laws may result in additional reductions in Medicare and other healthcare funding.</w:t>
      </w:r>
    </w:p>
    <w:p>
      <w:pPr>
        <w:spacing w:after="0" w:line="20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current U.S. President’s administration issued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In addition, the current U.S. President’s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454" w:right="3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Human Services has solicited feedback on some of these measures and has implemented others under its existing authority. Although some of these measures may require additional authorization to become effective, Congress and the current U.S. President’s administration have each indicated that it will continue to seek new legislative and/or administrative measures to control drug costs. 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ind w:right="140" w:firstLine="449"/>
        <w:spacing w:after="0" w:line="263"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75"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to address the COVID-19 pandemic.</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18"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296" w:lineRule="exact"/>
        <w:rPr>
          <w:sz w:val="20"/>
          <w:szCs w:val="20"/>
          <w:color w:val="auto"/>
        </w:rPr>
      </w:pPr>
    </w:p>
    <w:p>
      <w:pPr>
        <w:ind w:left="460" w:right="8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29" w:lineRule="exact"/>
        <w:rPr>
          <w:sz w:val="20"/>
          <w:szCs w:val="20"/>
          <w:color w:val="auto"/>
        </w:rPr>
      </w:pPr>
    </w:p>
    <w:p>
      <w:pPr>
        <w:ind w:right="40" w:firstLine="449"/>
        <w:spacing w:after="0" w:line="263"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454"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80" w:lineRule="exact"/>
        <w:rPr>
          <w:sz w:val="20"/>
          <w:szCs w:val="20"/>
          <w:color w:val="auto"/>
        </w:rPr>
      </w:pPr>
    </w:p>
    <w:p>
      <w:pPr>
        <w:jc w:val="both"/>
        <w:ind w:right="140" w:firstLine="449"/>
        <w:spacing w:after="0" w:line="258"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84" w:lineRule="exact"/>
        <w:rPr>
          <w:sz w:val="20"/>
          <w:szCs w:val="20"/>
          <w:color w:val="auto"/>
        </w:rPr>
      </w:pPr>
    </w:p>
    <w:p>
      <w:pPr>
        <w:ind w:right="100" w:firstLine="449"/>
        <w:spacing w:after="0" w:line="263"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78" w:lineRule="exact"/>
        <w:rPr>
          <w:sz w:val="20"/>
          <w:szCs w:val="20"/>
          <w:color w:val="auto"/>
        </w:rPr>
      </w:pPr>
    </w:p>
    <w:p>
      <w:pPr>
        <w:ind w:left="460"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3"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84"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80"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75" w:lineRule="exact"/>
        <w:rPr>
          <w:sz w:val="20"/>
          <w:szCs w:val="20"/>
          <w:color w:val="auto"/>
        </w:rPr>
      </w:pPr>
    </w:p>
    <w:p>
      <w:pPr>
        <w:jc w:val="both"/>
        <w:ind w:right="300" w:firstLine="449"/>
        <w:spacing w:after="0" w:line="263"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454" w:right="3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80" w:firstLine="449"/>
        <w:spacing w:after="0" w:line="263"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78" w:lineRule="exact"/>
        <w:rPr>
          <w:sz w:val="20"/>
          <w:szCs w:val="20"/>
          <w:color w:val="auto"/>
        </w:rPr>
      </w:pPr>
    </w:p>
    <w:p>
      <w:pPr>
        <w:ind w:left="460" w:right="4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53"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92" w:lineRule="exact"/>
        <w:rPr>
          <w:sz w:val="20"/>
          <w:szCs w:val="20"/>
          <w:color w:val="auto"/>
        </w:rPr>
      </w:pPr>
    </w:p>
    <w:p>
      <w:pPr>
        <w:ind w:right="180" w:firstLine="449"/>
        <w:spacing w:after="0" w:line="278"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4" w:lineRule="exact"/>
        <w:rPr>
          <w:sz w:val="20"/>
          <w:szCs w:val="20"/>
          <w:color w:val="auto"/>
        </w:rPr>
      </w:pPr>
    </w:p>
    <w:p>
      <w:pPr>
        <w:ind w:left="460"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3"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7"/>
          <w:szCs w:val="17"/>
          <w:color w:val="auto"/>
        </w:rPr>
        <w:t>We do not have the ability to independently conduct all aspects of our preclinical testing or clinical trials ourselves. As a result, we are dependent on third parties to conduct our ongoing and planned clinical trials of PRT543, PRT811 and PRT1419,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454" w:right="3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these regulations may require us to stop and/or repeat clinical trials, which would delay the marketing approval process.</w:t>
      </w:r>
    </w:p>
    <w:p>
      <w:pPr>
        <w:spacing w:after="0" w:line="2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84"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PRT543, PRT811, PRT1419 or any other product candidates and will not be able to, or may be delayed in our efforts to, successfully commercialize our products.</w:t>
      </w:r>
    </w:p>
    <w:p>
      <w:pPr>
        <w:spacing w:after="0" w:line="287"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7"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In addition, the ongoing COVID-19 pandemic may result in disruptions to the operations or an extended shutdown of certain businesses, which could include certain of our contract manufacturers.</w:t>
      </w:r>
    </w:p>
    <w:p>
      <w:pPr>
        <w:spacing w:after="0" w:line="184" w:lineRule="exact"/>
        <w:rPr>
          <w:sz w:val="20"/>
          <w:szCs w:val="20"/>
          <w:color w:val="auto"/>
        </w:rPr>
      </w:pPr>
    </w:p>
    <w:p>
      <w:pPr>
        <w:ind w:right="60" w:firstLine="449"/>
        <w:spacing w:after="0" w:line="278"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69" w:lineRule="exact"/>
        <w:rPr>
          <w:sz w:val="20"/>
          <w:szCs w:val="20"/>
          <w:color w:val="auto"/>
        </w:rPr>
      </w:pPr>
    </w:p>
    <w:p>
      <w:pPr>
        <w:ind w:left="1000" w:hanging="55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27" w:lineRule="exact"/>
        <w:rPr>
          <w:rFonts w:ascii="Times New Roman" w:cs="Times New Roman" w:eastAsia="Times New Roman" w:hAnsi="Times New Roman"/>
          <w:sz w:val="18"/>
          <w:szCs w:val="18"/>
          <w:color w:val="auto"/>
        </w:rPr>
      </w:pPr>
    </w:p>
    <w:p>
      <w:pPr>
        <w:jc w:val="both"/>
        <w:ind w:left="1000" w:right="80" w:hanging="552"/>
        <w:spacing w:after="0" w:line="263"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81"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454"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hanging="552"/>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2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8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180"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8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4" w:lineRule="exact"/>
        <w:rPr>
          <w:sz w:val="20"/>
          <w:szCs w:val="20"/>
          <w:color w:val="auto"/>
        </w:rPr>
      </w:pPr>
    </w:p>
    <w:p>
      <w:pPr>
        <w:ind w:right="80" w:firstLine="449"/>
        <w:spacing w:after="0" w:line="263"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75" w:lineRule="exact"/>
        <w:rPr>
          <w:sz w:val="20"/>
          <w:szCs w:val="20"/>
          <w:color w:val="auto"/>
        </w:rPr>
      </w:pPr>
    </w:p>
    <w:p>
      <w:pPr>
        <w:ind w:right="380" w:firstLine="449"/>
        <w:spacing w:after="0" w:line="263"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54"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75"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recent COVID-19 pandemic. If our current third-party manufacturers cannot perform as agreed, we may be required to replace such manufacturers and we may be unable to replace them on a timely basis or at all.</w:t>
      </w:r>
    </w:p>
    <w:p>
      <w:pPr>
        <w:spacing w:after="0" w:line="187" w:lineRule="exact"/>
        <w:rPr>
          <w:sz w:val="20"/>
          <w:szCs w:val="20"/>
          <w:color w:val="auto"/>
        </w:rPr>
      </w:pPr>
    </w:p>
    <w:p>
      <w:pPr>
        <w:ind w:right="100" w:firstLine="449"/>
        <w:spacing w:after="0" w:line="278"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65" w:lineRule="exact"/>
        <w:rPr>
          <w:sz w:val="20"/>
          <w:szCs w:val="20"/>
          <w:color w:val="auto"/>
        </w:rPr>
      </w:pPr>
    </w:p>
    <w:p>
      <w:pPr>
        <w:ind w:left="46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53" w:lineRule="exact"/>
        <w:rPr>
          <w:sz w:val="20"/>
          <w:szCs w:val="20"/>
          <w:color w:val="auto"/>
        </w:rPr>
      </w:pPr>
    </w:p>
    <w:p>
      <w:pPr>
        <w:ind w:right="200" w:firstLine="449"/>
        <w:spacing w:after="0" w:line="254"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84"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86" w:lineRule="exact"/>
        <w:rPr>
          <w:sz w:val="20"/>
          <w:szCs w:val="20"/>
          <w:color w:val="auto"/>
        </w:rPr>
      </w:pPr>
    </w:p>
    <w:p>
      <w:pPr>
        <w:ind w:left="1000" w:right="440" w:hanging="552"/>
        <w:spacing w:after="0" w:line="27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68" w:lineRule="exact"/>
        <w:rPr>
          <w:rFonts w:ascii="Times New Roman" w:cs="Times New Roman" w:eastAsia="Times New Roman" w:hAnsi="Times New Roman"/>
          <w:sz w:val="18"/>
          <w:szCs w:val="18"/>
          <w:color w:val="auto"/>
        </w:rPr>
      </w:pPr>
    </w:p>
    <w:p>
      <w:pPr>
        <w:ind w:left="1000" w:right="120" w:hanging="552"/>
        <w:spacing w:after="0" w:line="25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86" w:lineRule="exact"/>
        <w:rPr>
          <w:rFonts w:ascii="Times New Roman" w:cs="Times New Roman" w:eastAsia="Times New Roman" w:hAnsi="Times New Roman"/>
          <w:sz w:val="18"/>
          <w:szCs w:val="18"/>
          <w:color w:val="auto"/>
        </w:rPr>
      </w:pPr>
    </w:p>
    <w:p>
      <w:pPr>
        <w:ind w:left="1000" w:right="520" w:hanging="552"/>
        <w:spacing w:after="0" w:line="27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8" w:lineRule="exact"/>
        <w:rPr>
          <w:rFonts w:ascii="Times New Roman" w:cs="Times New Roman" w:eastAsia="Times New Roman" w:hAnsi="Times New Roman"/>
          <w:sz w:val="18"/>
          <w:szCs w:val="18"/>
          <w:color w:val="auto"/>
        </w:rPr>
      </w:pPr>
    </w:p>
    <w:p>
      <w:pPr>
        <w:ind w:left="1000" w:right="380" w:hanging="552"/>
        <w:spacing w:after="0" w:line="27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80"/>
          </w:cols>
          <w:pgMar w:left="320" w:top="454" w:right="3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products are more likely to be successfully developed or can be commercialized under terms that are more economically attractive than ours;</w:t>
      </w:r>
    </w:p>
    <w:p>
      <w:pPr>
        <w:spacing w:after="0" w:line="127" w:lineRule="exact"/>
        <w:rPr>
          <w:sz w:val="20"/>
          <w:szCs w:val="20"/>
          <w:color w:val="auto"/>
        </w:rPr>
      </w:pPr>
    </w:p>
    <w:p>
      <w:pPr>
        <w:ind w:left="1000" w:hanging="552"/>
        <w:spacing w:after="0" w:line="278"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68" w:lineRule="exact"/>
        <w:rPr>
          <w:rFonts w:ascii="Times New Roman" w:cs="Times New Roman" w:eastAsia="Times New Roman" w:hAnsi="Times New Roman"/>
          <w:sz w:val="18"/>
          <w:szCs w:val="18"/>
          <w:color w:val="auto"/>
        </w:rPr>
      </w:pPr>
    </w:p>
    <w:p>
      <w:pPr>
        <w:ind w:left="1000" w:right="140" w:hanging="552"/>
        <w:spacing w:after="0" w:line="285" w:lineRule="auto"/>
        <w:tabs>
          <w:tab w:leader="none" w:pos="10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5" w:lineRule="exact"/>
        <w:rPr>
          <w:rFonts w:ascii="Times New Roman" w:cs="Times New Roman" w:eastAsia="Times New Roman" w:hAnsi="Times New Roman"/>
          <w:sz w:val="17"/>
          <w:szCs w:val="17"/>
          <w:color w:val="auto"/>
        </w:rPr>
      </w:pPr>
    </w:p>
    <w:p>
      <w:pPr>
        <w:ind w:left="1000" w:right="200" w:hanging="552"/>
        <w:spacing w:after="0" w:line="308" w:lineRule="auto"/>
        <w:tabs>
          <w:tab w:leader="none" w:pos="10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46" w:lineRule="exact"/>
        <w:rPr>
          <w:rFonts w:ascii="Times New Roman" w:cs="Times New Roman" w:eastAsia="Times New Roman" w:hAnsi="Times New Roman"/>
          <w:sz w:val="17"/>
          <w:szCs w:val="17"/>
          <w:color w:val="auto"/>
        </w:rPr>
      </w:pPr>
    </w:p>
    <w:p>
      <w:pPr>
        <w:ind w:left="1000" w:right="1120" w:hanging="552"/>
        <w:spacing w:after="0" w:line="278"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127" w:lineRule="exact"/>
        <w:rPr>
          <w:rFonts w:ascii="Times New Roman" w:cs="Times New Roman" w:eastAsia="Times New Roman" w:hAnsi="Times New Roman"/>
          <w:sz w:val="18"/>
          <w:szCs w:val="18"/>
          <w:color w:val="auto"/>
        </w:rPr>
      </w:pPr>
    </w:p>
    <w:p>
      <w:pPr>
        <w:ind w:left="1000" w:right="80" w:hanging="552"/>
        <w:spacing w:after="0" w:line="278"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62" w:lineRule="exact"/>
        <w:rPr>
          <w:sz w:val="20"/>
          <w:szCs w:val="20"/>
          <w:color w:val="auto"/>
        </w:rPr>
      </w:pPr>
    </w:p>
    <w:p>
      <w:pPr>
        <w:ind w:right="460" w:firstLine="449"/>
        <w:spacing w:after="0" w:line="278"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4" w:lineRule="exact"/>
        <w:rPr>
          <w:sz w:val="20"/>
          <w:szCs w:val="20"/>
          <w:color w:val="auto"/>
        </w:rPr>
      </w:pPr>
    </w:p>
    <w:p>
      <w:pPr>
        <w:ind w:left="460" w:right="2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67" w:lineRule="exact"/>
        <w:rPr>
          <w:sz w:val="20"/>
          <w:szCs w:val="20"/>
          <w:color w:val="auto"/>
        </w:rPr>
      </w:pPr>
    </w:p>
    <w:p>
      <w:pPr>
        <w:ind w:right="60" w:firstLine="449"/>
        <w:spacing w:after="0" w:line="271" w:lineRule="auto"/>
        <w:rPr>
          <w:sz w:val="20"/>
          <w:szCs w:val="20"/>
          <w:color w:val="auto"/>
        </w:rPr>
      </w:pPr>
      <w:r>
        <w:rPr>
          <w:rFonts w:ascii="Times New Roman" w:cs="Times New Roman" w:eastAsia="Times New Roman" w:hAnsi="Times New Roman"/>
          <w:sz w:val="17"/>
          <w:szCs w:val="17"/>
          <w:color w:val="auto"/>
        </w:rPr>
        <w:t>The total addressable market opportunity for PRT543, PRT811, PRT1419 and any other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276" w:lineRule="exact"/>
        <w:rPr>
          <w:sz w:val="20"/>
          <w:szCs w:val="20"/>
          <w:color w:val="auto"/>
        </w:rPr>
      </w:pPr>
    </w:p>
    <w:p>
      <w:pPr>
        <w:ind w:left="460"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53" w:lineRule="exact"/>
        <w:rPr>
          <w:sz w:val="20"/>
          <w:szCs w:val="20"/>
          <w:color w:val="auto"/>
        </w:rPr>
      </w:pPr>
    </w:p>
    <w:p>
      <w:pPr>
        <w:jc w:val="both"/>
        <w:ind w:right="420" w:firstLine="449"/>
        <w:spacing w:after="0" w:line="285" w:lineRule="auto"/>
        <w:rPr>
          <w:sz w:val="20"/>
          <w:szCs w:val="20"/>
          <w:color w:val="auto"/>
        </w:rPr>
      </w:pPr>
      <w:r>
        <w:rPr>
          <w:rFonts w:ascii="Times New Roman" w:cs="Times New Roman" w:eastAsia="Times New Roman" w:hAnsi="Times New Roman"/>
          <w:sz w:val="17"/>
          <w:szCs w:val="17"/>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454"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69" w:lineRule="exact"/>
        <w:rPr>
          <w:sz w:val="20"/>
          <w:szCs w:val="20"/>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as front-line treatment for various indications;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distribution and/or use restrictions, such as through a REMS;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24" w:lineRule="exact"/>
        <w:rPr>
          <w:sz w:val="20"/>
          <w:szCs w:val="20"/>
          <w:color w:val="auto"/>
        </w:rPr>
      </w:pPr>
    </w:p>
    <w:p>
      <w:pPr>
        <w:jc w:val="both"/>
        <w:ind w:left="460" w:righ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67"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7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27" w:lineRule="exact"/>
        <w:rPr>
          <w:sz w:val="20"/>
          <w:szCs w:val="20"/>
          <w:color w:val="auto"/>
        </w:rPr>
      </w:pPr>
    </w:p>
    <w:p>
      <w:pPr>
        <w:ind w:left="1000" w:hanging="55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financing necessary to build our commercialization infrastructure;</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an adequate number of physicians as to the benefits of our products;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third-party payor coverage and reimbursement in any geography;</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454" w:right="3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right="280" w:hanging="552"/>
        <w:spacing w:after="0" w:line="27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287" w:lineRule="exact"/>
        <w:rPr>
          <w:sz w:val="20"/>
          <w:szCs w:val="20"/>
          <w:color w:val="auto"/>
        </w:rPr>
      </w:pPr>
    </w:p>
    <w:p>
      <w:pPr>
        <w:ind w:left="460"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3"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Black Diamond Therapeutics, Inc., Constellation Pharmaceuticals, Inc., Repare Therapeutics Inc., Revolution Medicines, Inc., Relay Therapeutics, Inc., and Zentalis Pharmaceuticals, LLC. In addition, we may face competition from companies pursuing the development of product candidates that are based on targeting pathways of adaptive resistance, including Amgen Inc., or Amgen, AbbVie Inc., or AbbVie, AstraZeneca PLC, or AstraZeneca, GlaxoSmithKline plc, or GlaxoSmithKline, Johnson &amp; Johnson, Pfizer Inc., or Pfizer, Bayer AG, or Bayer, and Novartis International AG, or Novartis.</w:t>
      </w:r>
    </w:p>
    <w:p>
      <w:pPr>
        <w:spacing w:after="0" w:line="189"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Specifically, with respect to our lead product candidates, we expect that our current product candidates PRT543 and PRT811 will compete against other PRMT5 inhibitors which are currently in clinical development, including those of GlaxoSmithKline (GSK3326595), Johnson &amp; Johnson (JNJ-64619178) and Pfizer (PF-06939999). Development efforts and clinical results of these other product candidates may be unsuccessful, which could result in a negative perception of PRMT5 inhibitors, for instance, and negatively impact the regulatory approval process of our product candidates, which would have a material and adverse effect on our business. For our product candidate PRT1419, other companies are developing MCL1 inhibitors with monotherapy and/or combination trials ongoing, including Amgen (AMG176), AstraZeneca (AZD5991) and Novartis (MIK665). For our preclinical CDK9 program, both AstraZeneca and Bayer have CDK9 programs in Phase 1 clinical trials.</w:t>
      </w:r>
    </w:p>
    <w:p>
      <w:pPr>
        <w:spacing w:after="0" w:line="184"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454" w:right="3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60" w:firstLine="449"/>
        <w:spacing w:after="0" w:line="252"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8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87" w:lineRule="exact"/>
        <w:rPr>
          <w:sz w:val="20"/>
          <w:szCs w:val="20"/>
          <w:color w:val="auto"/>
        </w:rPr>
      </w:pPr>
    </w:p>
    <w:p>
      <w:pPr>
        <w:ind w:left="460" w:right="4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53"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92" w:lineRule="exact"/>
        <w:rPr>
          <w:sz w:val="20"/>
          <w:szCs w:val="20"/>
          <w:color w:val="auto"/>
        </w:rPr>
      </w:pPr>
    </w:p>
    <w:p>
      <w:pPr>
        <w:ind w:right="40" w:firstLine="449"/>
        <w:spacing w:after="0" w:line="274" w:lineRule="auto"/>
        <w:rPr>
          <w:sz w:val="20"/>
          <w:szCs w:val="20"/>
          <w:color w:val="auto"/>
        </w:rPr>
      </w:pPr>
      <w:r>
        <w:rPr>
          <w:rFonts w:ascii="Times New Roman" w:cs="Times New Roman" w:eastAsia="Times New Roman" w:hAnsi="Times New Roman"/>
          <w:sz w:val="17"/>
          <w:szCs w:val="17"/>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168" w:lineRule="exact"/>
        <w:rPr>
          <w:sz w:val="20"/>
          <w:szCs w:val="20"/>
          <w:color w:val="auto"/>
        </w:rPr>
      </w:pPr>
    </w:p>
    <w:p>
      <w:pPr>
        <w:ind w:right="120" w:firstLine="449"/>
        <w:spacing w:after="0" w:line="26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454"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84"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18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297" w:lineRule="exact"/>
        <w:rPr>
          <w:sz w:val="20"/>
          <w:szCs w:val="20"/>
          <w:color w:val="auto"/>
        </w:rPr>
      </w:pPr>
    </w:p>
    <w:p>
      <w:pPr>
        <w:ind w:left="460" w:righ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53" w:lineRule="exact"/>
        <w:rPr>
          <w:sz w:val="20"/>
          <w:szCs w:val="20"/>
          <w:color w:val="auto"/>
        </w:rPr>
      </w:pPr>
    </w:p>
    <w:p>
      <w:pPr>
        <w:ind w:right="380" w:firstLine="449"/>
        <w:spacing w:after="0" w:line="285" w:lineRule="auto"/>
        <w:rPr>
          <w:sz w:val="20"/>
          <w:szCs w:val="20"/>
          <w:color w:val="auto"/>
        </w:rPr>
      </w:pPr>
      <w:r>
        <w:rPr>
          <w:rFonts w:ascii="Times New Roman" w:cs="Times New Roman" w:eastAsia="Times New Roman" w:hAnsi="Times New Roman"/>
          <w:sz w:val="17"/>
          <w:szCs w:val="17"/>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66" w:lineRule="exact"/>
        <w:rPr>
          <w:sz w:val="20"/>
          <w:szCs w:val="20"/>
          <w:color w:val="auto"/>
        </w:rPr>
      </w:pPr>
    </w:p>
    <w:p>
      <w:pPr>
        <w:ind w:left="1000" w:hanging="55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454"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hanging="55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and to attract, retain and motivate qualified personnel.</w:t>
      </w:r>
    </w:p>
    <w:p>
      <w:pPr>
        <w:spacing w:after="0" w:line="118"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184"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295" w:lineRule="exact"/>
        <w:rPr>
          <w:sz w:val="20"/>
          <w:szCs w:val="20"/>
          <w:color w:val="auto"/>
        </w:rPr>
      </w:pPr>
    </w:p>
    <w:p>
      <w:pPr>
        <w:ind w:left="4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3" w:lineRule="exact"/>
        <w:rPr>
          <w:sz w:val="20"/>
          <w:szCs w:val="20"/>
          <w:color w:val="auto"/>
        </w:rPr>
      </w:pPr>
    </w:p>
    <w:p>
      <w:pPr>
        <w:ind w:right="180" w:firstLine="449"/>
        <w:spacing w:after="0" w:line="270" w:lineRule="auto"/>
        <w:rPr>
          <w:sz w:val="20"/>
          <w:szCs w:val="20"/>
          <w:color w:val="auto"/>
        </w:rPr>
      </w:pPr>
      <w:r>
        <w:rPr>
          <w:rFonts w:ascii="Times New Roman" w:cs="Times New Roman" w:eastAsia="Times New Roman" w:hAnsi="Times New Roman"/>
          <w:sz w:val="17"/>
          <w:szCs w:val="17"/>
          <w:color w:val="auto"/>
        </w:rPr>
        <w:t>As of June 30, 2020, we had 51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72" w:lineRule="exact"/>
        <w:rPr>
          <w:sz w:val="20"/>
          <w:szCs w:val="20"/>
          <w:color w:val="auto"/>
        </w:rPr>
      </w:pPr>
    </w:p>
    <w:p>
      <w:pPr>
        <w:ind w:right="100" w:firstLine="449"/>
        <w:spacing w:after="0" w:line="278"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454"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substantial responsibilities for the conduct of our clinical trials and the manufacture of PRT543, PRT811 and PRT1419,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PRT543, PRT811, PRT1419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84" w:lineRule="exact"/>
        <w:rPr>
          <w:sz w:val="20"/>
          <w:szCs w:val="20"/>
          <w:color w:val="auto"/>
        </w:rPr>
      </w:pPr>
    </w:p>
    <w:p>
      <w:pPr>
        <w:ind w:right="160" w:firstLine="449"/>
        <w:spacing w:after="0" w:line="263"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PRT543, PRT811 or PRT1419, our other pipeline product candidates or any future product candidates and, accordingly, may not achieve our research, development and commercialization goals.</w:t>
      </w:r>
    </w:p>
    <w:p>
      <w:pPr>
        <w:spacing w:after="0" w:line="278" w:lineRule="exact"/>
        <w:rPr>
          <w:sz w:val="20"/>
          <w:szCs w:val="20"/>
          <w:color w:val="auto"/>
        </w:rPr>
      </w:pPr>
    </w:p>
    <w:p>
      <w:pPr>
        <w:ind w:left="460"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53"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87"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We intend to adopt a code of conduct applicable to all of our employees prior to completion of this offering,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left="460"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73" w:lineRule="exact"/>
        <w:rPr>
          <w:sz w:val="20"/>
          <w:szCs w:val="20"/>
          <w:color w:val="auto"/>
        </w:rPr>
      </w:pPr>
    </w:p>
    <w:p>
      <w:pPr>
        <w:ind w:right="400" w:firstLine="449"/>
        <w:spacing w:after="0" w:line="263"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454" w:right="3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situation,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84"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 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PRT543, PRT811, PRT1419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5"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454"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contractors and consultants, it could result in a material disruption of our programs and the development of our product candidates could be delayed. In addition, the loss of clinical trial data for PRT543, PRT811, PRT1419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82" w:lineRule="exact"/>
        <w:rPr>
          <w:sz w:val="20"/>
          <w:szCs w:val="20"/>
          <w:color w:val="auto"/>
        </w:rPr>
      </w:pPr>
    </w:p>
    <w:p>
      <w:pPr>
        <w:ind w:left="46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3" w:lineRule="exact"/>
        <w:rPr>
          <w:sz w:val="20"/>
          <w:szCs w:val="20"/>
          <w:color w:val="auto"/>
        </w:rPr>
      </w:pPr>
    </w:p>
    <w:p>
      <w:pPr>
        <w:ind w:right="40" w:firstLine="449"/>
        <w:spacing w:after="0" w:line="252"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87"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International data protection laws, including Regulation 2016/679, known as the General Data Protection Regulation, or GDPR, may also apply to health-related and other personal information obtained outside of the 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(e.g.,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To the extent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454" w:right="3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color w:val="auto"/>
        </w:rPr>
        <w:t>that we were to rely on Privacy Shield, we will not be able to do so in the future, which could increase our costs and our ability to efficiently process personal data from the EU.</w:t>
      </w:r>
    </w:p>
    <w:p>
      <w:pPr>
        <w:spacing w:after="0" w:line="162" w:lineRule="exact"/>
        <w:rPr>
          <w:sz w:val="20"/>
          <w:szCs w:val="20"/>
          <w:color w:val="auto"/>
        </w:rPr>
      </w:pPr>
    </w:p>
    <w:p>
      <w:pPr>
        <w:ind w:firstLine="449"/>
        <w:spacing w:after="0" w:line="271" w:lineRule="auto"/>
        <w:rPr>
          <w:sz w:val="20"/>
          <w:szCs w:val="20"/>
          <w:color w:val="auto"/>
        </w:rPr>
      </w:pPr>
      <w:r>
        <w:rPr>
          <w:rFonts w:ascii="Times New Roman" w:cs="Times New Roman" w:eastAsia="Times New Roman" w:hAnsi="Times New Roman"/>
          <w:sz w:val="17"/>
          <w:szCs w:val="17"/>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including the GDPR, after which the GDPR will be converted into United Kingdom law. Beginning in 2021, the United Kingdom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7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may impact our business activities and exemplifies the vulnerability of our business to the evolving regulatory environment related to personal data and protected health information.</w:t>
      </w:r>
    </w:p>
    <w:p>
      <w:pPr>
        <w:spacing w:after="0" w:line="184"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90" w:lineRule="exact"/>
        <w:rPr>
          <w:sz w:val="20"/>
          <w:szCs w:val="20"/>
          <w:color w:val="auto"/>
        </w:rPr>
      </w:pPr>
    </w:p>
    <w:p>
      <w:pPr>
        <w:ind w:left="460" w:right="3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3"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Our company is located in Delaware. Any unplanned event, such as flood, fire, explosion, earthquake, extreme weather condition, medical epidemic, including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454" w:right="3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87" w:lineRule="exact"/>
        <w:rPr>
          <w:sz w:val="20"/>
          <w:szCs w:val="20"/>
          <w:color w:val="auto"/>
        </w:rPr>
      </w:pPr>
    </w:p>
    <w:p>
      <w:pPr>
        <w:ind w:left="460" w:right="5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53"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legislation enacted in 2017, informally titled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8"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(particularly those generated in taxable years beginning after December 31, 2020),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454"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right="6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5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90" w:lineRule="exact"/>
        <w:rPr>
          <w:sz w:val="20"/>
          <w:szCs w:val="20"/>
          <w:color w:val="auto"/>
        </w:rPr>
      </w:pPr>
    </w:p>
    <w:p>
      <w:pPr>
        <w:ind w:left="1000" w:hanging="55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27" w:lineRule="exact"/>
        <w:rPr>
          <w:rFonts w:ascii="Times New Roman" w:cs="Times New Roman" w:eastAsia="Times New Roman" w:hAnsi="Times New Roman"/>
          <w:sz w:val="18"/>
          <w:szCs w:val="18"/>
          <w:color w:val="auto"/>
        </w:rPr>
      </w:pPr>
    </w:p>
    <w:p>
      <w:pPr>
        <w:ind w:left="1000" w:right="80" w:hanging="552"/>
        <w:spacing w:after="0" w:line="278"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and cost in combining the operations, systems and personnel of any acquired businesses with our operations, systems and personnel;</w:t>
      </w:r>
    </w:p>
    <w:p>
      <w:pPr>
        <w:spacing w:after="0" w:line="138" w:lineRule="exact"/>
        <w:rPr>
          <w:rFonts w:ascii="Times New Roman" w:cs="Times New Roman" w:eastAsia="Times New Roman" w:hAnsi="Times New Roman"/>
          <w:sz w:val="17"/>
          <w:szCs w:val="17"/>
          <w:color w:val="auto"/>
        </w:rPr>
      </w:pPr>
    </w:p>
    <w:p>
      <w:pPr>
        <w:ind w:left="1000" w:hanging="55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portfolio of investments may be subject to market, interest and credit risk that may reduce its value.</w:t>
      </w:r>
    </w:p>
    <w:p>
      <w:pPr>
        <w:spacing w:after="0" w:line="11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the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4" w:lineRule="exact"/>
        <w:rPr>
          <w:sz w:val="20"/>
          <w:szCs w:val="20"/>
          <w:color w:val="auto"/>
        </w:rPr>
      </w:pPr>
    </w:p>
    <w:p>
      <w:pPr>
        <w:ind w:left="460"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67"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for example, PRT543, PRT811 and PRT1419,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60"/>
          </w:cols>
          <w:pgMar w:left="320" w:top="454" w:right="41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16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abroad relating to PRT543. 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19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only one issued U.S. patent covering PRT543 that is expected to expire no earlier than August 9, 2038, and one issued U.S. patent covering PRT811 that is expected to expire no earlier than March 14, 2039. We do not yet have issued patents on all of our product candidates.</w:t>
      </w:r>
    </w:p>
    <w:p>
      <w:pPr>
        <w:spacing w:after="0" w:line="187"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194" w:lineRule="exact"/>
        <w:rPr>
          <w:sz w:val="20"/>
          <w:szCs w:val="20"/>
          <w:color w:val="auto"/>
        </w:rPr>
      </w:pPr>
    </w:p>
    <w:p>
      <w:pPr>
        <w:ind w:right="420" w:firstLine="449"/>
        <w:spacing w:after="0" w:line="278"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454" w:right="3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87" w:lineRule="exact"/>
        <w:rPr>
          <w:sz w:val="20"/>
          <w:szCs w:val="20"/>
          <w:color w:val="auto"/>
        </w:rPr>
      </w:pPr>
    </w:p>
    <w:p>
      <w:pPr>
        <w:ind w:right="100" w:firstLine="449"/>
        <w:spacing w:after="0" w:line="252"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87"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18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60"/>
          </w:cols>
          <w:pgMar w:left="320" w:top="454" w:right="4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competitive position, business, financial conditions, results of operations, and prospects.</w:t>
      </w:r>
    </w:p>
    <w:p>
      <w:pPr>
        <w:spacing w:after="0" w:line="221"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292" w:lineRule="exact"/>
        <w:rPr>
          <w:sz w:val="20"/>
          <w:szCs w:val="20"/>
          <w:color w:val="auto"/>
        </w:rPr>
      </w:pPr>
    </w:p>
    <w:p>
      <w:pPr>
        <w:ind w:left="460"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53"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88"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454"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could change in unpredictable ways that could have a material adverse effect on our existing patent portfolio and weaken our ability to obtain new patents or to enforce our existing patents and patents that we might obtain in the future.</w:t>
      </w:r>
    </w:p>
    <w:p>
      <w:pPr>
        <w:spacing w:after="0" w:line="265" w:lineRule="exact"/>
        <w:rPr>
          <w:sz w:val="20"/>
          <w:szCs w:val="20"/>
          <w:color w:val="auto"/>
        </w:rPr>
      </w:pPr>
    </w:p>
    <w:p>
      <w:pPr>
        <w:ind w:left="460" w:right="4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53"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184"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184"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4"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454"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7"/>
          <w:szCs w:val="17"/>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(e.g.,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or enforce our intellectual property and proprietary rights throughout the world.</w:t>
      </w:r>
    </w:p>
    <w:p>
      <w:pPr>
        <w:spacing w:after="0" w:line="118"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192"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454"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271" w:lineRule="exact"/>
        <w:rPr>
          <w:sz w:val="20"/>
          <w:szCs w:val="20"/>
          <w:color w:val="auto"/>
        </w:rPr>
      </w:pPr>
    </w:p>
    <w:p>
      <w:pPr>
        <w:ind w:left="460"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53" w:lineRule="exact"/>
        <w:rPr>
          <w:sz w:val="20"/>
          <w:szCs w:val="20"/>
          <w:color w:val="auto"/>
        </w:rPr>
      </w:pPr>
    </w:p>
    <w:p>
      <w:pPr>
        <w:ind w:right="180" w:firstLine="449"/>
        <w:spacing w:after="0" w:line="274" w:lineRule="auto"/>
        <w:rPr>
          <w:sz w:val="20"/>
          <w:szCs w:val="20"/>
          <w:color w:val="auto"/>
        </w:rPr>
      </w:pPr>
      <w:r>
        <w:rPr>
          <w:rFonts w:ascii="Times New Roman" w:cs="Times New Roman" w:eastAsia="Times New Roman" w:hAnsi="Times New Roman"/>
          <w:sz w:val="17"/>
          <w:szCs w:val="17"/>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168" w:lineRule="exact"/>
        <w:rPr>
          <w:sz w:val="20"/>
          <w:szCs w:val="20"/>
          <w:color w:val="auto"/>
        </w:rPr>
      </w:pPr>
    </w:p>
    <w:p>
      <w:pPr>
        <w:ind w:right="40" w:firstLine="449"/>
        <w:spacing w:after="0" w:line="252" w:lineRule="auto"/>
        <w:rPr>
          <w:sz w:val="20"/>
          <w:szCs w:val="20"/>
          <w:color w:val="auto"/>
        </w:rPr>
      </w:pPr>
      <w:r>
        <w:rPr>
          <w:rFonts w:ascii="Times New Roman" w:cs="Times New Roman" w:eastAsia="Times New Roman" w:hAnsi="Times New Roman"/>
          <w:sz w:val="18"/>
          <w:szCs w:val="18"/>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87"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454"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92"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53"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89"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454"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Rights to improvements to our product candidates may be held by third parties.</w:t>
      </w:r>
    </w:p>
    <w:p>
      <w:pPr>
        <w:spacing w:after="0" w:line="118"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be inadequate to protect our competitive position on our products.</w:t>
      </w:r>
    </w:p>
    <w:p>
      <w:pPr>
        <w:spacing w:after="0" w:line="118"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00"/>
          </w:cols>
          <w:pgMar w:left="320" w:top="454" w:right="3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right="3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67"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92" w:lineRule="exact"/>
        <w:rPr>
          <w:sz w:val="20"/>
          <w:szCs w:val="20"/>
          <w:color w:val="auto"/>
        </w:rPr>
      </w:pPr>
    </w:p>
    <w:p>
      <w:pPr>
        <w:ind w:left="460" w:right="4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53"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8" w:lineRule="exact"/>
        <w:rPr>
          <w:sz w:val="20"/>
          <w:szCs w:val="20"/>
          <w:color w:val="auto"/>
        </w:rPr>
      </w:pPr>
    </w:p>
    <w:p>
      <w:pPr>
        <w:ind w:right="220" w:firstLine="449"/>
        <w:spacing w:after="0" w:line="278"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9" w:lineRule="exact"/>
        <w:rPr>
          <w:sz w:val="20"/>
          <w:szCs w:val="20"/>
          <w:color w:val="auto"/>
        </w:rPr>
      </w:pPr>
    </w:p>
    <w:p>
      <w:pPr>
        <w:ind w:left="1000" w:right="320" w:hanging="552"/>
        <w:spacing w:after="0" w:line="27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454"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right="100" w:hanging="552"/>
        <w:spacing w:after="0" w:line="27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68" w:lineRule="exact"/>
        <w:rPr>
          <w:rFonts w:ascii="Times New Roman" w:cs="Times New Roman" w:eastAsia="Times New Roman" w:hAnsi="Times New Roman"/>
          <w:sz w:val="18"/>
          <w:szCs w:val="18"/>
          <w:color w:val="auto"/>
        </w:rPr>
      </w:pPr>
    </w:p>
    <w:p>
      <w:pPr>
        <w:ind w:left="1000" w:right="120" w:hanging="552"/>
        <w:spacing w:after="0" w:line="27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file patent applications covering certain of our or their inventions;</w:t>
      </w:r>
    </w:p>
    <w:p>
      <w:pPr>
        <w:spacing w:after="0" w:line="68" w:lineRule="exact"/>
        <w:rPr>
          <w:rFonts w:ascii="Times New Roman" w:cs="Times New Roman" w:eastAsia="Times New Roman" w:hAnsi="Times New Roman"/>
          <w:sz w:val="18"/>
          <w:szCs w:val="18"/>
          <w:color w:val="auto"/>
        </w:rPr>
      </w:pPr>
    </w:p>
    <w:p>
      <w:pPr>
        <w:ind w:left="1000" w:right="60" w:hanging="552"/>
        <w:spacing w:after="0" w:line="27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27" w:lineRule="exact"/>
        <w:rPr>
          <w:rFonts w:ascii="Times New Roman" w:cs="Times New Roman" w:eastAsia="Times New Roman" w:hAnsi="Times New Roman"/>
          <w:sz w:val="18"/>
          <w:szCs w:val="18"/>
          <w:color w:val="auto"/>
        </w:rPr>
      </w:pPr>
    </w:p>
    <w:p>
      <w:pPr>
        <w:ind w:left="1000" w:right="100" w:hanging="552"/>
        <w:spacing w:after="0" w:line="27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68" w:lineRule="exact"/>
        <w:rPr>
          <w:rFonts w:ascii="Times New Roman" w:cs="Times New Roman" w:eastAsia="Times New Roman" w:hAnsi="Times New Roman"/>
          <w:sz w:val="18"/>
          <w:szCs w:val="18"/>
          <w:color w:val="auto"/>
        </w:rPr>
      </w:pPr>
    </w:p>
    <w:p>
      <w:pPr>
        <w:ind w:left="1000" w:right="220" w:hanging="552"/>
        <w:spacing w:after="0" w:line="27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27" w:lineRule="exact"/>
        <w:rPr>
          <w:rFonts w:ascii="Times New Roman" w:cs="Times New Roman" w:eastAsia="Times New Roman" w:hAnsi="Times New Roman"/>
          <w:sz w:val="18"/>
          <w:szCs w:val="18"/>
          <w:color w:val="auto"/>
        </w:rPr>
      </w:pPr>
    </w:p>
    <w:p>
      <w:pPr>
        <w:ind w:left="1000" w:right="440" w:hanging="552"/>
        <w:spacing w:after="0" w:line="27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 how, and a third party may subsequently file a patent covering such intellectual property.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114" w:lineRule="exact"/>
        <w:rPr>
          <w:sz w:val="20"/>
          <w:szCs w:val="20"/>
          <w:color w:val="auto"/>
        </w:rPr>
      </w:pPr>
    </w:p>
    <w:p>
      <w:pPr>
        <w:ind w:left="46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common stock currently exists, and an active and liquid trading market for our common stock may never develop. As a result, you may not be able to resell your shares of common stock at or above the initial public offering price.</w:t>
      </w:r>
    </w:p>
    <w:p>
      <w:pPr>
        <w:spacing w:after="0" w:line="53" w:lineRule="exact"/>
        <w:rPr>
          <w:sz w:val="20"/>
          <w:szCs w:val="20"/>
          <w:color w:val="auto"/>
        </w:rPr>
      </w:pPr>
    </w:p>
    <w:p>
      <w:pPr>
        <w:ind w:right="60" w:firstLine="449"/>
        <w:spacing w:after="0" w:line="252" w:lineRule="auto"/>
        <w:rPr>
          <w:sz w:val="20"/>
          <w:szCs w:val="20"/>
          <w:color w:val="auto"/>
        </w:rPr>
      </w:pPr>
      <w:r>
        <w:rPr>
          <w:rFonts w:ascii="Times New Roman" w:cs="Times New Roman" w:eastAsia="Times New Roman" w:hAnsi="Times New Roman"/>
          <w:sz w:val="18"/>
          <w:szCs w:val="18"/>
          <w:color w:val="auto"/>
        </w:rPr>
        <w:t>Prior to this offering, no market for shares of our common stock existed and an active trading market for our shares may never develop or be sustained following this offering. The initial public offering price for our common stock will be determined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90"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3" w:lineRule="exact"/>
        <w:rPr>
          <w:sz w:val="20"/>
          <w:szCs w:val="20"/>
          <w:color w:val="auto"/>
        </w:rPr>
      </w:pPr>
    </w:p>
    <w:p>
      <w:pPr>
        <w:ind w:right="240" w:firstLine="449"/>
        <w:spacing w:after="0" w:line="278"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69" w:lineRule="exact"/>
        <w:rPr>
          <w:sz w:val="20"/>
          <w:szCs w:val="20"/>
          <w:color w:val="auto"/>
        </w:rPr>
      </w:pPr>
    </w:p>
    <w:p>
      <w:pPr>
        <w:ind w:left="1000" w:right="160" w:hanging="552"/>
        <w:spacing w:after="0" w:line="278"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planned and ongoing development of our product candidates or future development programs, including scale-up CMC expenses;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454"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right="100" w:hanging="552"/>
        <w:spacing w:after="0" w:line="278"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future preclinical or clinical trials or funding support by us, or future collaborators or licensing partners;</w:t>
      </w:r>
    </w:p>
    <w:p>
      <w:pPr>
        <w:spacing w:after="0" w:line="68" w:lineRule="exact"/>
        <w:rPr>
          <w:rFonts w:ascii="Times New Roman" w:cs="Times New Roman" w:eastAsia="Times New Roman" w:hAnsi="Times New Roman"/>
          <w:sz w:val="18"/>
          <w:szCs w:val="18"/>
          <w:color w:val="auto"/>
        </w:rPr>
      </w:pPr>
    </w:p>
    <w:p>
      <w:pPr>
        <w:ind w:left="1000" w:right="200" w:hanging="552"/>
        <w:spacing w:after="0" w:line="278"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27" w:lineRule="exact"/>
        <w:rPr>
          <w:rFonts w:ascii="Times New Roman" w:cs="Times New Roman" w:eastAsia="Times New Roman" w:hAnsi="Times New Roman"/>
          <w:sz w:val="18"/>
          <w:szCs w:val="18"/>
          <w:color w:val="auto"/>
        </w:rPr>
      </w:pPr>
    </w:p>
    <w:p>
      <w:pPr>
        <w:ind w:left="1000" w:right="320" w:hanging="552"/>
        <w:spacing w:after="0" w:line="278"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8" w:lineRule="exact"/>
        <w:rPr>
          <w:rFonts w:ascii="Times New Roman" w:cs="Times New Roman" w:eastAsia="Times New Roman" w:hAnsi="Times New Roman"/>
          <w:sz w:val="18"/>
          <w:szCs w:val="18"/>
          <w:color w:val="auto"/>
        </w:rPr>
      </w:pPr>
    </w:p>
    <w:p>
      <w:pPr>
        <w:ind w:left="1000" w:right="80" w:hanging="552"/>
        <w:spacing w:after="0" w:line="278"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such as due to the recent COVID-19 pandemic.</w:t>
      </w:r>
    </w:p>
    <w:p>
      <w:pPr>
        <w:spacing w:after="0" w:line="2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83" w:lineRule="exact"/>
        <w:rPr>
          <w:sz w:val="20"/>
          <w:szCs w:val="20"/>
          <w:color w:val="auto"/>
        </w:rPr>
      </w:pPr>
    </w:p>
    <w:p>
      <w:pPr>
        <w:ind w:left="460"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which could result in substantial losses for purchasers of our common stock in this offering.</w:t>
      </w:r>
    </w:p>
    <w:p>
      <w:pPr>
        <w:spacing w:after="0" w:line="53"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following this offering is likely to be highly volatile and subject to wide fluctuations in response to various factors, some of which we cannot control. As a result of this volatility, you may not be able to sell their common stock at or above the initial public offering price. The market price for our common stock may be influenced by many factors, including the other risks described in this section of the prospectus entitled “Risk Factors” and the following:</w:t>
      </w:r>
    </w:p>
    <w:p>
      <w:pPr>
        <w:spacing w:after="0" w:line="86" w:lineRule="exact"/>
        <w:rPr>
          <w:sz w:val="20"/>
          <w:szCs w:val="20"/>
          <w:color w:val="auto"/>
        </w:rPr>
      </w:pPr>
    </w:p>
    <w:p>
      <w:pPr>
        <w:ind w:left="1000" w:right="460" w:hanging="552"/>
        <w:spacing w:after="0" w:line="27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or results of clinical trials of our product candidates, or those of our competitors or our future collaborators, or changes in the development status of our product candidates;</w:t>
      </w:r>
    </w:p>
    <w:p>
      <w:pPr>
        <w:spacing w:after="0" w:line="68" w:lineRule="exact"/>
        <w:rPr>
          <w:rFonts w:ascii="Times New Roman" w:cs="Times New Roman" w:eastAsia="Times New Roman" w:hAnsi="Times New Roman"/>
          <w:sz w:val="18"/>
          <w:szCs w:val="18"/>
          <w:color w:val="auto"/>
        </w:rPr>
      </w:pPr>
    </w:p>
    <w:p>
      <w:pPr>
        <w:ind w:left="1000" w:right="160" w:hanging="552"/>
        <w:spacing w:after="0" w:line="27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 candidates;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7" w:lineRule="exact"/>
        <w:rPr>
          <w:rFonts w:ascii="Times New Roman" w:cs="Times New Roman" w:eastAsia="Times New Roman" w:hAnsi="Times New Roman"/>
          <w:sz w:val="18"/>
          <w:szCs w:val="18"/>
          <w:color w:val="auto"/>
        </w:rPr>
      </w:pPr>
    </w:p>
    <w:p>
      <w:pPr>
        <w:ind w:left="1000" w:right="280" w:hanging="552"/>
        <w:spacing w:after="0" w:line="27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27" w:lineRule="exact"/>
        <w:rPr>
          <w:rFonts w:ascii="Times New Roman" w:cs="Times New Roman" w:eastAsia="Times New Roman" w:hAnsi="Times New Roman"/>
          <w:sz w:val="18"/>
          <w:szCs w:val="18"/>
          <w:color w:val="auto"/>
        </w:rPr>
      </w:pPr>
    </w:p>
    <w:p>
      <w:pPr>
        <w:ind w:left="5540" w:right="420" w:hanging="5092"/>
        <w:spacing w:after="0" w:line="448" w:lineRule="auto"/>
        <w:tabs>
          <w:tab w:leader="none" w:pos="10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development and commercialization partners; 61</w:t>
      </w:r>
    </w:p>
    <w:p>
      <w:pPr>
        <w:sectPr>
          <w:pgSz w:w="11900" w:h="16838" w:orient="portrait"/>
          <w:cols w:equalWidth="0" w:num="1">
            <w:col w:w="11200"/>
          </w:cols>
          <w:pgMar w:left="320" w:top="454" w:right="3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27" w:lineRule="exact"/>
        <w:rPr>
          <w:rFonts w:ascii="Times New Roman" w:cs="Times New Roman" w:eastAsia="Times New Roman" w:hAnsi="Times New Roman"/>
          <w:sz w:val="18"/>
          <w:szCs w:val="18"/>
          <w:color w:val="auto"/>
        </w:rPr>
      </w:pPr>
    </w:p>
    <w:p>
      <w:pPr>
        <w:ind w:left="1000" w:right="300" w:hanging="552"/>
        <w:spacing w:after="0" w:line="27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 candidates and products;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27" w:lineRule="exact"/>
        <w:rPr>
          <w:rFonts w:ascii="Times New Roman" w:cs="Times New Roman" w:eastAsia="Times New Roman" w:hAnsi="Times New Roman"/>
          <w:sz w:val="18"/>
          <w:szCs w:val="18"/>
          <w:color w:val="auto"/>
        </w:rPr>
      </w:pPr>
    </w:p>
    <w:p>
      <w:pPr>
        <w:ind w:left="1000" w:right="260" w:hanging="552"/>
        <w:spacing w:after="0" w:line="27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fluctuations of trading volume of our common stock;</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insiders or our stockholders;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27" w:lineRule="exact"/>
        <w:rPr>
          <w:rFonts w:ascii="Times New Roman" w:cs="Times New Roman" w:eastAsia="Times New Roman" w:hAnsi="Times New Roman"/>
          <w:sz w:val="18"/>
          <w:szCs w:val="18"/>
          <w:color w:val="auto"/>
        </w:rPr>
      </w:pPr>
    </w:p>
    <w:p>
      <w:pPr>
        <w:ind w:left="1000" w:right="640" w:hanging="552"/>
        <w:spacing w:after="0" w:line="27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other events or factors, many of which are beyond our control, such as the recent COVID-19 pandemic.</w:t>
      </w:r>
    </w:p>
    <w:p>
      <w:pPr>
        <w:spacing w:after="0" w:line="16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4" w:lineRule="exact"/>
        <w:rPr>
          <w:sz w:val="20"/>
          <w:szCs w:val="20"/>
          <w:color w:val="auto"/>
        </w:rPr>
      </w:pPr>
    </w:p>
    <w:p>
      <w:pPr>
        <w:ind w:right="120" w:firstLine="449"/>
        <w:spacing w:after="0" w:line="263"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as a result of this offering and may experience additional dilution in the future.</w:t>
      </w:r>
    </w:p>
    <w:p>
      <w:pPr>
        <w:spacing w:after="0" w:line="118" w:lineRule="exact"/>
        <w:rPr>
          <w:sz w:val="20"/>
          <w:szCs w:val="20"/>
          <w:color w:val="auto"/>
        </w:rPr>
      </w:pPr>
    </w:p>
    <w:p>
      <w:pPr>
        <w:jc w:val="both"/>
        <w:ind w:right="160" w:firstLine="449"/>
        <w:spacing w:after="0" w:line="263" w:lineRule="auto"/>
        <w:rPr>
          <w:sz w:val="20"/>
          <w:szCs w:val="20"/>
          <w:color w:val="auto"/>
        </w:rPr>
      </w:pPr>
      <w:r>
        <w:rPr>
          <w:rFonts w:ascii="Times New Roman" w:cs="Times New Roman" w:eastAsia="Times New Roman" w:hAnsi="Times New Roman"/>
          <w:sz w:val="18"/>
          <w:szCs w:val="18"/>
          <w:color w:val="auto"/>
        </w:rPr>
        <w:t>You will suffer immediate and substantial dilution with respect to the common stock you purchase in this offering. If you purchase common stock in this offering, assuming an initial public offering price of $ per share, the midpoint of the estimated price range set forth on the cover of this prospectus, and assuming that the number of shares offered by us, as set forth on the cover page of this prospectus, remains the same and that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454"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underwriters do not exercise their option to acquire additional common stock in this offering, you will incur immediate and substantial dilution of $ per share, representing the difference between the assumed initial public offering price of $ per share and our pro forma net tangible book value per share as</w:t>
      </w:r>
    </w:p>
    <w:p>
      <w:pPr>
        <w:spacing w:after="0" w:line="252" w:lineRule="auto"/>
        <w:rPr>
          <w:sz w:val="20"/>
          <w:szCs w:val="20"/>
          <w:color w:val="auto"/>
        </w:rPr>
      </w:pPr>
      <w:r>
        <w:rPr>
          <w:rFonts w:ascii="Times New Roman" w:cs="Times New Roman" w:eastAsia="Times New Roman" w:hAnsi="Times New Roman"/>
          <w:sz w:val="18"/>
          <w:szCs w:val="18"/>
          <w:color w:val="auto"/>
        </w:rPr>
        <w:t>of June 30, 2020 after giving effect to this offering and the conversion of all outstanding shares of our convertible preferred stock upon the completion of this offering. Following the completion of this offering, investors purchasing common stock in this offering will have contributed % of the total amount invested by stockholders since inception, but will only own % of the shares of common stock outstanding.</w:t>
      </w:r>
    </w:p>
    <w:p>
      <w:pPr>
        <w:spacing w:after="0" w:line="185" w:lineRule="exact"/>
        <w:rPr>
          <w:sz w:val="20"/>
          <w:szCs w:val="20"/>
          <w:color w:val="auto"/>
        </w:rPr>
      </w:pPr>
    </w:p>
    <w:p>
      <w:pPr>
        <w:jc w:val="both"/>
        <w:ind w:right="20" w:firstLine="449"/>
        <w:spacing w:after="0" w:line="263" w:lineRule="auto"/>
        <w:rPr>
          <w:sz w:val="20"/>
          <w:szCs w:val="20"/>
          <w:color w:val="auto"/>
        </w:rPr>
      </w:pPr>
      <w:r>
        <w:rPr>
          <w:rFonts w:ascii="Times New Roman" w:cs="Times New Roman" w:eastAsia="Times New Roman" w:hAnsi="Times New Roman"/>
          <w:sz w:val="18"/>
          <w:szCs w:val="18"/>
          <w:color w:val="auto"/>
        </w:rPr>
        <w:t>Moreover, we issued options in the past to acquire common stock at prices significantly below the assumed initial public offering price. As of June 30, 2020, there were 4,139,344 shares of common stock subject to outstanding options under our 2016 Stock Incentive Plan, as amended. To the extent that these outstanding options are ultimately exercised, you will incur further dilution.</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18" w:lineRule="exact"/>
        <w:rPr>
          <w:sz w:val="20"/>
          <w:szCs w:val="20"/>
          <w:color w:val="auto"/>
        </w:rPr>
      </w:pPr>
    </w:p>
    <w:p>
      <w:pPr>
        <w:ind w:right="240" w:firstLine="449"/>
        <w:spacing w:after="0" w:line="259" w:lineRule="auto"/>
        <w:rPr>
          <w:sz w:val="20"/>
          <w:szCs w:val="20"/>
          <w:color w:val="auto"/>
        </w:rPr>
      </w:pPr>
      <w:r>
        <w:rPr>
          <w:rFonts w:ascii="Times New Roman" w:cs="Times New Roman" w:eastAsia="Times New Roman" w:hAnsi="Times New Roman"/>
          <w:sz w:val="18"/>
          <w:szCs w:val="18"/>
          <w:color w:val="auto"/>
        </w:rPr>
        <w:t>Based on shares outstanding as of June 30, 2020, upon completion of this offering, we will have outstanding a total of shares of common stock and non-voting common stock. Of these shares, only shares of common stock sold in this offering, or shares if the underwriters</w:t>
      </w:r>
    </w:p>
    <w:p>
      <w:pPr>
        <w:ind w:right="40"/>
        <w:spacing w:after="0" w:line="185" w:lineRule="auto"/>
        <w:rPr>
          <w:sz w:val="20"/>
          <w:szCs w:val="20"/>
          <w:color w:val="auto"/>
        </w:rPr>
      </w:pPr>
      <w:r>
        <w:rPr>
          <w:rFonts w:ascii="Times New Roman" w:cs="Times New Roman" w:eastAsia="Times New Roman" w:hAnsi="Times New Roman"/>
          <w:sz w:val="12"/>
          <w:szCs w:val="12"/>
          <w:color w:val="auto"/>
        </w:rPr>
        <w:t>exercise their option to purchase additional shares in full, will be freely tradable, without restriction, in the public market immediately after this offering. Each of our officers, directors and substantially all of our stockholders have entered or will enter into lock-up agreements with the underwriters that restrict their ability to sell or transfer their shares. The lock-up agreements pertaining to this offering will expire 180 days from the date of this prospectus. However, our underwriters may, in their sole discretion, permit our officers, directors and other current stockholders who are subject to the contractual lock-up to sell shares prior to the expiration of the lock-up agreements. After the lock-up agreements expire, based on shares outstanding as of August 21, 2020, up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additional shares of common stock (including shares issuable upon the conversion of non-voting common stock) will be eligible for sale in the public market, approximately of which are held by our officers, directors and their affiliated entities, and will be subject to volume limitations under Rule 144 under the Securities Act of 1933, as amended, or the Securities Act. In addition, shares of our common stock that are subject to</w:t>
      </w:r>
    </w:p>
    <w:p>
      <w:pPr>
        <w:spacing w:after="0" w:line="1"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outstanding options as of August 21, 2020 will become eligible for sale in the public market to the extent permitted by the provisions of various vesting agreements, the lock-up agreements and Rules 144 and 701 under the Securities Act.</w:t>
      </w:r>
    </w:p>
    <w:p>
      <w:pPr>
        <w:spacing w:after="0" w:line="18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After this offering, the holders of an aggregate of shares of our outstanding common stock (including shares issuable upon the conversion of non-voting common stock) as of August 21, 2020 will have rights, subject to some conditions, to require us to file registration statements covering their shares or to include their shares in registration statements that we may file for ourselves or our stockholders. We also intend to register shares of common stock that we may issue under our equity incentive plans. Once we register these shares, they will be able to be sold freely in the public market upon issuance, subject to the 180-day lock-up period under the lock-up agreements described above and in the section entitled “Underwriting.”</w:t>
      </w:r>
    </w:p>
    <w:p>
      <w:pPr>
        <w:spacing w:after="0" w:line="184" w:lineRule="exact"/>
        <w:rPr>
          <w:sz w:val="20"/>
          <w:szCs w:val="20"/>
          <w:color w:val="auto"/>
        </w:rPr>
      </w:pPr>
    </w:p>
    <w:p>
      <w:pPr>
        <w:ind w:right="120" w:firstLine="449"/>
        <w:spacing w:after="0" w:line="263"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175"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454"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118"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 Pending their use, we may invest the net proceeds from this offering in a manner that does not produce income or that loses value.</w:t>
      </w:r>
    </w:p>
    <w:p>
      <w:pPr>
        <w:spacing w:after="0" w:line="287" w:lineRule="exact"/>
        <w:rPr>
          <w:sz w:val="20"/>
          <w:szCs w:val="20"/>
          <w:color w:val="auto"/>
        </w:rPr>
      </w:pPr>
    </w:p>
    <w:p>
      <w:pPr>
        <w:ind w:left="460"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3"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87" w:lineRule="exact"/>
        <w:rPr>
          <w:sz w:val="20"/>
          <w:szCs w:val="20"/>
          <w:color w:val="auto"/>
        </w:rPr>
      </w:pPr>
    </w:p>
    <w:p>
      <w:pPr>
        <w:ind w:left="460" w:right="2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3" w:lineRule="exact"/>
        <w:rPr>
          <w:sz w:val="20"/>
          <w:szCs w:val="20"/>
          <w:color w:val="auto"/>
        </w:rPr>
      </w:pPr>
    </w:p>
    <w:p>
      <w:pPr>
        <w:ind w:right="120" w:firstLine="449"/>
        <w:spacing w:after="0" w:line="274" w:lineRule="auto"/>
        <w:rPr>
          <w:sz w:val="20"/>
          <w:szCs w:val="20"/>
          <w:color w:val="auto"/>
        </w:rPr>
      </w:pPr>
      <w:r>
        <w:rPr>
          <w:rFonts w:ascii="Times New Roman" w:cs="Times New Roman" w:eastAsia="Times New Roman" w:hAnsi="Times New Roman"/>
          <w:sz w:val="17"/>
          <w:szCs w:val="17"/>
          <w:color w:val="auto"/>
        </w:rPr>
        <w:t>Based on the beneficial ownership of our common stock as of August 21, 2020, prior to this offering, our executive officers, directors, holders of 5% or more of our capital stock and their respective affiliates beneficially owned 94.8% of our voting stock and, upon the completion of this offering, that same</w:t>
      </w:r>
    </w:p>
    <w:p>
      <w:pPr>
        <w:spacing w:after="0" w:line="248" w:lineRule="auto"/>
        <w:rPr>
          <w:sz w:val="20"/>
          <w:szCs w:val="20"/>
          <w:color w:val="auto"/>
        </w:rPr>
      </w:pPr>
      <w:r>
        <w:rPr>
          <w:rFonts w:ascii="Times New Roman" w:cs="Times New Roman" w:eastAsia="Times New Roman" w:hAnsi="Times New Roman"/>
          <w:sz w:val="18"/>
          <w:szCs w:val="18"/>
          <w:color w:val="auto"/>
        </w:rPr>
        <w:t>group will hold % of our outstanding voting stock (assuming no exercise of the underwriters’ option to purchase additional shares, no exercise of our outstanding warrant or options and no purchases of shares in this offering by any of this group), in each case assuming the conversion of all outstanding shares of our convertible preferred stock into shares of our common stock. The voting power of this group may increase to the extent they convert shares of non-voting common stock they hold into common stock. Further, certain of our directors, executive officers, employees and other persons associated with us have indicated an interest to purchase an aggregate of up to 5.0% of the common stock in this offering at the initial public offering price in a directed share program.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Additionally, two of our directors, Dr. Bonita and Dr. Neu, are affiliated with OrbiMed Private Investments VI, LP and Baker Brothers Life Sciences L.P., respectively, each a significant stockholder. While they have been determined as independent by our board of directors under applicable rules and regulations, these relationships could create, or appear to create, potential conflicts of interests when our board of directors is faced with decisions that could have different implications for us and their affiliates. The significant concentration of stock ownership and our directors’ affiliations may adversely affect the trading price of our common stock due to investors’ perception that conflicts of interest may exist or arise.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454"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right="3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53"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to become effective upon the completion of this offering. Consequently, if holders of our non-voting common stock following this offering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immediately following this offering, the common stock will have 100% of the voting power, but if the holders of non-voting common stock were to convert all of their shares into common stock, the prior common stock would have % of the voting power, and the former non-voting common stock would represent %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8"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4"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risk management program or processes or procedures for identifying and addressing risks to our business in other areas.</w:t>
      </w:r>
    </w:p>
    <w:p>
      <w:pPr>
        <w:spacing w:after="0" w:line="287" w:lineRule="exact"/>
        <w:rPr>
          <w:sz w:val="20"/>
          <w:szCs w:val="20"/>
          <w:color w:val="auto"/>
        </w:rPr>
      </w:pPr>
    </w:p>
    <w:p>
      <w:pPr>
        <w:ind w:left="460" w:right="52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2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454"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addition, as an emerging growth company, we are only required to provide two years of audited financial statements and two years of selected financial data in this prospectus.</w:t>
      </w:r>
    </w:p>
    <w:p>
      <w:pPr>
        <w:spacing w:after="0" w:line="16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7"/>
          <w:szCs w:val="17"/>
          <w:color w:val="auto"/>
        </w:rPr>
        <w:t>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w:t>
      </w:r>
    </w:p>
    <w:p>
      <w:pPr>
        <w:ind w:right="100"/>
        <w:spacing w:after="0" w:line="274" w:lineRule="auto"/>
        <w:rPr>
          <w:sz w:val="20"/>
          <w:szCs w:val="20"/>
          <w:color w:val="auto"/>
        </w:rPr>
      </w:pPr>
      <w:r>
        <w:rPr>
          <w:rFonts w:ascii="Times New Roman" w:cs="Times New Roman" w:eastAsia="Times New Roman" w:hAnsi="Times New Roman"/>
          <w:sz w:val="17"/>
          <w:szCs w:val="17"/>
          <w:color w:val="auto"/>
        </w:rPr>
        <w:t>Section 404 of the Sarbanes-Oxley Act and reduced disclosure obligations regarding executive compensation in this prospectus and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68" w:lineRule="exact"/>
        <w:rPr>
          <w:sz w:val="20"/>
          <w:szCs w:val="20"/>
          <w:color w:val="auto"/>
        </w:rPr>
      </w:pPr>
    </w:p>
    <w:p>
      <w:pPr>
        <w:ind w:right="100" w:firstLine="449"/>
        <w:spacing w:after="0" w:line="271" w:lineRule="auto"/>
        <w:rPr>
          <w:sz w:val="20"/>
          <w:szCs w:val="20"/>
          <w:color w:val="auto"/>
        </w:rPr>
      </w:pPr>
      <w:r>
        <w:rPr>
          <w:rFonts w:ascii="Times New Roman" w:cs="Times New Roman" w:eastAsia="Times New Roman" w:hAnsi="Times New Roman"/>
          <w:sz w:val="17"/>
          <w:szCs w:val="17"/>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3" w:lineRule="exact"/>
        <w:rPr>
          <w:sz w:val="20"/>
          <w:szCs w:val="20"/>
          <w:color w:val="auto"/>
        </w:rPr>
      </w:pPr>
    </w:p>
    <w:p>
      <w:pPr>
        <w:ind w:right="100" w:firstLine="449"/>
        <w:spacing w:after="0" w:line="269"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76"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53" w:lineRule="exact"/>
        <w:rPr>
          <w:sz w:val="20"/>
          <w:szCs w:val="20"/>
          <w:color w:val="auto"/>
        </w:rPr>
      </w:pPr>
    </w:p>
    <w:p>
      <w:pPr>
        <w:ind w:right="140" w:firstLine="449"/>
        <w:spacing w:after="0" w:line="285" w:lineRule="auto"/>
        <w:rPr>
          <w:sz w:val="20"/>
          <w:szCs w:val="20"/>
          <w:color w:val="auto"/>
        </w:rPr>
      </w:pPr>
      <w:r>
        <w:rPr>
          <w:rFonts w:ascii="Times New Roman" w:cs="Times New Roman" w:eastAsia="Times New Roman" w:hAnsi="Times New Roman"/>
          <w:sz w:val="17"/>
          <w:szCs w:val="17"/>
          <w:color w:val="auto"/>
        </w:rPr>
        <w:t>Our restated certificate of incorporation and our restated bylaws that will be in effect upon completion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6" w:lineRule="exact"/>
        <w:rPr>
          <w:sz w:val="20"/>
          <w:szCs w:val="20"/>
          <w:color w:val="auto"/>
        </w:rPr>
      </w:pPr>
    </w:p>
    <w:p>
      <w:pPr>
        <w:ind w:left="1000" w:hanging="552"/>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27" w:lineRule="exact"/>
        <w:rPr>
          <w:rFonts w:ascii="Times New Roman" w:cs="Times New Roman" w:eastAsia="Times New Roman" w:hAnsi="Times New Roman"/>
          <w:sz w:val="18"/>
          <w:szCs w:val="18"/>
          <w:color w:val="auto"/>
        </w:rPr>
      </w:pPr>
    </w:p>
    <w:p>
      <w:pPr>
        <w:ind w:left="5540" w:right="3000" w:hanging="5092"/>
        <w:spacing w:after="0" w:line="448" w:lineRule="auto"/>
        <w:tabs>
          <w:tab w:leader="none" w:pos="100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 66</w:t>
      </w:r>
    </w:p>
    <w:p>
      <w:pPr>
        <w:sectPr>
          <w:pgSz w:w="11900" w:h="16838" w:orient="portrait"/>
          <w:cols w:equalWidth="0" w:num="1">
            <w:col w:w="11240"/>
          </w:cols>
          <w:pgMar w:left="320" w:top="454"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hanging="552"/>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27" w:lineRule="exact"/>
        <w:rPr>
          <w:rFonts w:ascii="Times New Roman" w:cs="Times New Roman" w:eastAsia="Times New Roman" w:hAnsi="Times New Roman"/>
          <w:sz w:val="18"/>
          <w:szCs w:val="18"/>
          <w:color w:val="auto"/>
        </w:rPr>
      </w:pPr>
    </w:p>
    <w:p>
      <w:pPr>
        <w:ind w:left="1000" w:hanging="552"/>
        <w:spacing w:after="0" w:line="278"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jc w:val="both"/>
        <w:ind w:right="180" w:firstLine="449"/>
        <w:spacing w:after="0" w:line="263"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78" w:lineRule="exact"/>
        <w:rPr>
          <w:sz w:val="20"/>
          <w:szCs w:val="20"/>
          <w:color w:val="auto"/>
        </w:rPr>
      </w:pPr>
    </w:p>
    <w:p>
      <w:pPr>
        <w:ind w:left="460" w:right="20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29"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that will be in effect upon completion of this offering,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84"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0" w:lineRule="exact"/>
        <w:rPr>
          <w:sz w:val="20"/>
          <w:szCs w:val="20"/>
          <w:color w:val="auto"/>
        </w:rPr>
      </w:pPr>
    </w:p>
    <w:p>
      <w:pPr>
        <w:ind w:right="140" w:firstLine="449"/>
        <w:spacing w:after="0" w:line="252"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87" w:lineRule="exact"/>
        <w:rPr>
          <w:sz w:val="20"/>
          <w:szCs w:val="20"/>
          <w:color w:val="auto"/>
        </w:rPr>
      </w:pPr>
    </w:p>
    <w:p>
      <w:pPr>
        <w:ind w:right="160" w:firstLine="449"/>
        <w:spacing w:after="0" w:line="27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454"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2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83" w:lineRule="exact"/>
        <w:rPr>
          <w:sz w:val="20"/>
          <w:szCs w:val="20"/>
          <w:color w:val="auto"/>
        </w:rPr>
      </w:pPr>
    </w:p>
    <w:p>
      <w:pPr>
        <w:ind w:left="46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53"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9"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We are not currently required to comply with the SEC’s rules that implement Section 404 of the Sarbanes-Oxley Act, and are therefore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In addition, if we are not able to continue to meet these requirements, we may not be able to remain listed on the Nasdaq Global Market.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454"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3"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18"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454" w:right="3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5"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This prospectus, including the sections entitled “Prospectus Summary,” “Risk Factors,” “Use of Proceeds,” “Management’s Discussion and Analysis of Financial Condition and Results of Operations,” and “Business,” contains forward-looking statements about us and our industry. The words “believe,” “may,” “will,” “potentially,” “estimate,” “continue,” “anticipate,” “intend,” “could,” “would,” “project,” “plan,” “expect” and similar expressions that convey uncertainty of future events or outcomes are intended to identify forward-looking statements, although not all forward-looking statements contain these identifying words.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forward-looking statements in this prospectus include, among other things, statements about:</w:t>
      </w:r>
    </w:p>
    <w:p>
      <w:pPr>
        <w:spacing w:after="0" w:line="127" w:lineRule="exact"/>
        <w:rPr>
          <w:sz w:val="20"/>
          <w:szCs w:val="20"/>
          <w:color w:val="auto"/>
        </w:rPr>
      </w:pPr>
    </w:p>
    <w:p>
      <w:pPr>
        <w:ind w:left="1000" w:right="600" w:hanging="552"/>
        <w:spacing w:after="0" w:line="278"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 PRT543, PRT811 and PRT 1419, for the treatment of solid tumors and myeloid malignancies;</w:t>
      </w:r>
    </w:p>
    <w:p>
      <w:pPr>
        <w:spacing w:after="0" w:line="68" w:lineRule="exact"/>
        <w:rPr>
          <w:rFonts w:ascii="Times New Roman" w:cs="Times New Roman" w:eastAsia="Times New Roman" w:hAnsi="Times New Roman"/>
          <w:sz w:val="18"/>
          <w:szCs w:val="18"/>
          <w:color w:val="auto"/>
        </w:rPr>
      </w:pPr>
    </w:p>
    <w:p>
      <w:pPr>
        <w:ind w:left="1000" w:right="1340" w:hanging="552"/>
        <w:spacing w:after="0" w:line="278"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discovery, development and commercialization of our product candidates;</w:t>
      </w:r>
    </w:p>
    <w:p>
      <w:pPr>
        <w:spacing w:after="0" w:line="68" w:lineRule="exact"/>
        <w:rPr>
          <w:rFonts w:ascii="Times New Roman" w:cs="Times New Roman" w:eastAsia="Times New Roman" w:hAnsi="Times New Roman"/>
          <w:sz w:val="18"/>
          <w:szCs w:val="18"/>
          <w:color w:val="auto"/>
        </w:rPr>
      </w:pPr>
    </w:p>
    <w:p>
      <w:pPr>
        <w:ind w:left="1000" w:hanging="552"/>
        <w:spacing w:after="0" w:line="278"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PRT543, PRT811 and PRT1419, as well as our other product candidates;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planned clinical trials;</w:t>
      </w:r>
    </w:p>
    <w:p>
      <w:pPr>
        <w:spacing w:after="0" w:line="127" w:lineRule="exact"/>
        <w:rPr>
          <w:rFonts w:ascii="Times New Roman" w:cs="Times New Roman" w:eastAsia="Times New Roman" w:hAnsi="Times New Roman"/>
          <w:sz w:val="18"/>
          <w:szCs w:val="18"/>
          <w:color w:val="auto"/>
        </w:rPr>
      </w:pPr>
    </w:p>
    <w:p>
      <w:pPr>
        <w:ind w:left="1000" w:right="120" w:hanging="552"/>
        <w:spacing w:after="0" w:line="278"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the coronavirus, or COVID-19, pandemic and its potentially material adverse impact on our business, the macroeconomy, and the execution of our clinical trials;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and technical personnel;</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 candidates;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4"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20"/>
          </w:cols>
          <w:pgMar w:left="320" w:top="454" w:right="3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60" w:firstLine="449"/>
        <w:spacing w:after="0" w:line="263"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Securities and Exchange Commission, or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75" w:lineRule="exact"/>
        <w:rPr>
          <w:sz w:val="20"/>
          <w:szCs w:val="20"/>
          <w:color w:val="auto"/>
        </w:rPr>
      </w:pPr>
    </w:p>
    <w:p>
      <w:pPr>
        <w:ind w:firstLine="449"/>
        <w:spacing w:after="0" w:line="277"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00"/>
          </w:cols>
          <w:pgMar w:left="320" w:top="454" w:right="3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5"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This prospectus contains estimates and other statistical data made by independent parties and by us relating to our industry and the markets in which we operate, including our general expectations and market position, market opportunity, the incidence of certain medical conditions and other industry data. These data, to the extent they contain estimates or projections, involve a number of assumptions and limitations, and you are cautioned not to give undue weight to such estimates or projections. Industry publications and other reports we have obtained from independent parties generally state that the data contained in these publications or other reports have been obtained in good faith or from sources considered to be reliable, but they do not guarantee the accuracy or completeness of such data. The industry in which we operate is subject to risks and uncertainties due to a variety of factors, including those described in the section entitled “Risk Factors.” These and other factors could cause results to differ materially from those expressed in these publications and reports.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4"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 million from the sale of shares of common stock in this offering, or approximately $ million if the underwriters exercise their option to purchase additional shares in full, based on an assumed initial public offering price of $ per share, which is the midpoint of the price range set forth on the cover of this prospectus, after deducting the estimated underwriting discounts and commissions and estimated offering expenses payable by us.</w:t>
      </w:r>
    </w:p>
    <w:p>
      <w:pPr>
        <w:spacing w:after="0" w:line="180" w:lineRule="exact"/>
        <w:rPr>
          <w:sz w:val="20"/>
          <w:szCs w:val="20"/>
          <w:color w:val="auto"/>
        </w:rPr>
      </w:pPr>
    </w:p>
    <w:p>
      <w:pPr>
        <w:ind w:right="120" w:firstLine="449"/>
        <w:spacing w:after="0" w:line="259"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which is the midpoint of the price range set forth on the cover of this prospectus, would increase (decrease) the net proceeds to us from this offering by $ million, assuming the number of shares offered,</w:t>
      </w:r>
    </w:p>
    <w:p>
      <w:pPr>
        <w:ind w:right="260"/>
        <w:spacing w:after="0" w:line="262" w:lineRule="auto"/>
        <w:rPr>
          <w:sz w:val="20"/>
          <w:szCs w:val="20"/>
          <w:color w:val="auto"/>
        </w:rPr>
      </w:pPr>
      <w:r>
        <w:rPr>
          <w:rFonts w:ascii="Times New Roman" w:cs="Times New Roman" w:eastAsia="Times New Roman" w:hAnsi="Times New Roman"/>
          <w:sz w:val="17"/>
          <w:szCs w:val="17"/>
          <w:color w:val="auto"/>
        </w:rPr>
        <w:t>as set forth on the cover of this prospectus, remains the same, and after deducting the estimated underwriting discounts and commissions and estimated offering expenses payable by us. Similarly, each increase (decrease) of 1,000,000 shares in the number of shares of common stock offered would increase</w:t>
      </w:r>
    </w:p>
    <w:p>
      <w:pPr>
        <w:spacing w:after="0" w:line="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(decrease) the net proceeds that we receive from this offering by $ million, assuming that the assumed initial public offering price remains the same and after deducting the estimated underwriting discounts and commissions and estimated offering expenses payable by us.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intend to use the net proceeds we receive from this offering, as follows:</w:t>
      </w:r>
    </w:p>
    <w:p>
      <w:pPr>
        <w:spacing w:after="0" w:line="127"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approximately $</w:t>
            </w: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million to $</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million to advance the clinical development of PRT543, including to complete the dose escalation</w:t>
            </w:r>
          </w:p>
        </w:tc>
      </w:tr>
      <w:tr>
        <w:trPr>
          <w:trHeight w:val="214"/>
        </w:trPr>
        <w:tc>
          <w:tcPr>
            <w:tcW w:w="320" w:type="dxa"/>
            <w:vAlign w:val="bottom"/>
          </w:tcPr>
          <w:p>
            <w:pPr>
              <w:spacing w:after="0"/>
              <w:rPr>
                <w:sz w:val="18"/>
                <w:szCs w:val="18"/>
                <w:color w:val="auto"/>
              </w:rPr>
            </w:pP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and expansion cohorts of our ongoing Phase 1 clinical trial in patients with solid tumors and hematological malignancies. We may be able to</w:t>
            </w:r>
          </w:p>
        </w:tc>
      </w:tr>
      <w:tr>
        <w:trPr>
          <w:trHeight w:val="233"/>
        </w:trPr>
        <w:tc>
          <w:tcPr>
            <w:tcW w:w="32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initiate Phase 2 clinical trial activities, but will require additional funding to complete the Phase 2 clinical trials;</w:t>
            </w:r>
          </w:p>
        </w:tc>
      </w:tr>
      <w:tr>
        <w:trPr>
          <w:trHeight w:val="31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approximately $</w:t>
            </w: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million to $</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million to advance the clinical development of PRT811, including to complete the dose escalation</w:t>
            </w:r>
          </w:p>
        </w:tc>
      </w:tr>
      <w:tr>
        <w:trPr>
          <w:trHeight w:val="214"/>
        </w:trPr>
        <w:tc>
          <w:tcPr>
            <w:tcW w:w="320" w:type="dxa"/>
            <w:vAlign w:val="bottom"/>
          </w:tcPr>
          <w:p>
            <w:pPr>
              <w:spacing w:after="0"/>
              <w:rPr>
                <w:sz w:val="18"/>
                <w:szCs w:val="18"/>
                <w:color w:val="auto"/>
              </w:rPr>
            </w:pP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8"/>
              </w:rPr>
              <w:t>and expansion cohorts of our ongoing Phase 1 clinical trial in patients with advanced solid tumors. We may be able to initiate Phase 2 clinical</w:t>
            </w:r>
          </w:p>
        </w:tc>
      </w:tr>
      <w:tr>
        <w:trPr>
          <w:trHeight w:val="233"/>
        </w:trPr>
        <w:tc>
          <w:tcPr>
            <w:tcW w:w="32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trial activities, but will require additional funding to complete the Phase 2 clinical trials;</w:t>
            </w:r>
          </w:p>
        </w:tc>
      </w:tr>
      <w:tr>
        <w:trPr>
          <w:trHeight w:val="31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approximately $</w:t>
            </w: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million to $</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million to advance the clinical development of PRT1419, including to complete the dose escalation</w:t>
            </w:r>
          </w:p>
        </w:tc>
      </w:tr>
      <w:tr>
        <w:trPr>
          <w:trHeight w:val="233"/>
        </w:trPr>
        <w:tc>
          <w:tcPr>
            <w:tcW w:w="32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and expansion cohorts of our planned Phase 1 clinical trial in patients with R/R/ high risk MF or MDS and R/R NHL or MM;</w:t>
            </w:r>
          </w:p>
        </w:tc>
      </w:tr>
      <w:tr>
        <w:trPr>
          <w:trHeight w:val="31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approximately $</w:t>
            </w: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million to $</w:t>
            </w:r>
          </w:p>
        </w:tc>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million to fund further development of our preclinical programs towards IND filings and/or into</w:t>
            </w:r>
          </w:p>
        </w:tc>
      </w:tr>
      <w:tr>
        <w:trPr>
          <w:trHeight w:val="233"/>
        </w:trPr>
        <w:tc>
          <w:tcPr>
            <w:tcW w:w="320" w:type="dxa"/>
            <w:vAlign w:val="bottom"/>
          </w:tcPr>
          <w:p>
            <w:pPr>
              <w:spacing w:after="0"/>
              <w:rPr>
                <w:sz w:val="20"/>
                <w:szCs w:val="20"/>
                <w:color w:val="auto"/>
              </w:rPr>
            </w:pP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clinical trials; and</w:t>
            </w:r>
          </w:p>
        </w:tc>
        <w:tc>
          <w:tcPr>
            <w:tcW w:w="1320" w:type="dxa"/>
            <w:vAlign w:val="bottom"/>
          </w:tcPr>
          <w:p>
            <w:pPr>
              <w:spacing w:after="0"/>
              <w:rPr>
                <w:sz w:val="20"/>
                <w:szCs w:val="20"/>
                <w:color w:val="auto"/>
              </w:rPr>
            </w:pPr>
          </w:p>
        </w:tc>
        <w:tc>
          <w:tcPr>
            <w:tcW w:w="7320" w:type="dxa"/>
            <w:vAlign w:val="bottom"/>
          </w:tcPr>
          <w:p>
            <w:pPr>
              <w:spacing w:after="0"/>
              <w:rPr>
                <w:sz w:val="20"/>
                <w:szCs w:val="20"/>
                <w:color w:val="auto"/>
              </w:rPr>
            </w:pPr>
          </w:p>
        </w:tc>
      </w:tr>
    </w:tbl>
    <w:p>
      <w:pPr>
        <w:spacing w:after="0" w:line="102" w:lineRule="exact"/>
        <w:rPr>
          <w:sz w:val="20"/>
          <w:szCs w:val="20"/>
          <w:color w:val="auto"/>
        </w:rPr>
      </w:pPr>
    </w:p>
    <w:p>
      <w:pPr>
        <w:ind w:left="1000" w:hanging="55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remaining amounts to fund working capital and general corporate purposes.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Based on our planned use of the net proceeds, we estimate such funds, together with our existing cash and cash equivalents, will be sufficient for us to</w:t>
      </w:r>
    </w:p>
    <w:p>
      <w:pPr>
        <w:spacing w:after="0" w:line="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fund our operating expenses and capital expenditure requirements through at least . We have based this estimate on assumptions that may prove to be wrong, and we could use our available capital resources sooner than we expect.</w:t>
      </w:r>
    </w:p>
    <w:p>
      <w:pPr>
        <w:spacing w:after="0" w:line="182" w:lineRule="exact"/>
        <w:rPr>
          <w:sz w:val="20"/>
          <w:szCs w:val="20"/>
          <w:color w:val="auto"/>
        </w:rPr>
      </w:pPr>
    </w:p>
    <w:p>
      <w:pPr>
        <w:ind w:right="200" w:firstLine="449"/>
        <w:spacing w:after="0" w:line="255" w:lineRule="auto"/>
        <w:rPr>
          <w:sz w:val="20"/>
          <w:szCs w:val="20"/>
          <w:color w:val="auto"/>
        </w:rPr>
      </w:pPr>
      <w:r>
        <w:rPr>
          <w:rFonts w:ascii="Times New Roman" w:cs="Times New Roman" w:eastAsia="Times New Roman" w:hAnsi="Times New Roman"/>
          <w:sz w:val="18"/>
          <w:szCs w:val="18"/>
          <w:color w:val="auto"/>
        </w:rPr>
        <w:t>The expected use of the net proceeds from the offering represents our intentions based upon our current plans and business conditions. The amounts we actually expend in these areas, and the timing thereof, may vary significantly from our current intentions and will depend on a number of factors, including the success of research and product development efforts, cash generated from future operations and actual expenses to operate our business. We may use a portion of the net proceeds for the acquisition of, or investment in, businesses that complement our business, although we have no present commitments or agreements.</w:t>
      </w:r>
    </w:p>
    <w:p>
      <w:pPr>
        <w:spacing w:after="0" w:line="184" w:lineRule="exact"/>
        <w:rPr>
          <w:sz w:val="20"/>
          <w:szCs w:val="20"/>
          <w:color w:val="auto"/>
        </w:rPr>
      </w:pPr>
    </w:p>
    <w:p>
      <w:pPr>
        <w:ind w:right="120" w:firstLine="449"/>
        <w:spacing w:after="0" w:line="263" w:lineRule="auto"/>
        <w:rPr>
          <w:sz w:val="20"/>
          <w:szCs w:val="20"/>
          <w:color w:val="auto"/>
        </w:rPr>
      </w:pPr>
      <w:r>
        <w:rPr>
          <w:rFonts w:ascii="Times New Roman" w:cs="Times New Roman" w:eastAsia="Times New Roman" w:hAnsi="Times New Roman"/>
          <w:sz w:val="18"/>
          <w:szCs w:val="18"/>
          <w:color w:val="auto"/>
        </w:rPr>
        <w:t>The amounts and timing of our preclinical and clinical expenditures and the extent of preclinical and clinical development may vary significantly depending on numerous factors, including the status, results and timing of our current preclinical studies and the preclinical studies and clinical trials which we may commence in the future, the product approval process with the FDA and other regulatory agencies, and any new collaborations we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320" w:top="454" w:right="3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7"/>
          <w:szCs w:val="17"/>
          <w:color w:val="auto"/>
        </w:rPr>
        <w:t>may enter into with third parties and any unforeseen cash needs. As a result, we cannot predict with any certainty all of the particular uses for the net proceeds or the amounts that we will actually spend on the uses set forth above. Accordingly, our management will have broad discretion in the application of the net proceeds, and investors will be relying on the judgment of our management regarding the application of the net proceeds of this offering.</w:t>
      </w:r>
    </w:p>
    <w:p>
      <w:pPr>
        <w:spacing w:after="0" w:line="160" w:lineRule="exact"/>
        <w:rPr>
          <w:sz w:val="20"/>
          <w:szCs w:val="20"/>
          <w:color w:val="auto"/>
        </w:rPr>
      </w:pPr>
    </w:p>
    <w:p>
      <w:pPr>
        <w:ind w:firstLine="449"/>
        <w:spacing w:after="0" w:line="278" w:lineRule="auto"/>
        <w:rPr>
          <w:sz w:val="20"/>
          <w:szCs w:val="20"/>
          <w:color w:val="auto"/>
        </w:rPr>
      </w:pPr>
      <w:r>
        <w:rPr>
          <w:rFonts w:ascii="Times New Roman" w:cs="Times New Roman" w:eastAsia="Times New Roman" w:hAnsi="Times New Roman"/>
          <w:sz w:val="18"/>
          <w:szCs w:val="18"/>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62" w:lineRule="exact"/>
        <w:rPr>
          <w:sz w:val="20"/>
          <w:szCs w:val="20"/>
          <w:color w:val="auto"/>
        </w:rPr>
      </w:pPr>
    </w:p>
    <w:p>
      <w:pPr>
        <w:ind w:right="160" w:firstLine="449"/>
        <w:spacing w:after="0" w:line="278" w:lineRule="auto"/>
        <w:rPr>
          <w:sz w:val="20"/>
          <w:szCs w:val="20"/>
          <w:color w:val="auto"/>
        </w:rPr>
      </w:pPr>
      <w:r>
        <w:rPr>
          <w:rFonts w:ascii="Times New Roman" w:cs="Times New Roman" w:eastAsia="Times New Roman" w:hAnsi="Times New Roman"/>
          <w:sz w:val="18"/>
          <w:szCs w:val="18"/>
          <w:color w:val="auto"/>
        </w:rPr>
        <w:t>Pending the uses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4"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5" w:lineRule="exact"/>
        <w:rPr>
          <w:sz w:val="20"/>
          <w:szCs w:val="20"/>
          <w:color w:val="auto"/>
        </w:rPr>
      </w:pPr>
    </w:p>
    <w:p>
      <w:pPr>
        <w:ind w:firstLine="449"/>
        <w:spacing w:after="0" w:line="308" w:lineRule="auto"/>
        <w:rPr>
          <w:sz w:val="20"/>
          <w:szCs w:val="20"/>
          <w:color w:val="auto"/>
        </w:rPr>
      </w:pPr>
      <w:r>
        <w:rPr>
          <w:rFonts w:ascii="Times New Roman" w:cs="Times New Roman" w:eastAsia="Times New Roman" w:hAnsi="Times New Roman"/>
          <w:sz w:val="17"/>
          <w:szCs w:val="17"/>
          <w:color w:val="auto"/>
        </w:rPr>
        <w:t>We have never declared or paid cash dividends on our common stock. We currently intend to retain all available funds and any future earnings for use in the operation of our business and do not anticipate paying any cash dividends on our common stock or non-voting common stock in the foreseeable future.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454"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June 30, 2020 on:</w:t>
      </w:r>
    </w:p>
    <w:p>
      <w:pPr>
        <w:spacing w:after="0" w:line="127" w:lineRule="exact"/>
        <w:rPr>
          <w:sz w:val="20"/>
          <w:szCs w:val="20"/>
          <w:color w:val="auto"/>
        </w:rPr>
      </w:pPr>
    </w:p>
    <w:p>
      <w:pPr>
        <w:ind w:left="1000" w:hanging="552"/>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27" w:lineRule="exact"/>
        <w:rPr>
          <w:rFonts w:ascii="Times New Roman" w:cs="Times New Roman" w:eastAsia="Times New Roman" w:hAnsi="Times New Roman"/>
          <w:sz w:val="18"/>
          <w:szCs w:val="18"/>
          <w:color w:val="auto"/>
        </w:rPr>
      </w:pPr>
    </w:p>
    <w:p>
      <w:pPr>
        <w:ind w:left="1000" w:hanging="552"/>
        <w:spacing w:after="0" w:line="253"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giving effect to (i) the automatic conversion of 31,221,066 shares of our outstanding convertible preferred stock as of June 30, 2020 into an aggregate of 31,221,066 shares of common stock and non-voting common stock (of which 11,894,366 shares are non-voting common stock) immediately prior to the completion of this offering, (ii) the issuance and sale of 3,982,887 shares of Series C convertible preferred stock in August 2020 for net proceeds of $49.9 million and the automatic conversion of such shares into an aggregate of 3,982,887 shares of common stock and non-voting common stock (of which 955,893 shares are non-voting common stock) immediately prior to the completion of this offering and (iii) the filing and effectiveness of our restated certificate of incorporation, in each case immediately prior to this offering; and</w:t>
      </w:r>
    </w:p>
    <w:p>
      <w:pPr>
        <w:sectPr>
          <w:pgSz w:w="11900" w:h="16838" w:orient="portrait"/>
          <w:cols w:equalWidth="0" w:num="1">
            <w:col w:w="11240"/>
          </w:cols>
          <w:pgMar w:left="320" w:top="454" w:right="339" w:bottom="1440" w:gutter="0" w:footer="0" w:header="0"/>
        </w:sectPr>
      </w:pPr>
    </w:p>
    <w:p>
      <w:pPr>
        <w:spacing w:after="0" w:line="9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a pro forma as adjusted basis, giving effect to (i) the pro forma adjustments described above and (ii) the sale of shares of common stock in this offering, at an assumed initial public offering price of $ per share, which is the midpoint of the price range set forth on the</w:t>
      </w:r>
    </w:p>
    <w:p>
      <w:pPr>
        <w:spacing w:after="0" w:line="1" w:lineRule="exact"/>
        <w:rPr>
          <w:sz w:val="20"/>
          <w:szCs w:val="20"/>
          <w:color w:val="auto"/>
        </w:rPr>
      </w:pPr>
    </w:p>
    <w:p>
      <w:pPr>
        <w:sectPr>
          <w:pgSz w:w="11900" w:h="16838" w:orient="portrait"/>
          <w:cols w:equalWidth="0" w:num="2">
            <w:col w:w="520" w:space="480"/>
            <w:col w:w="10240"/>
          </w:cols>
          <w:pgMar w:left="320" w:top="454"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color w:val="auto"/>
        </w:rPr>
        <w:t>cover of this prospectus, after deducting the estimated underwriting discounts and commissions and estimated offering expenses payable by us.</w:t>
      </w:r>
    </w:p>
    <w:p>
      <w:pPr>
        <w:spacing w:after="0" w:line="214" w:lineRule="exact"/>
        <w:rPr>
          <w:sz w:val="20"/>
          <w:szCs w:val="20"/>
          <w:color w:val="auto"/>
        </w:rPr>
      </w:pPr>
    </w:p>
    <w:p>
      <w:pPr>
        <w:ind w:right="300" w:firstLine="449"/>
        <w:spacing w:after="0" w:line="278" w:lineRule="auto"/>
        <w:rPr>
          <w:sz w:val="20"/>
          <w:szCs w:val="20"/>
          <w:color w:val="auto"/>
        </w:rPr>
      </w:pPr>
      <w:r>
        <w:rPr>
          <w:rFonts w:ascii="Times New Roman" w:cs="Times New Roman" w:eastAsia="Times New Roman" w:hAnsi="Times New Roman"/>
          <w:sz w:val="18"/>
          <w:szCs w:val="18"/>
          <w:color w:val="auto"/>
        </w:rPr>
        <w:t>The pro forma as adjusted information set forth in the table below is illustrative only and will be adjusted based on the actual initial public offering price and other terms of this offering as determined at pricing.</w:t>
      </w:r>
    </w:p>
    <w:p>
      <w:pPr>
        <w:spacing w:after="0" w:line="162" w:lineRule="exact"/>
        <w:rPr>
          <w:sz w:val="20"/>
          <w:szCs w:val="20"/>
          <w:color w:val="auto"/>
        </w:rPr>
      </w:pPr>
    </w:p>
    <w:p>
      <w:pPr>
        <w:ind w:right="580" w:firstLine="449"/>
        <w:spacing w:after="0" w:line="278" w:lineRule="auto"/>
        <w:rPr>
          <w:sz w:val="20"/>
          <w:szCs w:val="20"/>
          <w:color w:val="auto"/>
        </w:rPr>
      </w:pPr>
      <w:r>
        <w:rPr>
          <w:rFonts w:ascii="Times New Roman" w:cs="Times New Roman" w:eastAsia="Times New Roman" w:hAnsi="Times New Roman"/>
          <w:sz w:val="18"/>
          <w:szCs w:val="18"/>
          <w:color w:val="auto"/>
        </w:rPr>
        <w:t>You should read this table together with the sections titled “Selected Financial Data” and “Management’s Discussion and Analysis of Financial Condition and Results of Operations” and our financial statements and related notes, each included elsewhere in this prospectus.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1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1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0"/>
        </w:trPr>
        <w:tc>
          <w:tcPr>
            <w:tcW w:w="7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900" w:type="dxa"/>
            <w:vAlign w:val="bottom"/>
            <w:tcBorders>
              <w:top w:val="single" w:sz="8" w:color="auto"/>
            </w:tcBorders>
            <w:gridSpan w:val="7"/>
          </w:tcPr>
          <w:p>
            <w:pPr>
              <w:jc w:val="right"/>
              <w:ind w:right="479"/>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29,716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79,626</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Convertible preferred stock, $0.0001 par value: 32,074,008 shares authorized, 31,221,066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no shares authorized, issued or outstanding, pro</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 or pro forma as adjusted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96,385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 or outstanding, actual;</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shares authorized, no shares issued or outstanding, pro forma or pro forma</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 adjusted</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Voting common stock, $0.0001 par value: 42,000,000 shares authorized, 4,199,280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actual; 46,000,000 shares authorized, pro forma and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 forma as adjusted; 26,552,974 shares issued and outstanding, pro forma;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shares issued and outstanding, pro forma as adjusted</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1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Non-voting common stock, $0.0001 par value: no shares authorized, issued or</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actual; 12,850,259 shares authorized, issued and outstanding, pro forma</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pro forma as adjusted</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148,396</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(71,416)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(71,416)</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(69,311)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76,984</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76,984</w:t>
            </w:r>
          </w:p>
        </w:tc>
        <w:tc>
          <w:tcPr>
            <w:tcW w:w="6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type w:val="continuous"/>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7810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40" w:hanging="433"/>
        <w:spacing w:after="0"/>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information is illustrative only and will change based on the actual initial public offering price and other terms of this</w:t>
      </w:r>
    </w:p>
    <w:p>
      <w:pPr>
        <w:spacing w:after="0" w:line="26" w:lineRule="exact"/>
        <w:rPr>
          <w:sz w:val="20"/>
          <w:szCs w:val="20"/>
          <w:color w:val="auto"/>
        </w:rPr>
      </w:pPr>
    </w:p>
    <w:p>
      <w:pPr>
        <w:ind w:left="440" w:right="560"/>
        <w:spacing w:after="0" w:line="262" w:lineRule="auto"/>
        <w:rPr>
          <w:sz w:val="20"/>
          <w:szCs w:val="20"/>
          <w:color w:val="auto"/>
        </w:rPr>
      </w:pPr>
      <w:r>
        <w:rPr>
          <w:rFonts w:ascii="Times New Roman" w:cs="Times New Roman" w:eastAsia="Times New Roman" w:hAnsi="Times New Roman"/>
          <w:sz w:val="17"/>
          <w:szCs w:val="17"/>
          <w:color w:val="auto"/>
        </w:rPr>
        <w:t>offering as determined at pricing. Each $1.00 increase (decrease) in the assumed initial public offering price of $ per share, which is the midpoint of the price range set forth on the cover of this prospectus, would increase (decrease) each of our pro forma as adjusted cash and cash</w:t>
      </w:r>
    </w:p>
    <w:p>
      <w:pPr>
        <w:spacing w:after="0" w:line="1" w:lineRule="exact"/>
        <w:rPr>
          <w:sz w:val="20"/>
          <w:szCs w:val="20"/>
          <w:color w:val="auto"/>
        </w:rPr>
      </w:pPr>
    </w:p>
    <w:p>
      <w:pPr>
        <w:ind w:left="440"/>
        <w:spacing w:after="0" w:line="248" w:lineRule="auto"/>
        <w:rPr>
          <w:sz w:val="20"/>
          <w:szCs w:val="20"/>
          <w:color w:val="auto"/>
        </w:rPr>
      </w:pPr>
      <w:r>
        <w:rPr>
          <w:rFonts w:ascii="Times New Roman" w:cs="Times New Roman" w:eastAsia="Times New Roman" w:hAnsi="Times New Roman"/>
          <w:sz w:val="18"/>
          <w:szCs w:val="18"/>
          <w:color w:val="auto"/>
        </w:rPr>
        <w:t>equivalents, additional paid-in-capital, total stockholders’ equity and total capitalization by approximately $ million, assuming that the number of shares offered remains the same and after deducting the estimated underwriting discounts and commissions and estimated offering expenses payable by us. Similarly, each increase (decrease) of 1,000,000 shares in the number of shares of common stock offered would increase (decrease) each of our pro forma as adjusted cash and cash equivalents, additional paid-in-capital, total stockholders’ equity and total capitalization by approximately</w:t>
      </w:r>
    </w:p>
    <w:p>
      <w:pPr>
        <w:ind w:left="440" w:right="260" w:firstLine="8"/>
        <w:spacing w:after="0" w:line="256"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the assumed initial public offering price remains the same and after deducting the estimated underwriting discounts and commissions and estimated offering expenses payable by us.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above excludes the following:</w:t>
      </w:r>
    </w:p>
    <w:p>
      <w:pPr>
        <w:spacing w:after="0" w:line="127" w:lineRule="exact"/>
        <w:rPr>
          <w:sz w:val="20"/>
          <w:szCs w:val="20"/>
          <w:color w:val="auto"/>
        </w:rPr>
      </w:pPr>
    </w:p>
    <w:p>
      <w:pPr>
        <w:ind w:left="1000" w:right="60" w:hanging="552"/>
        <w:spacing w:after="0" w:line="27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4,139,344 shares of common stock issuable upon the exercise of stock options outstanding as of June 30, 2020 under our 2016 Stock Incentive Plan, or the 2016 Plan, with an average exercise price of $1.53 per share;</w:t>
      </w:r>
    </w:p>
    <w:p>
      <w:pPr>
        <w:spacing w:after="0" w:line="68" w:lineRule="exact"/>
        <w:rPr>
          <w:rFonts w:ascii="Times New Roman" w:cs="Times New Roman" w:eastAsia="Times New Roman" w:hAnsi="Times New Roman"/>
          <w:sz w:val="18"/>
          <w:szCs w:val="18"/>
          <w:color w:val="auto"/>
        </w:rPr>
      </w:pPr>
    </w:p>
    <w:p>
      <w:pPr>
        <w:ind w:left="1000" w:right="360" w:hanging="552"/>
        <w:spacing w:after="0" w:line="27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3,620,131 shares of common stock issuable upon the exercise of options outstanding that were granted after June 30, 2020 under our 2016 Plan, with an average exercise price of $11.11 per share;</w:t>
      </w:r>
    </w:p>
    <w:p>
      <w:pPr>
        <w:spacing w:after="0" w:line="68" w:lineRule="exact"/>
        <w:rPr>
          <w:rFonts w:ascii="Times New Roman" w:cs="Times New Roman" w:eastAsia="Times New Roman" w:hAnsi="Times New Roman"/>
          <w:sz w:val="18"/>
          <w:szCs w:val="18"/>
          <w:color w:val="auto"/>
        </w:rPr>
      </w:pPr>
    </w:p>
    <w:p>
      <w:pPr>
        <w:ind w:left="1760" w:hanging="1312"/>
        <w:spacing w:after="0"/>
        <w:tabs>
          <w:tab w:leader="none" w:pos="1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stock-based compensation plans, consisting of (i) 269,345 shares of</w:t>
      </w:r>
    </w:p>
    <w:p>
      <w:pPr>
        <w:spacing w:after="0" w:line="26" w:lineRule="exact"/>
        <w:rPr>
          <w:sz w:val="20"/>
          <w:szCs w:val="20"/>
          <w:color w:val="auto"/>
        </w:rPr>
      </w:pPr>
    </w:p>
    <w:p>
      <w:pPr>
        <w:ind w:left="1000" w:right="40"/>
        <w:spacing w:after="0" w:line="248" w:lineRule="auto"/>
        <w:rPr>
          <w:sz w:val="20"/>
          <w:szCs w:val="20"/>
          <w:color w:val="auto"/>
        </w:rPr>
      </w:pPr>
      <w:r>
        <w:rPr>
          <w:rFonts w:ascii="Times New Roman" w:cs="Times New Roman" w:eastAsia="Times New Roman" w:hAnsi="Times New Roman"/>
          <w:sz w:val="18"/>
          <w:szCs w:val="18"/>
          <w:color w:val="auto"/>
        </w:rPr>
        <w:t>common stock reserved for future issuance under our 2016 Plan as of June 30, 2020, (ii) shares of common stock reserved for future issuance under our 2020 Plan, which will become effective on the date immediately prior to the date of the effectiveness of the registration</w:t>
      </w:r>
    </w:p>
    <w:p>
      <w:pPr>
        <w:ind w:left="1000"/>
        <w:spacing w:after="0" w:line="249" w:lineRule="auto"/>
        <w:rPr>
          <w:sz w:val="20"/>
          <w:szCs w:val="20"/>
          <w:color w:val="auto"/>
        </w:rPr>
      </w:pPr>
      <w:r>
        <w:rPr>
          <w:rFonts w:ascii="Times New Roman" w:cs="Times New Roman" w:eastAsia="Times New Roman" w:hAnsi="Times New Roman"/>
          <w:sz w:val="18"/>
          <w:szCs w:val="18"/>
          <w:color w:val="auto"/>
        </w:rPr>
        <w:t>statement of which this prospectus forms a part and (iii) shares of common stock reserved for future issuance under our ESPP, which will become effective on the date of the effectiveness of the registration statement of which this prospectus forms a part. Upon completion of this offering, any remaining shares available for issuance under our 2016 Plan will be added to the shares reserved under our 2020 Plan and we will cease granting awards under our 2016 Plan. Our 2020 Plan and ESPP also provide for automatic annual increases in the number of shares reserved under the plans each year, as more fully described in “Executive Compensation — Equity Compensation Plans and Other Benefit Plans.”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454" w:right="3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5" w:lineRule="exact"/>
        <w:rPr>
          <w:sz w:val="20"/>
          <w:szCs w:val="20"/>
          <w:color w:val="auto"/>
        </w:rPr>
      </w:pPr>
    </w:p>
    <w:p>
      <w:pPr>
        <w:ind w:right="140" w:firstLine="449"/>
        <w:spacing w:after="0" w:line="263"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amount per share paid by purchasers of shares of common stock in this offering and the pro forma as adjusted net tangible book value per share of common stock immediately after this offering.</w:t>
      </w:r>
    </w:p>
    <w:p>
      <w:pPr>
        <w:spacing w:after="0" w:line="175"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Historical net tangible book deficit per share is determined by dividing our total tangible assets (which excludes deferred offering costs) less our total liabilities and convertible preferred stock by the number of shares of common stock outstanding. Our historical net tangible book deficit as of June 30, 2020 was $(69.8) million, or $(16.62) per share, based on 4,199,280 shares of common stock and no shares of non-voting common stock outstanding as of that date.</w:t>
      </w:r>
    </w:p>
    <w:p>
      <w:pPr>
        <w:spacing w:after="0" w:line="180"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Our pro forma net tangible book value as of June 30, 2020 was $76.5 million, or $1.94 per share of common stock and non-voting common stock. Our pro forma net tangible book value per share represents the amount of our total tangible assets (which excludes deferred offering costs) less our total liabilities and divided by the total number of shares of our common stock and non-voting common stock outstanding as of June 30, 2020, after giving effect to (i) the automatic conversion of 31,221,066 shares of our outstanding convertible preferred stock as of June 30, 2020 into an aggregate of 31,221,066 shares of common stock and non-voting common stock (of which 11,894,366 shares are non-voting common stock) immediately prior to the completion of this offering (ii) the issuance and sale of 3,982,887 shares of Series C convertible preferred stock in August 2020 for net proceeds of $49.9 million and the automatic conversion of such shares into an aggregate of 3,982,887 shares of common stock and non-voting common stock (of which 955,893 shares are non-voting common stock) immediately prior to the completion of this offering.</w:t>
      </w:r>
    </w:p>
    <w:p>
      <w:pPr>
        <w:spacing w:after="0" w:line="187" w:lineRule="exact"/>
        <w:rPr>
          <w:sz w:val="20"/>
          <w:szCs w:val="20"/>
          <w:color w:val="auto"/>
        </w:rPr>
      </w:pPr>
    </w:p>
    <w:p>
      <w:pPr>
        <w:jc w:val="both"/>
        <w:ind w:right="120" w:firstLine="449"/>
        <w:spacing w:after="0" w:line="270" w:lineRule="auto"/>
        <w:rPr>
          <w:sz w:val="20"/>
          <w:szCs w:val="20"/>
          <w:color w:val="auto"/>
        </w:rPr>
      </w:pPr>
      <w:r>
        <w:rPr>
          <w:rFonts w:ascii="Times New Roman" w:cs="Times New Roman" w:eastAsia="Times New Roman" w:hAnsi="Times New Roman"/>
          <w:sz w:val="17"/>
          <w:szCs w:val="17"/>
          <w:color w:val="auto"/>
        </w:rPr>
        <w:t>Net tangible book value dilution per share to new investors in this offering represents the difference between the amount per share paid by purchasers of shares of common stock in this offering and the pro forma as adjusted net tangible book value per share of common stock and non-voting common stock immediately after completion of this offering. After giving effect to (i) the pro forma adjustments set forth above and (ii) our sale in this offering</w:t>
      </w:r>
    </w:p>
    <w:p>
      <w:pPr>
        <w:spacing w:after="0" w:line="1" w:lineRule="exact"/>
        <w:rPr>
          <w:sz w:val="20"/>
          <w:szCs w:val="20"/>
          <w:color w:val="auto"/>
        </w:rPr>
      </w:pPr>
    </w:p>
    <w:p>
      <w:pPr>
        <w:jc w:val="both"/>
        <w:ind w:right="180"/>
        <w:spacing w:after="0" w:line="248" w:lineRule="auto"/>
        <w:rPr>
          <w:sz w:val="20"/>
          <w:szCs w:val="20"/>
          <w:color w:val="auto"/>
        </w:rPr>
      </w:pPr>
      <w:r>
        <w:rPr>
          <w:rFonts w:ascii="Times New Roman" w:cs="Times New Roman" w:eastAsia="Times New Roman" w:hAnsi="Times New Roman"/>
          <w:sz w:val="18"/>
          <w:szCs w:val="18"/>
          <w:color w:val="auto"/>
        </w:rPr>
        <w:t>of shares of our common stock at an assumed initial public offering price of $ per share, which is the midpoint of the price range set forth on the cover of this prospectus, and after deducting the estimated underwriting discounts and commissions and estimated offering expenses payable by us,</w:t>
      </w:r>
    </w:p>
    <w:tbl>
      <w:tblPr>
        <w:tblLayout w:type="fixed"/>
        <w:tblInd w:w="0" w:type="dxa"/>
        <w:tblCellMar>
          <w:top w:w="0" w:type="dxa"/>
          <w:left w:w="0" w:type="dxa"/>
          <w:bottom w:w="0" w:type="dxa"/>
          <w:right w:w="0" w:type="dxa"/>
        </w:tblCellMar>
      </w:tblPr>
      <w:tr>
        <w:trPr>
          <w:trHeight w:val="195"/>
        </w:trPr>
        <w:tc>
          <w:tcPr>
            <w:tcW w:w="79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our pro forma as adjusted net tangible book value as of June 30, 2020 would have been approximately $</w:t>
            </w:r>
          </w:p>
        </w:tc>
        <w:tc>
          <w:tcPr>
            <w:tcW w:w="9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million, or $</w:t>
            </w:r>
          </w:p>
        </w:tc>
        <w:tc>
          <w:tcPr>
            <w:tcW w:w="2360" w:type="dxa"/>
            <w:vAlign w:val="bottom"/>
            <w:gridSpan w:val="5"/>
          </w:tcPr>
          <w:p>
            <w:pPr>
              <w:ind w:left="500"/>
              <w:spacing w:after="0" w:line="195" w:lineRule="exact"/>
              <w:rPr>
                <w:sz w:val="20"/>
                <w:szCs w:val="20"/>
                <w:color w:val="auto"/>
              </w:rPr>
            </w:pPr>
            <w:r>
              <w:rPr>
                <w:rFonts w:ascii="Times New Roman" w:cs="Times New Roman" w:eastAsia="Times New Roman" w:hAnsi="Times New Roman"/>
                <w:sz w:val="18"/>
                <w:szCs w:val="18"/>
                <w:color w:val="auto"/>
              </w:rPr>
              <w:t>per share of our common</w:t>
            </w:r>
          </w:p>
        </w:tc>
      </w:tr>
      <w:tr>
        <w:trPr>
          <w:trHeight w:val="214"/>
        </w:trPr>
        <w:tc>
          <w:tcPr>
            <w:tcW w:w="8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 and non-voting common stock. This represents an immediate increase in pro forma net tangible book value of $</w:t>
            </w: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 share to our existing</w:t>
            </w:r>
          </w:p>
        </w:tc>
      </w:tr>
      <w:tr>
        <w:trPr>
          <w:trHeight w:val="23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and an immediate dilution in net tangible book value of $</w:t>
            </w:r>
          </w:p>
        </w:tc>
        <w:tc>
          <w:tcPr>
            <w:tcW w:w="584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per share to investors in this offering, as illustrated in the following table:</w:t>
            </w:r>
          </w:p>
        </w:tc>
      </w:tr>
      <w:tr>
        <w:trPr>
          <w:trHeight w:val="240"/>
        </w:trPr>
        <w:tc>
          <w:tcPr>
            <w:tcW w:w="5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300" w:type="dxa"/>
            <w:vAlign w:val="bottom"/>
            <w:gridSpan w:val="4"/>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4"/>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deficit per share as of June 30, 2020</w:t>
            </w: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$(16.62)</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attributable to pro forma adjustments</w:t>
            </w:r>
          </w:p>
        </w:tc>
        <w:tc>
          <w:tcPr>
            <w:tcW w:w="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18.56</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7"/>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2020</w:t>
            </w:r>
          </w:p>
        </w:tc>
        <w:tc>
          <w:tcPr>
            <w:tcW w:w="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79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in this offering</w:t>
            </w: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r>
      <w:tr>
        <w:trPr>
          <w:trHeight w:val="20"/>
        </w:trPr>
        <w:tc>
          <w:tcPr>
            <w:tcW w:w="6240" w:type="dxa"/>
            <w:vAlign w:val="bottom"/>
            <w:gridSpan w:val="2"/>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3"/>
        </w:trPr>
        <w:tc>
          <w:tcPr>
            <w:tcW w:w="6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p>
        </w:tc>
        <w:tc>
          <w:tcPr>
            <w:tcW w:w="500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per share, which is the midpoint of the price range set forth on</w:t>
            </w:r>
          </w:p>
        </w:tc>
      </w:tr>
      <w:tr>
        <w:trPr>
          <w:trHeight w:val="214"/>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cover of this prospectus, would increase (decrease) our pro forma as adjusted net tangible book value by $</w:t>
            </w:r>
          </w:p>
        </w:tc>
        <w:tc>
          <w:tcPr>
            <w:tcW w:w="334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per share and the dilution in pro forma</w:t>
            </w:r>
          </w:p>
        </w:tc>
      </w:tr>
      <w:tr>
        <w:trPr>
          <w:trHeight w:val="23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to new investors in this offering by $</w:t>
            </w:r>
          </w:p>
        </w:tc>
        <w:tc>
          <w:tcPr>
            <w:tcW w:w="5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per share, assuming the number of shares offered, as</w:t>
            </w:r>
          </w:p>
        </w:tc>
      </w:tr>
      <w:tr>
        <w:trPr>
          <w:trHeight w:val="361"/>
        </w:trPr>
        <w:tc>
          <w:tcPr>
            <w:tcW w:w="5400" w:type="dxa"/>
            <w:vAlign w:val="bottom"/>
          </w:tcPr>
          <w:p>
            <w:pPr>
              <w:spacing w:after="0"/>
              <w:rPr>
                <w:sz w:val="24"/>
                <w:szCs w:val="24"/>
                <w:color w:val="auto"/>
              </w:rPr>
            </w:pPr>
          </w:p>
        </w:tc>
        <w:tc>
          <w:tcPr>
            <w:tcW w:w="8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78</w:t>
            </w: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set forth on the cover of this prospectus, remains the same, and after deducting the estimated underwriting discounts and commissions and estimated offering expenses payable by us. An increase of 1,000,000 shares in the number of shares of common stock offered in this offering would increase our pro forma as</w:t>
      </w:r>
    </w:p>
    <w:p>
      <w:pPr>
        <w:ind w:right="220"/>
        <w:spacing w:after="0" w:line="248" w:lineRule="auto"/>
        <w:rPr>
          <w:sz w:val="20"/>
          <w:szCs w:val="20"/>
          <w:color w:val="auto"/>
        </w:rPr>
      </w:pPr>
      <w:r>
        <w:rPr>
          <w:rFonts w:ascii="Times New Roman" w:cs="Times New Roman" w:eastAsia="Times New Roman" w:hAnsi="Times New Roman"/>
          <w:sz w:val="18"/>
          <w:szCs w:val="18"/>
          <w:color w:val="auto"/>
        </w:rPr>
        <w:t>adjusted net tangible book value by $ per share, and would decrease dilution per share to new investors in this offering by $ per share. A decrease of 1,000,000 shares in the number of shares of common stock offered in this offering would decrease our pro forma as adjusted net tangible book</w:t>
      </w:r>
    </w:p>
    <w:p>
      <w:pPr>
        <w:ind w:right="100"/>
        <w:spacing w:after="0" w:line="250" w:lineRule="auto"/>
        <w:rPr>
          <w:sz w:val="20"/>
          <w:szCs w:val="20"/>
          <w:color w:val="auto"/>
        </w:rPr>
      </w:pPr>
      <w:r>
        <w:rPr>
          <w:rFonts w:ascii="Times New Roman" w:cs="Times New Roman" w:eastAsia="Times New Roman" w:hAnsi="Times New Roman"/>
          <w:sz w:val="18"/>
          <w:szCs w:val="18"/>
          <w:color w:val="auto"/>
        </w:rPr>
        <w:t>value by $ per share, and would increase dilution per share to new investors in this offering by $ per share, assuming the assumed initial public offering price per share remains the same and after deducting the estimated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ectPr>
          <w:pgSz w:w="11900" w:h="16838" w:orient="portrait"/>
          <w:cols w:equalWidth="0" w:num="1">
            <w:col w:w="11240"/>
          </w:cols>
          <w:pgMar w:left="320" w:top="454" w:right="339" w:bottom="1440" w:gutter="0" w:footer="0" w:header="0"/>
        </w:sectPr>
      </w:pPr>
    </w:p>
    <w:p>
      <w:pPr>
        <w:spacing w:after="0" w:line="189"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If the underwriters exercise their option in full to purchase additional shares, the pro forma as adjusted net tangible book value per share after this offering would be $ per share, the increase in pro forma as adjusted net tangible book value per share to existing stockholders would be $ share and the dilution to new investors in this offering would be $ per share.</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w:t>
      </w:r>
    </w:p>
    <w:p>
      <w:pPr>
        <w:spacing w:after="0" w:line="434" w:lineRule="exact"/>
        <w:rPr>
          <w:sz w:val="20"/>
          <w:szCs w:val="20"/>
          <w:color w:val="auto"/>
        </w:rPr>
      </w:pPr>
    </w:p>
    <w:p>
      <w:pPr>
        <w:sectPr>
          <w:pgSz w:w="11900" w:h="16838" w:orient="portrait"/>
          <w:cols w:equalWidth="0" w:num="2">
            <w:col w:w="10840" w:space="60"/>
            <w:col w:w="340"/>
          </w:cols>
          <w:pgMar w:left="320" w:top="454" w:right="339" w:bottom="1440" w:gutter="0" w:footer="0" w:header="0"/>
          <w:type w:val="continuous"/>
        </w:sectPr>
      </w:pPr>
    </w:p>
    <w:p>
      <w:pPr>
        <w:ind w:right="100" w:firstLine="449"/>
        <w:spacing w:after="0" w:line="274" w:lineRule="auto"/>
        <w:rPr>
          <w:sz w:val="20"/>
          <w:szCs w:val="20"/>
          <w:color w:val="auto"/>
        </w:rPr>
      </w:pPr>
      <w:r>
        <w:rPr>
          <w:rFonts w:ascii="Times New Roman" w:cs="Times New Roman" w:eastAsia="Times New Roman" w:hAnsi="Times New Roman"/>
          <w:sz w:val="17"/>
          <w:szCs w:val="17"/>
          <w:color w:val="auto"/>
        </w:rPr>
        <w:t>The following table shows, as of June 30, 2020, on a pro forma as adjusted basis described above, the differences between the number of shares of common stock and non-voting common stock purchased from us, the total consideration paid or to be paid and the average price per share paid or to be paid</w:t>
      </w:r>
    </w:p>
    <w:p>
      <w:pPr>
        <w:spacing w:after="0" w:line="252" w:lineRule="auto"/>
        <w:rPr>
          <w:sz w:val="20"/>
          <w:szCs w:val="20"/>
          <w:color w:val="auto"/>
        </w:rPr>
      </w:pPr>
      <w:r>
        <w:rPr>
          <w:rFonts w:ascii="Times New Roman" w:cs="Times New Roman" w:eastAsia="Times New Roman" w:hAnsi="Times New Roman"/>
          <w:sz w:val="18"/>
          <w:szCs w:val="18"/>
          <w:color w:val="auto"/>
        </w:rPr>
        <w:t>by existing stockholders and new investors in this offering at an assumed initial public offering price of $ per share, which is the midpoint of the price range set forth on the cover page of this prospectus, before deducting estimated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3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78"/>
        </w:trPr>
        <w:tc>
          <w:tcPr>
            <w:tcW w:w="6940" w:type="dxa"/>
            <w:vAlign w:val="bottom"/>
          </w:tcPr>
          <w:p>
            <w:pPr>
              <w:spacing w:after="0"/>
              <w:rPr>
                <w:sz w:val="6"/>
                <w:szCs w:val="6"/>
                <w:color w:val="auto"/>
              </w:rPr>
            </w:pPr>
          </w:p>
        </w:tc>
        <w:tc>
          <w:tcPr>
            <w:tcW w:w="132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49"/>
        </w:trPr>
        <w:tc>
          <w:tcPr>
            <w:tcW w:w="6940" w:type="dxa"/>
            <w:vAlign w:val="bottom"/>
          </w:tcPr>
          <w:p>
            <w:pPr>
              <w:spacing w:after="0"/>
              <w:rPr>
                <w:sz w:val="4"/>
                <w:szCs w:val="4"/>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gridSpan w:val="2"/>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4"/>
                <w:szCs w:val="4"/>
                <w:color w:val="auto"/>
              </w:rPr>
            </w:pPr>
          </w:p>
        </w:tc>
        <w:tc>
          <w:tcPr>
            <w:tcW w:w="760" w:type="dxa"/>
            <w:vAlign w:val="bottom"/>
            <w:gridSpan w:val="2"/>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69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7"/>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1240" w:type="dxa"/>
            <w:vAlign w:val="bottom"/>
            <w:gridSpan w:val="14"/>
          </w:tcPr>
          <w:p>
            <w:pPr>
              <w:ind w:left="460"/>
              <w:spacing w:after="0"/>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option to purchase additional shares. If the</w:t>
            </w:r>
          </w:p>
        </w:tc>
        <w:tc>
          <w:tcPr>
            <w:tcW w:w="0" w:type="dxa"/>
            <w:vAlign w:val="bottom"/>
          </w:tcPr>
          <w:p>
            <w:pPr>
              <w:spacing w:after="0"/>
              <w:rPr>
                <w:sz w:val="1"/>
                <w:szCs w:val="1"/>
                <w:color w:val="auto"/>
              </w:rPr>
            </w:pPr>
          </w:p>
        </w:tc>
      </w:tr>
      <w:tr>
        <w:trPr>
          <w:trHeight w:val="233"/>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underwriters exercise their option to purchase additional shares in full, our existing stockholders would own</w:t>
            </w:r>
          </w:p>
        </w:tc>
        <w:tc>
          <w:tcPr>
            <w:tcW w:w="344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 and our new investors would own</w:t>
            </w:r>
          </w:p>
        </w:tc>
        <w:tc>
          <w:tcPr>
            <w:tcW w:w="0" w:type="dxa"/>
            <w:vAlign w:val="bottom"/>
          </w:tcPr>
          <w:p>
            <w:pPr>
              <w:spacing w:after="0"/>
              <w:rPr>
                <w:sz w:val="1"/>
                <w:szCs w:val="1"/>
                <w:color w:val="auto"/>
              </w:rPr>
            </w:pPr>
          </w:p>
        </w:tc>
      </w:tr>
    </w:tbl>
    <w:p>
      <w:pPr>
        <w:ind w:left="460" w:right="1320" w:hanging="97"/>
        <w:spacing w:after="0" w:line="513" w:lineRule="auto"/>
        <w:tabs>
          <w:tab w:leader="none" w:pos="5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total number of shares of our common stock and non-voting common stock outstanding upon the completion of this offering. In addition, to the extent that any outstanding options are exercised, investors in this offering will experience further dilution.</w:t>
      </w:r>
    </w:p>
    <w:p>
      <w:pPr>
        <w:spacing w:after="0" w:line="1" w:lineRule="exact"/>
        <w:rPr>
          <w:sz w:val="20"/>
          <w:szCs w:val="20"/>
          <w:color w:val="auto"/>
        </w:rPr>
      </w:pPr>
    </w:p>
    <w:p>
      <w:pPr>
        <w:ind w:right="200" w:firstLine="449"/>
        <w:spacing w:after="0" w:line="259"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4,199,280 shares of our common stock outstanding as of June 30, 2020 (including 1,629,939 unvested restricted shares outstanding as of June 30, 2020), and gives effect to the automatic conversion of</w:t>
      </w:r>
    </w:p>
    <w:p>
      <w:pPr>
        <w:ind w:right="140" w:firstLine="7"/>
        <w:spacing w:after="0" w:line="252" w:lineRule="auto"/>
        <w:tabs>
          <w:tab w:leader="none" w:pos="2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31,221,066 shares of our outstanding convertible preferred stock as of June 30, 2020 and (B) 3,982,887 shares of Series C convertible preferred stock issued in August 2020, into an aggregate of 35,203,953 shares of common stock and non-voting common stock (of which 12,850,259 shares are non-voting common stock) immediately prior to the completion of this offering, and excludes:</w:t>
      </w:r>
    </w:p>
    <w:p>
      <w:pPr>
        <w:spacing w:after="0" w:line="91" w:lineRule="exact"/>
        <w:rPr>
          <w:rFonts w:ascii="Times New Roman" w:cs="Times New Roman" w:eastAsia="Times New Roman" w:hAnsi="Times New Roman"/>
          <w:sz w:val="18"/>
          <w:szCs w:val="18"/>
          <w:color w:val="auto"/>
        </w:rPr>
      </w:pPr>
    </w:p>
    <w:p>
      <w:pPr>
        <w:ind w:left="1000" w:right="80" w:hanging="552"/>
        <w:spacing w:after="0" w:line="278" w:lineRule="auto"/>
        <w:tabs>
          <w:tab w:leader="none" w:pos="10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4,139,344 shares of common stock issuable upon the exercise of stock options outstanding as of June 30, 2020 under our 2016 Stock Incentive Plan, or the 2016 Plan, with an average exercise price of $1.53 per share;</w:t>
      </w:r>
    </w:p>
    <w:p>
      <w:pPr>
        <w:spacing w:after="0" w:line="68" w:lineRule="exact"/>
        <w:rPr>
          <w:rFonts w:ascii="Times New Roman" w:cs="Times New Roman" w:eastAsia="Times New Roman" w:hAnsi="Times New Roman"/>
          <w:sz w:val="18"/>
          <w:szCs w:val="18"/>
          <w:color w:val="auto"/>
        </w:rPr>
      </w:pPr>
    </w:p>
    <w:p>
      <w:pPr>
        <w:ind w:left="1000" w:right="380" w:hanging="552"/>
        <w:spacing w:after="0" w:line="278" w:lineRule="auto"/>
        <w:tabs>
          <w:tab w:leader="none" w:pos="10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3,620,131 shares of common stock issuable upon the exercise of options outstanding that were granted after June 30, 2020 under our 2016 Plan, with an average exercise price of $11.11 per share;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454" w:right="339" w:bottom="1440" w:gutter="0" w:footer="0" w:header="0"/>
          <w:type w:val="continuous"/>
        </w:sectPr>
      </w:pPr>
    </w:p>
    <w:bookmarkStart w:id="83" w:name="page84"/>
    <w:bookmarkEnd w:id="8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80"/>
          </w:cols>
          <w:pgMar w:left="320" w:top="454" w:right="399" w:bottom="1440" w:gutter="0" w:footer="0" w:header="0"/>
        </w:sectPr>
      </w:pPr>
    </w:p>
    <w:p>
      <w:pPr>
        <w:spacing w:after="0" w:line="31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80" w:firstLine="936"/>
        <w:spacing w:after="0" w:line="252" w:lineRule="auto"/>
        <w:rPr>
          <w:sz w:val="20"/>
          <w:szCs w:val="20"/>
          <w:color w:val="auto"/>
        </w:rPr>
      </w:pPr>
      <w:r>
        <w:rPr>
          <w:rFonts w:ascii="Times New Roman" w:cs="Times New Roman" w:eastAsia="Times New Roman" w:hAnsi="Times New Roman"/>
          <w:sz w:val="18"/>
          <w:szCs w:val="18"/>
          <w:color w:val="auto"/>
        </w:rPr>
        <w:t>shares of common stock reserved for future issuance under our stock-based compensation plans, consisting of (i) 269,345 shares of common stock reserved for future issuance under our 2016 Plan as of June 30, 2020, (ii) shares of common stock reserved for future issuance under our 2020 Plan, which will become effective on the date immediately prior to the date of the effectiveness of the registration statement of which this prospectus forms a part and (iii) shares of common stock reserved for future issuance under our ESPP, which will become effective on the date of the effectiveness of the registration statement of which this prospectus forms a part.</w:t>
      </w:r>
    </w:p>
    <w:p>
      <w:pPr>
        <w:spacing w:after="0" w:line="2" w:lineRule="exact"/>
        <w:rPr>
          <w:sz w:val="20"/>
          <w:szCs w:val="20"/>
          <w:color w:val="auto"/>
        </w:rPr>
      </w:pPr>
    </w:p>
    <w:p>
      <w:pPr>
        <w:sectPr>
          <w:pgSz w:w="11900" w:h="16838" w:orient="portrait"/>
          <w:cols w:equalWidth="0" w:num="2">
            <w:col w:w="520" w:space="480"/>
            <w:col w:w="10180"/>
          </w:cols>
          <w:pgMar w:left="320" w:top="454" w:right="399" w:bottom="1440" w:gutter="0" w:footer="0" w:header="0"/>
          <w:type w:val="continuous"/>
        </w:sectPr>
      </w:pPr>
    </w:p>
    <w:p>
      <w:pPr>
        <w:ind w:left="1000"/>
        <w:spacing w:after="0" w:line="250" w:lineRule="auto"/>
        <w:rPr>
          <w:sz w:val="20"/>
          <w:szCs w:val="20"/>
          <w:color w:val="auto"/>
        </w:rPr>
      </w:pPr>
      <w:r>
        <w:rPr>
          <w:rFonts w:ascii="Times New Roman" w:cs="Times New Roman" w:eastAsia="Times New Roman" w:hAnsi="Times New Roman"/>
          <w:sz w:val="18"/>
          <w:szCs w:val="18"/>
          <w:color w:val="auto"/>
        </w:rPr>
        <w:t>Upon completion of this offering, any remaining shares available for issuance under our 2016 Plan will be added to the shares reserved under our 2020 Plan and we will cease granting awards under our 2016 Plan. Our 2020 Plan and ESPP also provide for automatic annual increases in the number of shares reserved under the plans each year, as more fully described in “Executive Compensation — Equity Compensation Plans and Other Benefit Plans.”</w:t>
      </w:r>
    </w:p>
    <w:p>
      <w:pPr>
        <w:spacing w:after="0" w:line="189" w:lineRule="exact"/>
        <w:rPr>
          <w:sz w:val="20"/>
          <w:szCs w:val="20"/>
          <w:color w:val="auto"/>
        </w:rPr>
      </w:pPr>
    </w:p>
    <w:p>
      <w:pPr>
        <w:ind w:right="280" w:firstLine="449"/>
        <w:spacing w:after="0" w:line="258" w:lineRule="auto"/>
        <w:rPr>
          <w:sz w:val="20"/>
          <w:szCs w:val="20"/>
          <w:color w:val="auto"/>
        </w:rPr>
      </w:pPr>
      <w:r>
        <w:rPr>
          <w:rFonts w:ascii="Times New Roman" w:cs="Times New Roman" w:eastAsia="Times New Roman" w:hAnsi="Times New Roman"/>
          <w:sz w:val="18"/>
          <w:szCs w:val="18"/>
          <w:color w:val="auto"/>
        </w:rPr>
        <w:t>To the extent that these outstanding stock options are exercised, new stock options are issued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80"/>
          </w:cols>
          <w:pgMar w:left="320" w:top="454" w:right="39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5" w:lineRule="exact"/>
        <w:rPr>
          <w:sz w:val="20"/>
          <w:szCs w:val="20"/>
          <w:color w:val="auto"/>
        </w:rPr>
      </w:pPr>
    </w:p>
    <w:p>
      <w:pPr>
        <w:ind w:right="120" w:firstLine="449"/>
        <w:spacing w:after="0" w:line="250" w:lineRule="auto"/>
        <w:rPr>
          <w:sz w:val="20"/>
          <w:szCs w:val="20"/>
          <w:color w:val="auto"/>
        </w:rPr>
      </w:pPr>
      <w:r>
        <w:rPr>
          <w:rFonts w:ascii="Times New Roman" w:cs="Times New Roman" w:eastAsia="Times New Roman" w:hAnsi="Times New Roman"/>
          <w:sz w:val="18"/>
          <w:szCs w:val="18"/>
          <w:color w:val="auto"/>
        </w:rPr>
        <w:t>The following tables set forth our selected statements of operations and balance sheet data. The selected statement of operations data presented below for the years ended December 31, 2018 and 2019 and balance sheet data as of December 31, 2018 and 2019 are derived from our audited financial statements included elsewhere in this prospectus. The selected statement of operations data for the six months ended June 30, 2019 and 2020 and balance sheet data as of June 30, 2020 are derived from our unaudited interim financial statements included elsewhere in this prospectus. The unaudited interim financial statements, in management’s opinion, have been prepared on the same basis as the audited financial statements and the related notes included elsewhere in this prospectus, and include all adjustments, consisting only of normal recurring adjustments, that management considers necessary for a fair presentation of the information for the periods presented. The following selected financial data below should be read in conjunction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six months ended June 30, 2020 are not necessarily indicative of the results that may be expected for the year ended December 31, 2020. The selected financial data in this section are not intended to replace the financial statements and are qualified in their entirety by the financial statements and related notes included elsewhere in this prospectus.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0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4"/>
                <w:szCs w:val="14"/>
                <w:color w:val="auto"/>
              </w:rPr>
            </w:pPr>
          </w:p>
        </w:tc>
        <w:tc>
          <w:tcPr>
            <w:tcW w:w="2240" w:type="dxa"/>
            <w:vAlign w:val="bottom"/>
            <w:gridSpan w:val="5"/>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7"/>
        </w:trPr>
        <w:tc>
          <w:tcPr>
            <w:tcW w:w="2880" w:type="dxa"/>
            <w:vAlign w:val="bottom"/>
            <w:tcBorders>
              <w:bottom w:val="single" w:sz="8" w:color="auto"/>
            </w:tcBorders>
            <w:gridSpan w:val="2"/>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2"/>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27"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960" w:type="dxa"/>
            <w:vAlign w:val="bottom"/>
            <w:tcBorders>
              <w:top w:val="single" w:sz="8" w:color="CCEEFF"/>
            </w:tcBorders>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12,621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24,279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9,940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18,312</w:t>
            </w:r>
          </w:p>
        </w:tc>
        <w:tc>
          <w:tcPr>
            <w:tcW w:w="0" w:type="dxa"/>
            <w:vAlign w:val="bottom"/>
          </w:tcPr>
          <w:p>
            <w:pPr>
              <w:spacing w:after="0"/>
              <w:rPr>
                <w:sz w:val="1"/>
                <w:szCs w:val="1"/>
                <w:color w:val="auto"/>
              </w:rPr>
            </w:pPr>
          </w:p>
        </w:tc>
      </w:tr>
      <w:tr>
        <w:trPr>
          <w:trHeight w:val="214"/>
        </w:trPr>
        <w:tc>
          <w:tcPr>
            <w:tcW w:w="5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2,354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3,830</w:t>
            </w:r>
          </w:p>
        </w:tc>
        <w:tc>
          <w:tcPr>
            <w:tcW w:w="80" w:type="dxa"/>
            <w:vAlign w:val="bottom"/>
          </w:tcPr>
          <w:p>
            <w:pPr>
              <w:spacing w:after="0"/>
              <w:rPr>
                <w:sz w:val="18"/>
                <w:szCs w:val="18"/>
                <w:color w:val="auto"/>
              </w:rPr>
            </w:pPr>
          </w:p>
        </w:tc>
        <w:tc>
          <w:tcPr>
            <w:tcW w:w="1240" w:type="dxa"/>
            <w:vAlign w:val="bottom"/>
            <w:gridSpan w:val="2"/>
          </w:tcPr>
          <w:p>
            <w:pPr>
              <w:jc w:val="right"/>
              <w:ind w:right="442"/>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14,975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28,109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11,130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21,173</w:t>
            </w:r>
          </w:p>
        </w:tc>
        <w:tc>
          <w:tcPr>
            <w:tcW w:w="0" w:type="dxa"/>
            <w:vAlign w:val="bottom"/>
          </w:tcPr>
          <w:p>
            <w:pPr>
              <w:spacing w:after="0"/>
              <w:rPr>
                <w:sz w:val="1"/>
                <w:szCs w:val="1"/>
                <w:color w:val="auto"/>
              </w:rPr>
            </w:pPr>
          </w:p>
        </w:tc>
      </w:tr>
      <w:tr>
        <w:trPr>
          <w:trHeight w:val="221"/>
        </w:trPr>
        <w:tc>
          <w:tcPr>
            <w:tcW w:w="59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(28,109)</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1"/>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5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3"/>
              </w:rPr>
              <w:t>(10,797</w:t>
            </w:r>
          </w:p>
        </w:tc>
        <w:tc>
          <w:tcPr>
            <w:tcW w:w="5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r>
              <w:rPr>
                <w:rFonts w:ascii="Times New Roman" w:cs="Times New Roman" w:eastAsia="Times New Roman" w:hAnsi="Times New Roman"/>
                <w:sz w:val="15"/>
                <w:szCs w:val="15"/>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(9.05)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r>
              <w:rPr>
                <w:rFonts w:ascii="Times New Roman" w:cs="Times New Roman" w:eastAsia="Times New Roman" w:hAnsi="Times New Roman"/>
                <w:sz w:val="15"/>
                <w:szCs w:val="15"/>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1,622,634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1,929,863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w w:val="97"/>
              </w:rPr>
              <w:t>1,823,259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of common stock, basic and diluted (unaudited)</w:t>
            </w:r>
            <w:r>
              <w:rPr>
                <w:rFonts w:ascii="Times New Roman" w:cs="Times New Roman" w:eastAsia="Times New Roman" w:hAnsi="Times New Roman"/>
                <w:sz w:val="15"/>
                <w:szCs w:val="15"/>
                <w:color w:val="auto"/>
              </w:rPr>
              <w:t>(1)</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basic and diluted (unaudited)</w:t>
            </w:r>
            <w:r>
              <w:rPr>
                <w:rFonts w:ascii="Times New Roman" w:cs="Times New Roman" w:eastAsia="Times New Roman" w:hAnsi="Times New Roman"/>
                <w:sz w:val="15"/>
                <w:szCs w:val="15"/>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w w:val="96"/>
              </w:rPr>
              <w:t>37,133,816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98"/>
              </w:rPr>
              <w:t>37,475,997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4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40" w:right="100" w:hanging="433"/>
        <w:spacing w:after="0" w:line="263" w:lineRule="auto"/>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to our financial statements included elsewhere in this prospectus for a description of how we compute net loss per share of common stock, basic and diluted, pro forma net loss per share of common stock, basic and diluted, and the weighted average shares outstanding used in the computation of these per share amounts.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454"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360" w:type="dxa"/>
            <w:vAlign w:val="bottom"/>
            <w:vMerge w:val="restart"/>
          </w:tcPr>
          <w:p>
            <w:pPr>
              <w:spacing w:after="0"/>
              <w:rPr>
                <w:sz w:val="14"/>
                <w:szCs w:val="14"/>
                <w:color w:val="auto"/>
              </w:rPr>
            </w:pPr>
          </w:p>
        </w:tc>
        <w:tc>
          <w:tcPr>
            <w:tcW w:w="2900" w:type="dxa"/>
            <w:vAlign w:val="bottom"/>
          </w:tcPr>
          <w:p>
            <w:pPr>
              <w:spacing w:after="0"/>
              <w:rPr>
                <w:sz w:val="14"/>
                <w:szCs w:val="14"/>
                <w:color w:val="auto"/>
              </w:rPr>
            </w:pPr>
          </w:p>
        </w:tc>
        <w:tc>
          <w:tcPr>
            <w:tcW w:w="19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436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660" w:type="dxa"/>
            <w:vAlign w:val="bottom"/>
            <w:tcBorders>
              <w:top w:val="single" w:sz="8" w:color="auto"/>
            </w:tcBorders>
          </w:tcPr>
          <w:p>
            <w:pPr>
              <w:jc w:val="right"/>
              <w:ind w:right="129"/>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3"/>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187"/>
        </w:trPr>
        <w:tc>
          <w:tcPr>
            <w:tcW w:w="524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29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$ 15,595</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$ 18,879</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29,716</w:t>
            </w:r>
          </w:p>
        </w:tc>
        <w:tc>
          <w:tcPr>
            <w:tcW w:w="0" w:type="dxa"/>
            <w:vAlign w:val="bottom"/>
          </w:tcPr>
          <w:p>
            <w:pPr>
              <w:spacing w:after="0"/>
              <w:rPr>
                <w:sz w:val="1"/>
                <w:szCs w:val="1"/>
                <w:color w:val="auto"/>
              </w:rPr>
            </w:pPr>
          </w:p>
        </w:tc>
      </w:tr>
      <w:tr>
        <w:trPr>
          <w:trHeight w:val="214"/>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(1)</w:t>
            </w:r>
          </w:p>
        </w:tc>
        <w:tc>
          <w:tcPr>
            <w:tcW w:w="39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13,148</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15,389</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25,058</w:t>
            </w:r>
          </w:p>
        </w:tc>
        <w:tc>
          <w:tcPr>
            <w:tcW w:w="0" w:type="dxa"/>
            <w:vAlign w:val="bottom"/>
          </w:tcPr>
          <w:p>
            <w:pPr>
              <w:spacing w:after="0"/>
              <w:rPr>
                <w:sz w:val="1"/>
                <w:szCs w:val="1"/>
                <w:color w:val="auto"/>
              </w:rPr>
            </w:pPr>
          </w:p>
        </w:tc>
      </w:tr>
      <w:tr>
        <w:trPr>
          <w:trHeight w:val="21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9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16.406</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21,871</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32,747</w:t>
            </w:r>
          </w:p>
        </w:tc>
        <w:tc>
          <w:tcPr>
            <w:tcW w:w="0" w:type="dxa"/>
            <w:vAlign w:val="bottom"/>
          </w:tcPr>
          <w:p>
            <w:pPr>
              <w:spacing w:after="0"/>
              <w:rPr>
                <w:sz w:val="1"/>
                <w:szCs w:val="1"/>
                <w:color w:val="auto"/>
              </w:rPr>
            </w:pPr>
          </w:p>
        </w:tc>
      </w:tr>
      <w:tr>
        <w:trPr>
          <w:trHeight w:val="214"/>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39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36,595</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66,443</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96,385</w:t>
            </w:r>
          </w:p>
        </w:tc>
        <w:tc>
          <w:tcPr>
            <w:tcW w:w="0" w:type="dxa"/>
            <w:vAlign w:val="bottom"/>
          </w:tcPr>
          <w:p>
            <w:pPr>
              <w:spacing w:after="0"/>
              <w:rPr>
                <w:sz w:val="1"/>
                <w:szCs w:val="1"/>
                <w:color w:val="auto"/>
              </w:rPr>
            </w:pPr>
          </w:p>
        </w:tc>
      </w:tr>
      <w:tr>
        <w:trPr>
          <w:trHeight w:val="21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(22,927)</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(50,497)</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(71,416)</w:t>
            </w:r>
          </w:p>
        </w:tc>
        <w:tc>
          <w:tcPr>
            <w:tcW w:w="0" w:type="dxa"/>
            <w:vAlign w:val="bottom"/>
          </w:tcPr>
          <w:p>
            <w:pPr>
              <w:spacing w:after="0"/>
              <w:rPr>
                <w:sz w:val="1"/>
                <w:szCs w:val="1"/>
                <w:color w:val="auto"/>
              </w:rPr>
            </w:pPr>
          </w:p>
        </w:tc>
      </w:tr>
      <w:tr>
        <w:trPr>
          <w:trHeight w:val="214"/>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(22,693)</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(49,412)</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810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149" w:lineRule="exact"/>
        <w:rPr>
          <w:sz w:val="20"/>
          <w:szCs w:val="20"/>
          <w:color w:val="auto"/>
        </w:rPr>
      </w:pPr>
    </w:p>
    <w:p>
      <w:pPr>
        <w:ind w:left="440" w:hanging="433"/>
        <w:spacing w:after="0" w:line="278" w:lineRule="auto"/>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as current assets less current liabilities. See our financial statements and related notes appearing at the end of this prospectus for further details regarding our current assets and current liabilities.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454"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3"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section titled “Selected Financial Data” in this prospectus and our financial statements and the related notes and other financial information included elsewhere in this prospectus. Some of the information contained in this discussion and analysis, including information with respect to our plans and strategy for our business, and the potential impacts of the ongoing COVID-19 pandemic, contains forward-looking statements that involve risks and uncertainties. You should review the section titled “Risk Factors” in this prospectus for a discussion of important factors that could cause actual results to differ materially from the results described below. Please also see the section entitled “Special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right="60" w:firstLine="449"/>
        <w:spacing w:after="0" w:line="252" w:lineRule="auto"/>
        <w:rPr>
          <w:sz w:val="20"/>
          <w:szCs w:val="20"/>
          <w:color w:val="auto"/>
        </w:rPr>
      </w:pPr>
      <w:r>
        <w:rPr>
          <w:rFonts w:ascii="Times New Roman" w:cs="Times New Roman" w:eastAsia="Times New Roman" w:hAnsi="Times New Roman"/>
          <w:sz w:val="18"/>
          <w:szCs w:val="18"/>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three investigational new drug applications, or INDs, and successfully advanced these three programs into clinical development. In addition, we have three unique programs in various stages of preclinical development that we plan to advance into clinical development beginning in 2021.</w:t>
      </w:r>
    </w:p>
    <w:p>
      <w:pPr>
        <w:spacing w:after="0" w:line="187"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8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We are currently advancing our first clinical candidate, PRT543, in a Phase 1 clinical trial in select solid tumors and myeloid malignancies in patients who are refractory to or intolerant of established therapies. Interim Phase 1 results indicate dose-dependent increases in exposure and target engagement, and we have observed early signs of clinical activity, including a confirmed complete response, or CR, in a patient with HRD+ high grade serous ovarian cancer. A complete response is defined as the disappearance of all target lesions. While we need to enroll and demonstrate objective responses in additional patients to support further development, and potential approval by FDA or other regulatory authorities is not guaranteed, we are encouraged by the clinical activity to date. We anticipate enrollment in expansion cohorts in our ongoing Phase 1 trial beginning in the second half of 2020 and expect clinical data beginning in the first half of 2021. We are also advancing PRT811, a second PRMT5 inhibitor that we have optimized for high brain exposure, in a Phase 1 clinical trial in solid tumors, including GBM. We expect to begin enrolling patients in the expansion portion of the Phase 1 clinical trial in the first half of 2021 and anticipate initial clinical data from these expansion cohorts by the end of 2021. We have also received FDA clearance of our IND for PRT1419, which is designed to be a potent and selective inhibitor of the anti-apoptotic protein, MCL1. The potency and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454"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right="340"/>
        <w:spacing w:after="0" w:line="263" w:lineRule="auto"/>
        <w:rPr>
          <w:sz w:val="20"/>
          <w:szCs w:val="20"/>
          <w:color w:val="auto"/>
        </w:rPr>
      </w:pPr>
      <w:r>
        <w:rPr>
          <w:rFonts w:ascii="Times New Roman" w:cs="Times New Roman" w:eastAsia="Times New Roman" w:hAnsi="Times New Roman"/>
          <w:sz w:val="18"/>
          <w:szCs w:val="18"/>
          <w:color w:val="auto"/>
        </w:rPr>
        <w:t>selectivity of PRT1419 is supported by preclinical data demonstrating nanomolar inhibition of MCL1 and no inhibition of related enzymes at 200 times higher concentration of our product candidate. We are initiating a Phase 1 clinical trial in relapsed/refractory patients with myelodysplastic syndrome, or MDS, acute myeloid leukemia, or AML, non-Hodgkin’s lymphoma, or NHL, and multiple myeloma, or MM, in the second half of 2020.</w:t>
      </w:r>
    </w:p>
    <w:p>
      <w:pPr>
        <w:spacing w:after="0" w:line="175" w:lineRule="exact"/>
        <w:rPr>
          <w:sz w:val="20"/>
          <w:szCs w:val="20"/>
          <w:color w:val="auto"/>
        </w:rPr>
      </w:pPr>
    </w:p>
    <w:p>
      <w:pPr>
        <w:jc w:val="both"/>
        <w:ind w:firstLine="449"/>
        <w:spacing w:after="0" w:line="270" w:lineRule="auto"/>
        <w:rPr>
          <w:sz w:val="20"/>
          <w:szCs w:val="20"/>
          <w:color w:val="auto"/>
        </w:rPr>
      </w:pPr>
      <w:r>
        <w:rPr>
          <w:rFonts w:ascii="Times New Roman" w:cs="Times New Roman" w:eastAsia="Times New Roman" w:hAnsi="Times New Roman"/>
          <w:sz w:val="17"/>
          <w:szCs w:val="17"/>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w:t>
      </w:r>
    </w:p>
    <w:p>
      <w:pPr>
        <w:spacing w:after="0" w:line="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We have funded our operations primarily through the sale of convertible preferred stock. Our net loss was $14.7 million and $27.6 million for the years ended December 31, 2018 and 2019, respectively, and $20.9 million for the six months ended June 30, 2020. As of June 30, 2020, we had an accumulated deficit of $71.4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upon the closing of this offering,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96"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4" w:lineRule="exact"/>
        <w:rPr>
          <w:sz w:val="20"/>
          <w:szCs w:val="20"/>
          <w:color w:val="auto"/>
        </w:rPr>
      </w:pPr>
    </w:p>
    <w:p>
      <w:pPr>
        <w:ind w:right="120" w:firstLine="449"/>
        <w:spacing w:after="0" w:line="274" w:lineRule="auto"/>
        <w:rPr>
          <w:sz w:val="20"/>
          <w:szCs w:val="20"/>
          <w:color w:val="auto"/>
        </w:rPr>
      </w:pPr>
      <w:r>
        <w:rPr>
          <w:rFonts w:ascii="Times New Roman" w:cs="Times New Roman" w:eastAsia="Times New Roman" w:hAnsi="Times New Roman"/>
          <w:sz w:val="17"/>
          <w:szCs w:val="17"/>
          <w:color w:val="auto"/>
        </w:rPr>
        <w:t>As of June 30, 2020, we had $29.7 million in cash and cash equivalents and in August 2020, we sold 3,982,887 shares of Series C convertible preferred stock for net proceeds of $49.9 million. We expect our existing cash and cash equivalents, together with the anticipated proceeds from the IPO, to</w:t>
      </w: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enable us to fund our operating expenses and capital expenditure requirements into</w:t>
      </w:r>
      <w:r>
        <w:rPr>
          <w:sz w:val="20"/>
          <w:szCs w:val="20"/>
          <w:color w:val="auto"/>
        </w:rPr>
        <w:tab/>
      </w:r>
      <w:r>
        <w:rPr>
          <w:rFonts w:ascii="Times New Roman" w:cs="Times New Roman" w:eastAsia="Times New Roman" w:hAnsi="Times New Roman"/>
          <w:sz w:val="16"/>
          <w:szCs w:val="16"/>
          <w:color w:val="auto"/>
        </w:rPr>
        <w: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8"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320" w:top="454" w:right="3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109" w:lineRule="exact"/>
        <w:rPr>
          <w:sz w:val="20"/>
          <w:szCs w:val="20"/>
          <w:color w:val="auto"/>
        </w:rPr>
      </w:pPr>
    </w:p>
    <w:p>
      <w:pPr>
        <w:ind w:left="1000" w:right="80" w:hanging="552"/>
        <w:spacing w:after="0" w:line="27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68" w:lineRule="exact"/>
        <w:rPr>
          <w:rFonts w:ascii="Times New Roman" w:cs="Times New Roman" w:eastAsia="Times New Roman" w:hAnsi="Times New Roman"/>
          <w:sz w:val="18"/>
          <w:szCs w:val="18"/>
          <w:color w:val="auto"/>
        </w:rPr>
      </w:pPr>
    </w:p>
    <w:p>
      <w:pPr>
        <w:ind w:left="1000" w:right="920" w:hanging="552"/>
        <w:spacing w:after="0" w:line="27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68" w:lineRule="exact"/>
        <w:rPr>
          <w:rFonts w:ascii="Times New Roman" w:cs="Times New Roman" w:eastAsia="Times New Roman" w:hAnsi="Times New Roman"/>
          <w:sz w:val="18"/>
          <w:szCs w:val="18"/>
          <w:color w:val="auto"/>
        </w:rPr>
      </w:pPr>
    </w:p>
    <w:p>
      <w:pPr>
        <w:ind w:left="1000" w:right="440" w:hanging="552"/>
        <w:spacing w:after="0" w:line="27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68" w:lineRule="exact"/>
        <w:rPr>
          <w:rFonts w:ascii="Times New Roman" w:cs="Times New Roman" w:eastAsia="Times New Roman" w:hAnsi="Times New Roman"/>
          <w:sz w:val="18"/>
          <w:szCs w:val="18"/>
          <w:color w:val="auto"/>
        </w:rPr>
      </w:pPr>
    </w:p>
    <w:p>
      <w:pPr>
        <w:ind w:left="1000" w:right="100" w:hanging="552"/>
        <w:spacing w:after="0" w:line="27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6" w:lineRule="exact"/>
        <w:rPr>
          <w:sz w:val="20"/>
          <w:szCs w:val="20"/>
          <w:color w:val="auto"/>
        </w:rPr>
      </w:pPr>
    </w:p>
    <w:p>
      <w:pPr>
        <w:ind w:right="160" w:firstLine="449"/>
        <w:spacing w:after="0" w:line="277"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7" w:lineRule="exact"/>
        <w:rPr>
          <w:sz w:val="20"/>
          <w:szCs w:val="20"/>
          <w:color w:val="auto"/>
        </w:rPr>
      </w:pPr>
    </w:p>
    <w:p>
      <w:pPr>
        <w:ind w:right="260" w:firstLine="449"/>
        <w:spacing w:after="0" w:line="255"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anticipate increased costs associated with being a public company, including expenses related to services associated with maintaining compliance with the requirements of Nasdaq and the Securities and Exchange Commission, or SEC,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454"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color w:val="auto"/>
        </w:rPr>
        <w:t>insurance and investor relations costs. If any of our current or future product candidates obtains U.S. regulatory approval, we expect that we would incur significantly increased expenses associated with building a sales and marketing team.</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6"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grant income received from the State of Delaware. We anticipate re-applying for the grant from the State of Delaware from time to time as long as we maintain qualifying headcount levels in the State of Delaware. We expect our interest income, net to increase due to our investment of cash received from the sale of shares of our convertible preferred stock in 2019 and 2020 as well as the net proceeds from this offering.</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6" w:lineRule="exact"/>
        <w:rPr>
          <w:sz w:val="20"/>
          <w:szCs w:val="20"/>
          <w:color w:val="auto"/>
        </w:rPr>
      </w:pPr>
    </w:p>
    <w:p>
      <w:pPr>
        <w:ind w:right="40" w:firstLine="449"/>
        <w:spacing w:after="0" w:line="252"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 As of December 31, 2019, we had federal and state NOL carryforwards, each in the amount of $49.0 million which may be available to offset future taxable income. The NOL carryforwards begin expiring in 2036 for federal and state income tax purposes, unless previously utilized. However, all federal and state NOL carryforwards generated subsequent to January 1, 2018 are able to be carried forward indefinitely. As of December 31, 2019, we also had federal and state research tax credits of $2.2 million and $43,000, respectively, which may be used to offset future tax liabilities. These tax credit carryforwards will begin to expire in 2036, unless previously utilized. We have recorded a full valuation allowance against our net deferred tax assets at each balance sheet date.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2019 and 2020</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six months ended June 30, 2019 and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5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7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7"/>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27"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42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8,372</w:t>
            </w:r>
          </w:p>
        </w:tc>
        <w:tc>
          <w:tcPr>
            <w:tcW w:w="0" w:type="dxa"/>
            <w:vAlign w:val="bottom"/>
          </w:tcPr>
          <w:p>
            <w:pPr>
              <w:spacing w:after="0"/>
              <w:rPr>
                <w:sz w:val="1"/>
                <w:szCs w:val="1"/>
                <w:color w:val="auto"/>
              </w:rPr>
            </w:pPr>
          </w:p>
        </w:tc>
      </w:tr>
      <w:tr>
        <w:trPr>
          <w:trHeight w:val="214"/>
        </w:trPr>
        <w:tc>
          <w:tcPr>
            <w:tcW w:w="8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27"/>
        </w:trPr>
        <w:tc>
          <w:tcPr>
            <w:tcW w:w="84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(11,130)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(21,173)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(10,043)</w:t>
            </w:r>
          </w:p>
        </w:tc>
        <w:tc>
          <w:tcPr>
            <w:tcW w:w="0" w:type="dxa"/>
            <w:vAlign w:val="bottom"/>
          </w:tcPr>
          <w:p>
            <w:pPr>
              <w:spacing w:after="0"/>
              <w:rPr>
                <w:sz w:val="1"/>
                <w:szCs w:val="1"/>
                <w:color w:val="auto"/>
              </w:rPr>
            </w:pPr>
          </w:p>
        </w:tc>
      </w:tr>
      <w:tr>
        <w:trPr>
          <w:trHeight w:val="214"/>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(10,797)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(20,919)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(10,122)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6"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by $8.4 million from $9.9 million for the six months ended June 30, 2019 to $18.3 million for the six months ended June 30, 2020. The increase was mainly due to increased patient enrollment costs for the PRT543 clinical trial and increased costs associated with the initiation of the clinical trial for PRT811, which began in late 2019. We also incurred an increase in chemistry, manufacturing and other costs for those trials. We also incurred additional costs leading up to the IND filing for PRT1419. We track our external research and development expenses on a program-by-program basis, such as fees paid to CROs, CMOs and research laboratories in connection with our pre-clinical development, process development,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454"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color w:val="auto"/>
        </w:rPr>
        <w:t>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8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3"/>
              <w:spacing w:after="0" w:line="127"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976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PRT543</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6"/>
              </w:rPr>
              <w:t>$2,671</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4,060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PRT811</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4"/>
        </w:trPr>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PRT1419</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4,007</w:t>
            </w:r>
          </w:p>
        </w:tc>
        <w:tc>
          <w:tcPr>
            <w:tcW w:w="0" w:type="dxa"/>
            <w:vAlign w:val="bottom"/>
          </w:tcPr>
          <w:p>
            <w:pPr>
              <w:spacing w:after="0"/>
              <w:rPr>
                <w:sz w:val="1"/>
                <w:szCs w:val="1"/>
                <w:color w:val="auto"/>
              </w:rPr>
            </w:pPr>
          </w:p>
        </w:tc>
      </w:tr>
      <w:tr>
        <w:trPr>
          <w:trHeight w:val="214"/>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Discovery programs</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14"/>
        </w:trPr>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6,709</w:t>
            </w: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9,940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6" w:lineRule="exact"/>
        <w:rPr>
          <w:sz w:val="20"/>
          <w:szCs w:val="20"/>
          <w:color w:val="auto"/>
        </w:rPr>
      </w:pPr>
    </w:p>
    <w:p>
      <w:pPr>
        <w:ind w:right="280" w:firstLine="449"/>
        <w:spacing w:after="0" w:line="263" w:lineRule="auto"/>
        <w:rPr>
          <w:sz w:val="20"/>
          <w:szCs w:val="20"/>
          <w:color w:val="auto"/>
        </w:rPr>
      </w:pPr>
      <w:r>
        <w:rPr>
          <w:rFonts w:ascii="Times New Roman" w:cs="Times New Roman" w:eastAsia="Times New Roman" w:hAnsi="Times New Roman"/>
          <w:sz w:val="18"/>
          <w:szCs w:val="18"/>
          <w:color w:val="auto"/>
        </w:rPr>
        <w:t>General and administrative expenses increased by $1.7 million from $1.2 million for the six months ended June 30, 2019 to $2.9 million for the six months ended June 30, 2020. The increase was primarily due to an increase in personnel related expense due to increases in employee headcount and an increase in our professional fees as we expanded our operations to support our research and development efforts.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income, net decreased by $0.1 million primarily due to a decrease in interest rates in our money market cash equivalent accounts.</w:t>
      </w:r>
    </w:p>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2018 and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5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754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7"/>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42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27"/>
        </w:trPr>
        <w:tc>
          <w:tcPr>
            <w:tcW w:w="84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(14,975)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(28,109)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(13,134)</w:t>
            </w:r>
          </w:p>
        </w:tc>
        <w:tc>
          <w:tcPr>
            <w:tcW w:w="0" w:type="dxa"/>
            <w:vAlign w:val="bottom"/>
          </w:tcPr>
          <w:p>
            <w:pPr>
              <w:spacing w:after="0"/>
              <w:rPr>
                <w:sz w:val="1"/>
                <w:szCs w:val="1"/>
                <w:color w:val="auto"/>
              </w:rPr>
            </w:pPr>
          </w:p>
        </w:tc>
      </w:tr>
      <w:tr>
        <w:trPr>
          <w:trHeight w:val="214"/>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(14,680)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(27,570)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(12,890)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6"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Research and development expenses increased by $11.7 million from $12.6 million for the year ended December 31, 2018 to $24.3 million for the year ended December 31, 2019. The increase was mainly due to commencing clinical trials for PRT543 and PRT811 in late 2018 and during 2019, respectively, and the associated ramp up of chemistry, manufacturing and other costs for those trials.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454"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7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876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3"/>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964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PRT543</w:t>
            </w: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3,870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5,742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PRT811</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14"/>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PRT1419</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14"/>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Discovery programs</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14"/>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7,139</w:t>
            </w: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12,621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6" w:lineRule="exact"/>
        <w:rPr>
          <w:sz w:val="20"/>
          <w:szCs w:val="20"/>
          <w:color w:val="auto"/>
        </w:rPr>
      </w:pPr>
    </w:p>
    <w:p>
      <w:pPr>
        <w:ind w:right="260" w:firstLine="449"/>
        <w:spacing w:after="0" w:line="263" w:lineRule="auto"/>
        <w:rPr>
          <w:sz w:val="20"/>
          <w:szCs w:val="20"/>
          <w:color w:val="auto"/>
        </w:rPr>
      </w:pPr>
      <w:r>
        <w:rPr>
          <w:rFonts w:ascii="Times New Roman" w:cs="Times New Roman" w:eastAsia="Times New Roman" w:hAnsi="Times New Roman"/>
          <w:sz w:val="18"/>
          <w:szCs w:val="18"/>
          <w:color w:val="auto"/>
        </w:rPr>
        <w:t>General and administrative expenses increased by $1.5 million from $2.4 million for the year ended December 31, 2018 to $3.8 million for the year ended December 31, 2019. The increase was primarily due to an increase in personnel related expense due to increases in employee headcount and an increase in our professional fees as we expanded our operations to support our research and development efforts.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6" w:lineRule="exact"/>
        <w:rPr>
          <w:sz w:val="20"/>
          <w:szCs w:val="20"/>
          <w:color w:val="auto"/>
        </w:rPr>
      </w:pPr>
    </w:p>
    <w:p>
      <w:pPr>
        <w:ind w:right="80" w:firstLine="449"/>
        <w:spacing w:after="0" w:line="278" w:lineRule="auto"/>
        <w:rPr>
          <w:sz w:val="20"/>
          <w:szCs w:val="20"/>
          <w:color w:val="auto"/>
        </w:rPr>
      </w:pPr>
      <w:r>
        <w:rPr>
          <w:rFonts w:ascii="Times New Roman" w:cs="Times New Roman" w:eastAsia="Times New Roman" w:hAnsi="Times New Roman"/>
          <w:sz w:val="18"/>
          <w:szCs w:val="18"/>
          <w:color w:val="auto"/>
        </w:rPr>
        <w:t>Other income, net increased by $0.2 million from $0.3 million for the year ended December 31, 2018 to $0.5 million for the year ended December 31, 2019, primarily due to additional interest earned on the investment of our cash proceeds balances.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8" w:lineRule="exact"/>
        <w:rPr>
          <w:sz w:val="20"/>
          <w:szCs w:val="20"/>
          <w:color w:val="auto"/>
        </w:rPr>
      </w:pPr>
    </w:p>
    <w:p>
      <w:pPr>
        <w:ind w:right="20" w:firstLine="449"/>
        <w:spacing w:after="0" w:line="267" w:lineRule="auto"/>
        <w:rPr>
          <w:sz w:val="20"/>
          <w:szCs w:val="20"/>
          <w:color w:val="auto"/>
        </w:rPr>
      </w:pPr>
      <w:r>
        <w:rPr>
          <w:rFonts w:ascii="Times New Roman" w:cs="Times New Roman" w:eastAsia="Times New Roman" w:hAnsi="Times New Roman"/>
          <w:sz w:val="17"/>
          <w:szCs w:val="17"/>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through June 30, 2020, we have funded our operations through the sale of convertible preferred stock, receiving aggregate net proceeds of $94.6 million. As of June 30, 2020, we had $29.7 million in cash and cash equivalents and had an accumulated deficit of $71.4 million. In August 2020, we sold 3,984,887 shares of Series C convertible preferred stock for net proceeds of $49.9 million. We expect our existing cash and cash equivalents, together with the anticipated</w:t>
      </w:r>
    </w:p>
    <w:p>
      <w:pPr>
        <w:spacing w:after="0" w:line="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proceeds from the IPO, to enable us to fund our operating expenses and capital expenditure requirements through at least . We have based these estimates on assumptions that may prove to be imprecise, and we could utilize our available capital resources sooner than we expect.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18" w:lineRule="exact"/>
        <w:rPr>
          <w:sz w:val="20"/>
          <w:szCs w:val="20"/>
          <w:color w:val="auto"/>
        </w:rPr>
      </w:pPr>
    </w:p>
    <w:p>
      <w:pPr>
        <w:ind w:right="380" w:firstLine="449"/>
        <w:spacing w:after="0" w:line="263"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5" w:lineRule="exact"/>
        <w:rPr>
          <w:sz w:val="20"/>
          <w:szCs w:val="20"/>
          <w:color w:val="auto"/>
        </w:rPr>
      </w:pPr>
    </w:p>
    <w:p>
      <w:pPr>
        <w:ind w:right="160" w:firstLine="449"/>
        <w:spacing w:after="0" w:line="263"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82" w:lineRule="exact"/>
        <w:rPr>
          <w:sz w:val="20"/>
          <w:szCs w:val="20"/>
          <w:color w:val="auto"/>
        </w:rPr>
      </w:pPr>
    </w:p>
    <w:p>
      <w:pPr>
        <w:ind w:left="5540" w:right="200" w:hanging="5092"/>
        <w:spacing w:after="0" w:line="448" w:lineRule="auto"/>
        <w:tabs>
          <w:tab w:leader="none" w:pos="100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 88</w:t>
      </w:r>
    </w:p>
    <w:p>
      <w:pPr>
        <w:sectPr>
          <w:pgSz w:w="11900" w:h="16838" w:orient="portrait"/>
          <w:cols w:equalWidth="0" w:num="1">
            <w:col w:w="11240"/>
          </w:cols>
          <w:pgMar w:left="320" w:top="454"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hanging="552"/>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27" w:lineRule="exact"/>
        <w:rPr>
          <w:rFonts w:ascii="Times New Roman" w:cs="Times New Roman" w:eastAsia="Times New Roman" w:hAnsi="Times New Roman"/>
          <w:sz w:val="18"/>
          <w:szCs w:val="18"/>
          <w:color w:val="auto"/>
        </w:rPr>
      </w:pPr>
    </w:p>
    <w:p>
      <w:pPr>
        <w:ind w:left="1000" w:right="420" w:hanging="552"/>
        <w:spacing w:after="0" w:line="27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68" w:lineRule="exact"/>
        <w:rPr>
          <w:rFonts w:ascii="Times New Roman" w:cs="Times New Roman" w:eastAsia="Times New Roman" w:hAnsi="Times New Roman"/>
          <w:sz w:val="18"/>
          <w:szCs w:val="18"/>
          <w:color w:val="auto"/>
        </w:rPr>
      </w:pPr>
    </w:p>
    <w:p>
      <w:pPr>
        <w:ind w:left="1000" w:right="420" w:hanging="552"/>
        <w:spacing w:after="0" w:line="27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27" w:lineRule="exact"/>
        <w:rPr>
          <w:rFonts w:ascii="Times New Roman" w:cs="Times New Roman" w:eastAsia="Times New Roman" w:hAnsi="Times New Roman"/>
          <w:sz w:val="18"/>
          <w:szCs w:val="18"/>
          <w:color w:val="auto"/>
        </w:rPr>
      </w:pPr>
    </w:p>
    <w:p>
      <w:pPr>
        <w:ind w:left="1000" w:right="100" w:hanging="552"/>
        <w:spacing w:after="0" w:line="27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0"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7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60" w:type="dxa"/>
            <w:vAlign w:val="bottom"/>
            <w:vMerge w:val="restart"/>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9"/>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27"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24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Cash used in operating activities</w:t>
            </w:r>
          </w:p>
        </w:tc>
        <w:tc>
          <w:tcPr>
            <w:tcW w:w="3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7"/>
              </w:rPr>
              <w:t>(12,954)</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7"/>
              </w:rPr>
              <w:t>(25,665)</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0"/>
              </w:rPr>
              <w:t>(11,567)</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0"/>
              </w:rPr>
              <w:t>(18,823)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4"/>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17,937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29,729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29,853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29,782</w:t>
            </w:r>
          </w:p>
        </w:tc>
        <w:tc>
          <w:tcPr>
            <w:tcW w:w="0" w:type="dxa"/>
            <w:vAlign w:val="bottom"/>
          </w:tcPr>
          <w:p>
            <w:pPr>
              <w:spacing w:after="0"/>
              <w:rPr>
                <w:sz w:val="1"/>
                <w:szCs w:val="1"/>
                <w:color w:val="auto"/>
              </w:rPr>
            </w:pPr>
          </w:p>
        </w:tc>
      </w:tr>
      <w:tr>
        <w:trPr>
          <w:trHeight w:val="221"/>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160" w:type="dxa"/>
            <w:vAlign w:val="bottom"/>
            <w:vMerge w:val="restart"/>
          </w:tcPr>
          <w:p>
            <w:pPr>
              <w:jc w:val="right"/>
              <w:ind w:right="159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6"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2018, we used $13.0 million of cash in operating activities. Cash used in operating activities reflected our net loss of $14.7 million, offset by a $1.4 million net decrease in our operating assets and liabilities and noncash charges of $0.3 million, which consisted of $0.1 million in depreciation and amortization and $0.2 million in stock-based compensation. The primary use of cash was to fund our operations related to the development of our product candidates.</w:t>
      </w:r>
    </w:p>
    <w:p>
      <w:pPr>
        <w:spacing w:after="0" w:line="180"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2019, we used $25.7 million of cash in operating activities. Cash used in operating activities reflected our net loss of $27.6 million, offset by a $0.7 million net decrease in our operating assets and liabilities and noncash charges of $1.2 million, which consisted of $0.4 million in depreciation and $0.8 million in stock-based compensation. The primary use of cash was to fund our operations related to the development of our product candidates.</w:t>
      </w:r>
    </w:p>
    <w:p>
      <w:pPr>
        <w:spacing w:after="0" w:line="180" w:lineRule="exact"/>
        <w:rPr>
          <w:sz w:val="20"/>
          <w:szCs w:val="20"/>
          <w:color w:val="auto"/>
        </w:rPr>
      </w:pPr>
    </w:p>
    <w:p>
      <w:pPr>
        <w:jc w:val="both"/>
        <w:ind w:right="180" w:firstLine="44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2019, we used $11.6 million of cash in operating activities. Cash used in operating activities reflected our net loss of $10.8 million and a net increase of $1.2 million in our operating assets and liabilities, offset by $0.4 million of noncash charges, which consisted of $0.2 million in depreciation and amortization and $0.2 million in stock-based compensation. The primary use of cash was to fund our operations related to the development of our product candidates.</w:t>
      </w:r>
    </w:p>
    <w:p>
      <w:pPr>
        <w:spacing w:after="0" w:line="180"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2020, we used $18.8 million of cash in operating activities. Cash used in operating activities reflected our net loss of $20.9 million, offset by a $0.8 million net decrease in our operating assets and liabilities and noncash charges of $1.3 million, which consisted of $0.3 million in depreciation and $1.0 million in stock-based compensation. The primary use of cash was to fund our operations related to the development of our product candidates.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6" w:lineRule="exact"/>
        <w:rPr>
          <w:sz w:val="20"/>
          <w:szCs w:val="20"/>
          <w:color w:val="auto"/>
        </w:rPr>
      </w:pPr>
    </w:p>
    <w:p>
      <w:pPr>
        <w:ind w:right="260" w:firstLine="449"/>
        <w:spacing w:after="0" w:line="278" w:lineRule="auto"/>
        <w:rPr>
          <w:sz w:val="20"/>
          <w:szCs w:val="20"/>
          <w:color w:val="auto"/>
        </w:rPr>
      </w:pPr>
      <w:r>
        <w:rPr>
          <w:rFonts w:ascii="Times New Roman" w:cs="Times New Roman" w:eastAsia="Times New Roman" w:hAnsi="Times New Roman"/>
          <w:sz w:val="18"/>
          <w:szCs w:val="18"/>
          <w:color w:val="auto"/>
        </w:rPr>
        <w:t>During the years ended December 31, 2018 and 2019, we used $0.5 million and $0.8 million of cash, respectively, for the purchase of property and equipment.</w:t>
      </w:r>
    </w:p>
    <w:p>
      <w:pPr>
        <w:spacing w:after="0" w:line="162" w:lineRule="exact"/>
        <w:rPr>
          <w:sz w:val="20"/>
          <w:szCs w:val="20"/>
          <w:color w:val="auto"/>
        </w:rPr>
      </w:pPr>
    </w:p>
    <w:p>
      <w:pPr>
        <w:ind w:right="260" w:firstLine="449"/>
        <w:spacing w:after="0" w:line="278" w:lineRule="auto"/>
        <w:rPr>
          <w:sz w:val="20"/>
          <w:szCs w:val="20"/>
          <w:color w:val="auto"/>
        </w:rPr>
      </w:pPr>
      <w:r>
        <w:rPr>
          <w:rFonts w:ascii="Times New Roman" w:cs="Times New Roman" w:eastAsia="Times New Roman" w:hAnsi="Times New Roman"/>
          <w:sz w:val="18"/>
          <w:szCs w:val="18"/>
          <w:color w:val="auto"/>
        </w:rPr>
        <w:t>During the six months ended June 30, 2019 and 2020, we used $0.1 million and $0.1 million of cash, respectively, for the purchase of property and equipment.</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6"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2018, financing activities provided $17.9 million from the sale of our Series A convertible preferred stock. During the year ended December 31, 2019, financing activities provided $29.7 million of cash. Net cash provided by financing activities for the year ended December 31, 2019 consisted of $29.8 million from the sale of our Series B convertible preferred stock, offset by payments of $0.1 million for our capital lease obligation.</w:t>
      </w:r>
    </w:p>
    <w:p>
      <w:pPr>
        <w:spacing w:after="0" w:line="18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2019, financing activities provided $29.8 million from the sale of our Series B convertible preferred stock. During the six months ended June 30, 2020, financing activities provided $29.8 million of cash. Net cash provided by financing activities for the six months ended June 30, 2020 consisted of $29.9 million from the sale of our Series B convertible preferred stock and $31,000 of proceeds received from the exercise of stock options, offset by payments of $0.2 million for our capital lease obligation.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00"/>
          </w:cols>
          <w:pgMar w:left="320" w:top="454" w:right="3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at December 31,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20" w:type="dxa"/>
            <w:vAlign w:val="bottom"/>
            <w:vMerge w:val="restart"/>
          </w:tcPr>
          <w:p>
            <w:pPr>
              <w:spacing w:after="0"/>
              <w:rPr>
                <w:sz w:val="13"/>
                <w:szCs w:val="13"/>
                <w:color w:val="auto"/>
              </w:rPr>
            </w:pPr>
          </w:p>
        </w:tc>
        <w:tc>
          <w:tcPr>
            <w:tcW w:w="224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to</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3 to</w:t>
            </w:r>
          </w:p>
        </w:tc>
        <w:tc>
          <w:tcPr>
            <w:tcW w:w="220" w:type="dxa"/>
            <w:vAlign w:val="bottom"/>
          </w:tcPr>
          <w:p>
            <w:pPr>
              <w:spacing w:after="0"/>
              <w:rPr>
                <w:sz w:val="13"/>
                <w:szCs w:val="13"/>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1 year</w:t>
            </w:r>
          </w:p>
        </w:tc>
        <w:tc>
          <w:tcPr>
            <w:tcW w:w="660" w:type="dxa"/>
            <w:vAlign w:val="bottom"/>
            <w:gridSpan w:val="3"/>
          </w:tcPr>
          <w:p>
            <w:pPr>
              <w:jc w:val="right"/>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4"/>
              </w:rPr>
              <w:t>3 years</w:t>
            </w:r>
          </w:p>
        </w:tc>
        <w:tc>
          <w:tcPr>
            <w:tcW w:w="220" w:type="dxa"/>
            <w:vAlign w:val="bottom"/>
          </w:tcPr>
          <w:p>
            <w:pPr>
              <w:spacing w:after="0"/>
              <w:rPr>
                <w:sz w:val="15"/>
                <w:szCs w:val="15"/>
                <w:color w:val="auto"/>
              </w:rPr>
            </w:pPr>
          </w:p>
        </w:tc>
        <w:tc>
          <w:tcPr>
            <w:tcW w:w="68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5 years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(1)</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973</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994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including interest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1,275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810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162" w:lineRule="exact"/>
        <w:rPr>
          <w:sz w:val="20"/>
          <w:szCs w:val="20"/>
          <w:color w:val="auto"/>
        </w:rPr>
      </w:pPr>
    </w:p>
    <w:p>
      <w:pPr>
        <w:ind w:left="440" w:hanging="433"/>
        <w:spacing w:after="0"/>
        <w:tabs>
          <w:tab w:leader="none" w:pos="4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June 2020, we extended the lease that was set to expire in November 2020 until December 2021.</w:t>
      </w:r>
    </w:p>
    <w:p>
      <w:pPr>
        <w:spacing w:after="0" w:line="221"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Payments due upon cancellation consisting only of payments for services provided or expenses incurred, including noncancelable obligations of our service providers, up to the date of cancellation are not included in the preceding table as the amount and timing of such payments are not known.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8"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8" w:lineRule="exact"/>
        <w:rPr>
          <w:sz w:val="20"/>
          <w:szCs w:val="20"/>
          <w:color w:val="auto"/>
        </w:rPr>
      </w:pPr>
    </w:p>
    <w:p>
      <w:pPr>
        <w:ind w:right="160" w:firstLine="449"/>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4" w:lineRule="exact"/>
        <w:rPr>
          <w:sz w:val="20"/>
          <w:szCs w:val="20"/>
          <w:color w:val="auto"/>
        </w:rPr>
      </w:pPr>
    </w:p>
    <w:p>
      <w:pPr>
        <w:jc w:val="both"/>
        <w:ind w:right="680" w:firstLine="449"/>
        <w:spacing w:after="0" w:line="263"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3 to our audited financial statements included elsewhere in this prospectus, we believe the following accounting policies are the most critical to the judgments and estimates used in the preparation of our financial statements.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8" w:lineRule="exact"/>
        <w:rPr>
          <w:sz w:val="20"/>
          <w:szCs w:val="20"/>
          <w:color w:val="auto"/>
        </w:rPr>
      </w:pPr>
    </w:p>
    <w:p>
      <w:pPr>
        <w:ind w:right="300" w:firstLine="449"/>
        <w:spacing w:after="0" w:line="278"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product candidates. We expense research and development costs as incurred.</w:t>
      </w:r>
    </w:p>
    <w:p>
      <w:pPr>
        <w:spacing w:after="0" w:line="162" w:lineRule="exact"/>
        <w:rPr>
          <w:sz w:val="20"/>
          <w:szCs w:val="20"/>
          <w:color w:val="auto"/>
        </w:rPr>
      </w:pPr>
    </w:p>
    <w:p>
      <w:pPr>
        <w:ind w:right="420" w:firstLine="449"/>
        <w:spacing w:after="0" w:line="278" w:lineRule="auto"/>
        <w:rPr>
          <w:sz w:val="20"/>
          <w:szCs w:val="20"/>
          <w:color w:val="auto"/>
        </w:rPr>
      </w:pPr>
      <w:r>
        <w:rPr>
          <w:rFonts w:ascii="Times New Roman" w:cs="Times New Roman" w:eastAsia="Times New Roman" w:hAnsi="Times New Roman"/>
          <w:sz w:val="18"/>
          <w:szCs w:val="18"/>
          <w:color w:val="auto"/>
        </w:rPr>
        <w:t>We accrue an expense for preclinical studies and clinical trial activities performed by our vendors based upon estimates of the proportion of work completed. We determine the estimates by reviewing contracts, vendor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454"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75"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8"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We measure compensation expense for all stock-based awards based on the estimated fair value of the stock-based awards on the grant date. We use the Black-Scholes option pricing model to value our stock option awards. We recognize compensation expense on a straight-line basis over the requisite service period, which is generally the vesting period of the award. We have not issued awards for which vesting is subject to a market or performance conditions.</w:t>
      </w:r>
    </w:p>
    <w:p>
      <w:pPr>
        <w:spacing w:after="0" w:line="18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Black-Scholes option-pricing model requires the use of subjective assumptions that include the expected stock price volatility and the fair value of the underlying common stock on the date of grant. See Note 9 to our audited financial statements and Note 7 to our unaudited interim financial statements included elsewhere in this prospectus for information concerning certain of the specific assumptions we used in applying the Black-Scholes option pricing model to determine the estimated fair value of our stock options granted.</w:t>
      </w:r>
    </w:p>
    <w:p>
      <w:pPr>
        <w:spacing w:after="0" w:line="180" w:lineRule="exact"/>
        <w:rPr>
          <w:sz w:val="20"/>
          <w:szCs w:val="20"/>
          <w:color w:val="auto"/>
        </w:rPr>
      </w:pPr>
    </w:p>
    <w:p>
      <w:pPr>
        <w:ind w:right="40" w:firstLine="449"/>
        <w:spacing w:after="0" w:line="278" w:lineRule="auto"/>
        <w:rPr>
          <w:sz w:val="20"/>
          <w:szCs w:val="20"/>
          <w:color w:val="auto"/>
        </w:rPr>
      </w:pPr>
      <w:r>
        <w:rPr>
          <w:rFonts w:ascii="Times New Roman" w:cs="Times New Roman" w:eastAsia="Times New Roman" w:hAnsi="Times New Roman"/>
          <w:sz w:val="18"/>
          <w:szCs w:val="18"/>
          <w:color w:val="auto"/>
        </w:rPr>
        <w:t>The following table summarizes by grant date the number of shares of common stock subject to stock options granted from January 1, 2019, as well as the associated per share exercise price and the estimated fair value per share of our common stock as of the grant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3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60" w:type="dxa"/>
            <w:vAlign w:val="bottom"/>
            <w:gridSpan w:val="3"/>
          </w:tcPr>
          <w:p>
            <w:pPr>
              <w:jc w:val="center"/>
              <w:ind w:right="620"/>
              <w:spacing w:after="0" w:line="147" w:lineRule="exact"/>
              <w:rPr>
                <w:sz w:val="20"/>
                <w:szCs w:val="20"/>
                <w:color w:val="auto"/>
              </w:rPr>
            </w:pPr>
            <w:r>
              <w:rPr>
                <w:rFonts w:ascii="Times New Roman" w:cs="Times New Roman" w:eastAsia="Times New Roman" w:hAnsi="Times New Roman"/>
                <w:sz w:val="14"/>
                <w:szCs w:val="14"/>
                <w:b w:val="1"/>
                <w:bCs w:val="1"/>
                <w:color w:val="auto"/>
              </w:rPr>
              <w:t>per share of</w:t>
            </w:r>
          </w:p>
        </w:tc>
        <w:tc>
          <w:tcPr>
            <w:tcW w:w="9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47"/>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6740" w:type="dxa"/>
            <w:vAlign w:val="bottom"/>
            <w:vMerge w:val="restart"/>
          </w:tcPr>
          <w:p>
            <w:pPr>
              <w:spacing w:after="0"/>
              <w:rPr>
                <w:sz w:val="12"/>
                <w:szCs w:val="12"/>
                <w:color w:val="auto"/>
              </w:rPr>
            </w:pPr>
          </w:p>
        </w:tc>
        <w:tc>
          <w:tcPr>
            <w:tcW w:w="1380" w:type="dxa"/>
            <w:vAlign w:val="bottom"/>
            <w:gridSpan w:val="2"/>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340" w:type="dxa"/>
            <w:vAlign w:val="bottom"/>
            <w:gridSpan w:val="2"/>
          </w:tcPr>
          <w:p>
            <w:pPr>
              <w:jc w:val="center"/>
              <w:ind w:right="740"/>
              <w:spacing w:after="0" w:line="14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0" w:type="dxa"/>
            <w:vAlign w:val="bottom"/>
          </w:tcPr>
          <w:p>
            <w:pPr>
              <w:spacing w:after="0"/>
              <w:rPr>
                <w:sz w:val="1"/>
                <w:szCs w:val="1"/>
                <w:color w:val="auto"/>
              </w:rPr>
            </w:pPr>
          </w:p>
        </w:tc>
      </w:tr>
      <w:tr>
        <w:trPr>
          <w:trHeight w:val="178"/>
        </w:trPr>
        <w:tc>
          <w:tcPr>
            <w:tcW w:w="680" w:type="dxa"/>
            <w:vAlign w:val="bottom"/>
            <w:tcBorders>
              <w:bottom w:val="single" w:sz="8" w:color="auto"/>
            </w:tcBorders>
            <w:vMerge w:val="continue"/>
          </w:tcPr>
          <w:p>
            <w:pPr>
              <w:spacing w:after="0"/>
              <w:rPr>
                <w:sz w:val="15"/>
                <w:szCs w:val="15"/>
                <w:color w:val="auto"/>
              </w:rPr>
            </w:pPr>
          </w:p>
        </w:tc>
        <w:tc>
          <w:tcPr>
            <w:tcW w:w="6740" w:type="dxa"/>
            <w:vAlign w:val="bottom"/>
            <w:vMerge w:val="continue"/>
          </w:tcPr>
          <w:p>
            <w:pPr>
              <w:spacing w:after="0"/>
              <w:rPr>
                <w:sz w:val="15"/>
                <w:szCs w:val="15"/>
                <w:color w:val="auto"/>
              </w:rPr>
            </w:pPr>
          </w:p>
        </w:tc>
        <w:tc>
          <w:tcPr>
            <w:tcW w:w="1380" w:type="dxa"/>
            <w:vAlign w:val="bottom"/>
            <w:gridSpan w:val="2"/>
          </w:tcPr>
          <w:p>
            <w:pPr>
              <w:jc w:val="center"/>
              <w:ind w:right="580"/>
              <w:spacing w:after="0" w:line="15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5"/>
                <w:szCs w:val="15"/>
                <w:color w:val="auto"/>
              </w:rPr>
            </w:pPr>
          </w:p>
        </w:tc>
        <w:tc>
          <w:tcPr>
            <w:tcW w:w="1340" w:type="dxa"/>
            <w:vAlign w:val="bottom"/>
            <w:gridSpan w:val="2"/>
          </w:tcPr>
          <w:p>
            <w:pPr>
              <w:jc w:val="center"/>
              <w:ind w:right="74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880" w:type="dxa"/>
            <w:vAlign w:val="bottom"/>
            <w:gridSpan w:val="2"/>
          </w:tcPr>
          <w:p>
            <w:pPr>
              <w:jc w:val="right"/>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1"/>
        </w:trPr>
        <w:tc>
          <w:tcPr>
            <w:tcW w:w="74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February 13, 2019</w:t>
            </w: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198,000</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1.23</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17, 2019</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1,114,500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4"/>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7, 2019</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565,000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13, 2019</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93,000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4"/>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27, 2020</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1,375,500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13, 2020</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4"/>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 2020</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3,620,131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spacing w:after="0"/>
        <w:tabs>
          <w:tab w:leader="none" w:pos="4620" w:val="left"/>
        </w:tabs>
        <w:rPr>
          <w:sz w:val="20"/>
          <w:szCs w:val="20"/>
          <w:color w:val="auto"/>
        </w:rPr>
      </w:pPr>
      <w:r>
        <w:rPr>
          <w:rFonts w:ascii="Times New Roman" w:cs="Times New Roman" w:eastAsia="Times New Roman" w:hAnsi="Times New Roman"/>
          <w:sz w:val="18"/>
          <w:szCs w:val="18"/>
          <w:color w:val="auto"/>
        </w:rPr>
        <w:t>Based on an assumed initial public offering price of $</w:t>
      </w:r>
      <w:r>
        <w:rPr>
          <w:sz w:val="20"/>
          <w:szCs w:val="20"/>
          <w:color w:val="auto"/>
        </w:rPr>
        <w:tab/>
      </w:r>
      <w:r>
        <w:rPr>
          <w:rFonts w:ascii="Times New Roman" w:cs="Times New Roman" w:eastAsia="Times New Roman" w:hAnsi="Times New Roman"/>
          <w:sz w:val="17"/>
          <w:szCs w:val="17"/>
          <w:color w:val="auto"/>
        </w:rPr>
        <w:t>per share, which is the midpoint of the estimated price range set forth on the cover page of</w:t>
      </w:r>
    </w:p>
    <w:p>
      <w:pPr>
        <w:spacing w:after="0" w:line="2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this prospectus, the aggregate intrinsic value of vested and unvested stock options outstanding as of June 30, 2020 was $ million and $ million,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Estimating the Fair Value of Common Stock</w:t>
      </w:r>
    </w:p>
    <w:p>
      <w:pPr>
        <w:spacing w:after="0" w:line="11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are required to estimate the fair value of the common stock underlying our stock-based awards when performing the fair value calculations using the Black-Scholes option pricing model. Because our common stock is not currently publicly traded, the fair value of the common stock underlying our stock options has been determined on each grant date by our board of directors, with input from management, considering our most recently available third-party valuation of common shares.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454"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third-party valuations of our common stock were performed using methodologies, approaches and assumptions consistent with the American Institute of Certified Public Accountants, </w:t>
      </w:r>
      <w:r>
        <w:rPr>
          <w:rFonts w:ascii="Times New Roman" w:cs="Times New Roman" w:eastAsia="Times New Roman" w:hAnsi="Times New Roman"/>
          <w:sz w:val="18"/>
          <w:szCs w:val="18"/>
          <w:i w:val="1"/>
          <w:iCs w:val="1"/>
          <w:color w:val="auto"/>
        </w:rPr>
        <w:t>Audit and Accounting Practice Aid Series: Valuation of Privately Held Company Equity Securities Issued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In addition, our board of directors considered various objective and subjective factors to estimate the estimated fair value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including:</w:t>
      </w:r>
    </w:p>
    <w:p>
      <w:pPr>
        <w:spacing w:after="0" w:line="86" w:lineRule="exact"/>
        <w:rPr>
          <w:sz w:val="20"/>
          <w:szCs w:val="20"/>
          <w:color w:val="auto"/>
        </w:rPr>
      </w:pPr>
    </w:p>
    <w:p>
      <w:pPr>
        <w:ind w:left="1000" w:right="580" w:hanging="552"/>
        <w:spacing w:after="0" w:line="27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preferred stock sold to outside investors in arm’s length transactions, and the rights, preferences and privileges of our preferred stock as compared to those of our common stock, including the liquidation preferences of our preferred stock;</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value of each security both outstanding and anticipated;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capital structure, which will directly impact the value of the currently outstanding securities;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position;</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our research and development efforts;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and changes to, our management team and board of directors;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common stock as a private company;</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and the material risks related to our business and industry;</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biotechnology industry sectors;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economic conditions;</w:t>
      </w:r>
    </w:p>
    <w:p>
      <w:pPr>
        <w:spacing w:after="0" w:line="127" w:lineRule="exact"/>
        <w:rPr>
          <w:rFonts w:ascii="Times New Roman" w:cs="Times New Roman" w:eastAsia="Times New Roman" w:hAnsi="Times New Roman"/>
          <w:sz w:val="18"/>
          <w:szCs w:val="18"/>
          <w:color w:val="auto"/>
        </w:rPr>
      </w:pPr>
    </w:p>
    <w:p>
      <w:pPr>
        <w:ind w:left="1000" w:right="260" w:hanging="552"/>
        <w:spacing w:after="0" w:line="27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such as an initial public offering, or IPO, or a sale of our company, given prevailing market conditions; and</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and volatility of comparable companies.</w:t>
      </w:r>
    </w:p>
    <w:p>
      <w:pPr>
        <w:spacing w:after="0" w:line="221" w:lineRule="exact"/>
        <w:rPr>
          <w:sz w:val="20"/>
          <w:szCs w:val="20"/>
          <w:color w:val="auto"/>
        </w:rPr>
      </w:pPr>
    </w:p>
    <w:p>
      <w:pPr>
        <w:ind w:firstLine="449"/>
        <w:spacing w:after="0" w:line="268" w:lineRule="auto"/>
        <w:rPr>
          <w:sz w:val="20"/>
          <w:szCs w:val="20"/>
          <w:color w:val="auto"/>
        </w:rPr>
      </w:pPr>
      <w:r>
        <w:rPr>
          <w:rFonts w:ascii="Times New Roman" w:cs="Times New Roman" w:eastAsia="Times New Roman" w:hAnsi="Times New Roman"/>
          <w:sz w:val="17"/>
          <w:szCs w:val="17"/>
          <w:color w:val="auto"/>
        </w:rPr>
        <w:t>In determining the estimated fair value of common stock, our board of directors considered the subjective factors discussed above in conjunction with the most recent valuations of our common stock that were prepared by an independent third party. The independent valuation prepared as of November 1, 2018 was utilized by our board of directors when determining the estimated fair value of common stock for the awards granted in February 2019. The independent valuation prepared as of May 15, 2019 was utilized by our board of directors when determining the estimated fair value of common stock for the awards granted from June 2019 through November 2019. The independent valuation prepared as of March 27, 2020 was utilized by our board of directors when determining the estimated fair value of common stock for the awards granted from March 2020 through May 2020. The independent valuation prepared as of August 25, 2020 was utilized by our board of directors when determining the estimated fair value of common stock for the awards granted in September 2020. Our board of directors, relying in part on these third-party valuations, determined valuations of our common stock of $1.23 per share as of November 1, 2018, $1.63 per share as of May 15, 2019, $2.82 per share as of March 27, 2020 and $11.11 per share as of August 25, 2020.</w:t>
      </w:r>
    </w:p>
    <w:p>
      <w:pPr>
        <w:spacing w:after="0" w:line="175" w:lineRule="exact"/>
        <w:rPr>
          <w:sz w:val="20"/>
          <w:szCs w:val="20"/>
          <w:color w:val="auto"/>
        </w:rPr>
      </w:pPr>
    </w:p>
    <w:p>
      <w:pPr>
        <w:ind w:right="20" w:firstLine="449"/>
        <w:spacing w:after="0" w:line="278" w:lineRule="auto"/>
        <w:rPr>
          <w:sz w:val="20"/>
          <w:szCs w:val="20"/>
          <w:color w:val="auto"/>
        </w:rPr>
      </w:pPr>
      <w:r>
        <w:rPr>
          <w:rFonts w:ascii="Times New Roman" w:cs="Times New Roman" w:eastAsia="Times New Roman" w:hAnsi="Times New Roman"/>
          <w:sz w:val="18"/>
          <w:szCs w:val="18"/>
          <w:color w:val="auto"/>
        </w:rPr>
        <w:t>Following the closing of this offering, the fair value of our common stock will be the closing price of our common stock on the Nasdaq Global Select Market as reported on the date of the grant.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8" w:lineRule="exact"/>
        <w:rPr>
          <w:sz w:val="20"/>
          <w:szCs w:val="20"/>
          <w:color w:val="auto"/>
        </w:rPr>
      </w:pPr>
    </w:p>
    <w:p>
      <w:pPr>
        <w:ind w:firstLine="449"/>
        <w:spacing w:after="0" w:line="278" w:lineRule="auto"/>
        <w:rPr>
          <w:sz w:val="20"/>
          <w:szCs w:val="20"/>
          <w:color w:val="auto"/>
        </w:rPr>
      </w:pPr>
      <w:r>
        <w:rPr>
          <w:rFonts w:ascii="Times New Roman" w:cs="Times New Roman" w:eastAsia="Times New Roman" w:hAnsi="Times New Roman"/>
          <w:sz w:val="18"/>
          <w:szCs w:val="18"/>
          <w:color w:val="auto"/>
        </w:rPr>
        <w:t>See Note 3 to our audited financial statements found elsewhere in this prospectus for a description of recent accounting pronouncements applicable to our financial statements.</w:t>
      </w:r>
    </w:p>
    <w:p>
      <w:pPr>
        <w:spacing w:after="0" w:line="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4"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18" w:lineRule="exact"/>
        <w:rPr>
          <w:sz w:val="20"/>
          <w:szCs w:val="20"/>
          <w:color w:val="auto"/>
        </w:rPr>
      </w:pPr>
    </w:p>
    <w:p>
      <w:pPr>
        <w:ind w:right="160" w:firstLine="449"/>
        <w:spacing w:after="0" w:line="263"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2019, we had cash and cash equivalents of $18.9 million consisting of bank deposits and a commercial money market account. Due to the short-term duration of our cash equivalents, an immediate 10% change in interest rates would not have a material effect on the fair market value.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18"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8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are in the process of evaluating the benefits of relying on other exemptions and reduced reporting requirements under the JOBS Act,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this offering, (ii) in which we have total annual gross revenues of at least $1.07 billion or (iii) 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84" w:lineRule="exact"/>
        <w:rPr>
          <w:sz w:val="20"/>
          <w:szCs w:val="20"/>
          <w:color w:val="auto"/>
        </w:rPr>
      </w:pPr>
    </w:p>
    <w:p>
      <w:pPr>
        <w:ind w:right="60" w:firstLine="449"/>
        <w:spacing w:after="0" w:line="269"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00"/>
          </w:cols>
          <w:pgMar w:left="320" w:top="454" w:right="3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right="60" w:firstLine="449"/>
        <w:spacing w:after="0" w:line="252" w:lineRule="auto"/>
        <w:rPr>
          <w:sz w:val="20"/>
          <w:szCs w:val="20"/>
          <w:color w:val="auto"/>
        </w:rPr>
      </w:pPr>
      <w:r>
        <w:rPr>
          <w:rFonts w:ascii="Times New Roman" w:cs="Times New Roman" w:eastAsia="Times New Roman" w:hAnsi="Times New Roman"/>
          <w:sz w:val="18"/>
          <w:szCs w:val="18"/>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three investigational new drug applications, or INDs, and successfully advanced these three programs into clinical development. In addition, we have three unique programs in various stages of preclinical development that we plan to advance into clinical development beginning in 2021.</w:t>
      </w:r>
    </w:p>
    <w:p>
      <w:pPr>
        <w:spacing w:after="0" w:line="187"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8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We are currently advancing our first clinical candidate, PRT543, in a Phase 1 clinical trial in select solid tumors and myeloid malignancies in patients who are refractory to or intolerant of established therapies. Interim Phase 1 results indicate dose-dependent increases in exposure and target engagement, and we have observed early signs of clinical activity, including a confirmed complete response, or CR, in a patient with HRD+ high grade serous ovarian cancer. A complete response is defined as the disappearance of all target lesions. While we will need to enroll and demonstrate objective responses in additional patients to support further development and potential approval by the FDA or other regulatory authorities, and while such approval is not guaranteed, we are encouraged by the clinical activity to date. We anticipate enrollment in expansion cohorts in our ongoing Phase 1 trial beginning in the second half of 2020 and expect clinical data beginning in the first half of 2021. We are also advancing PRT811, a second PRMT5 inhibitor that we have optimized for high brain exposure, in a Phase 1 clinical trial in solid tumors, including GBM. We expect to begin enrolling patients in the expansion portion of the Phase 1 clinical trial in the first half of 2021 and anticipate initial clinical data from these expansion cohorts by the end of 2021. We have also received FDA clearance of our IND for PRT1419, which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are initiating a Phase 1 clinical trial in relapsed/refractory patients with myelodysplastic syndrome, or MDS, acute myeloid leukemia, or AML, non-Hodgkin’s lymphoma, or NHL, and multiple myeloma, or MM, in the second half of 2020.</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454"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pipeline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168910</wp:posOffset>
            </wp:positionV>
            <wp:extent cx="5137785" cy="2352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37785" cy="235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Prelude Discovery and Development Approach</w:t>
      </w:r>
    </w:p>
    <w:p>
      <w:pPr>
        <w:spacing w:after="0" w:line="118" w:lineRule="exact"/>
        <w:rPr>
          <w:sz w:val="20"/>
          <w:szCs w:val="20"/>
          <w:color w:val="auto"/>
        </w:rPr>
      </w:pPr>
    </w:p>
    <w:p>
      <w:pPr>
        <w:ind w:firstLine="449"/>
        <w:spacing w:after="0" w:line="278" w:lineRule="auto"/>
        <w:rPr>
          <w:sz w:val="20"/>
          <w:szCs w:val="20"/>
          <w:color w:val="auto"/>
        </w:rPr>
      </w:pPr>
      <w:r>
        <w:rPr>
          <w:rFonts w:ascii="Times New Roman" w:cs="Times New Roman" w:eastAsia="Times New Roman" w:hAnsi="Times New Roman"/>
          <w:sz w:val="18"/>
          <w:szCs w:val="18"/>
          <w:color w:val="auto"/>
        </w:rPr>
        <w:t>We carefully evaluate and select our targets based on three key pillars, which provide a framework for optimizing our drug discovery and development efforts.</w:t>
      </w:r>
    </w:p>
    <w:p>
      <w:pPr>
        <w:spacing w:after="0" w:line="69" w:lineRule="exact"/>
        <w:rPr>
          <w:sz w:val="20"/>
          <w:szCs w:val="20"/>
          <w:color w:val="auto"/>
        </w:rPr>
      </w:pPr>
    </w:p>
    <w:p>
      <w:pPr>
        <w:ind w:left="1000" w:hanging="552"/>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target mechanisms with compelling biological rationale</w:t>
      </w:r>
    </w:p>
    <w:p>
      <w:pPr>
        <w:spacing w:after="0" w:line="125" w:lineRule="exact"/>
        <w:rPr>
          <w:rFonts w:ascii="Times New Roman" w:cs="Times New Roman" w:eastAsia="Times New Roman" w:hAnsi="Times New Roman"/>
          <w:sz w:val="18"/>
          <w:szCs w:val="18"/>
          <w:color w:val="auto"/>
        </w:rPr>
      </w:pPr>
    </w:p>
    <w:p>
      <w:pPr>
        <w:ind w:left="1460" w:right="460" w:hanging="450"/>
        <w:spacing w:after="0" w:line="280" w:lineRule="auto"/>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target mechanisms of focus include: transcriptional regulation, deoxyribonucleic acid, or DNA, repair pathway, cell cycle regulation, exploitation of synthetic lethality and brain penetrant molecules</w:t>
      </w:r>
    </w:p>
    <w:p>
      <w:pPr>
        <w:spacing w:after="0" w:line="6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our advanced medicinal chemistry capabilities to create better product candidates</w:t>
      </w:r>
    </w:p>
    <w:p>
      <w:pPr>
        <w:spacing w:after="0" w:line="125" w:lineRule="exact"/>
        <w:rPr>
          <w:rFonts w:ascii="Times New Roman" w:cs="Times New Roman" w:eastAsia="Times New Roman" w:hAnsi="Times New Roman"/>
          <w:sz w:val="18"/>
          <w:szCs w:val="18"/>
          <w:color w:val="auto"/>
        </w:rPr>
      </w:pPr>
    </w:p>
    <w:p>
      <w:pPr>
        <w:ind w:left="1460" w:hanging="450"/>
        <w:spacing w:after="0"/>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view all target classes equally and strive to invent clinical candidates that meet our desired target product profiles</w:t>
      </w:r>
    </w:p>
    <w:p>
      <w:pPr>
        <w:spacing w:after="0" w:line="129"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Pursue targets that drive cancers with high unmet need</w:t>
      </w:r>
    </w:p>
    <w:p>
      <w:pPr>
        <w:spacing w:after="0" w:line="125" w:lineRule="exact"/>
        <w:rPr>
          <w:rFonts w:ascii="Times New Roman" w:cs="Times New Roman" w:eastAsia="Times New Roman" w:hAnsi="Times New Roman"/>
          <w:sz w:val="18"/>
          <w:szCs w:val="18"/>
          <w:color w:val="auto"/>
        </w:rPr>
      </w:pPr>
    </w:p>
    <w:p>
      <w:pPr>
        <w:ind w:left="1460" w:right="220" w:hanging="450"/>
        <w:spacing w:after="0" w:line="280" w:lineRule="auto"/>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on targets that allow us to select patients and cancers with high unmet need with no approved therapies, or patient populations that are underserved by approved treatments</w:t>
      </w:r>
    </w:p>
    <w:p>
      <w:pPr>
        <w:spacing w:after="0" w:line="161" w:lineRule="exact"/>
        <w:rPr>
          <w:sz w:val="20"/>
          <w:szCs w:val="20"/>
          <w:color w:val="auto"/>
        </w:rPr>
      </w:pPr>
    </w:p>
    <w:p>
      <w:pPr>
        <w:jc w:val="both"/>
        <w:ind w:right="360" w:firstLine="449"/>
        <w:spacing w:after="0" w:line="258" w:lineRule="auto"/>
        <w:rPr>
          <w:sz w:val="20"/>
          <w:szCs w:val="20"/>
          <w:color w:val="auto"/>
        </w:rPr>
      </w:pPr>
      <w:r>
        <w:rPr>
          <w:rFonts w:ascii="Times New Roman" w:cs="Times New Roman" w:eastAsia="Times New Roman" w:hAnsi="Times New Roman"/>
          <w:sz w:val="18"/>
          <w:szCs w:val="18"/>
          <w:color w:val="auto"/>
        </w:rPr>
        <w:t>Once we have identified optimal targets using the three pillars above, we engage our unique discovery engine to rapidly and efficiently invent and develop molecules. We believe our expertise, capabilities and experience to select high value biological targets and invent molecules with an optimized balance of biological and chemical properties differentiates us from others in the precision oncology space. We believe our unique discovery engine will enable us to continue delivering a new IND every 12 to 18 months.</w:t>
      </w:r>
    </w:p>
    <w:p>
      <w:pPr>
        <w:spacing w:after="0" w:line="180" w:lineRule="exact"/>
        <w:rPr>
          <w:sz w:val="20"/>
          <w:szCs w:val="20"/>
          <w:color w:val="auto"/>
        </w:rPr>
      </w:pPr>
    </w:p>
    <w:p>
      <w:pPr>
        <w:jc w:val="both"/>
        <w:ind w:right="340" w:firstLine="449"/>
        <w:spacing w:after="0" w:line="263" w:lineRule="auto"/>
        <w:rPr>
          <w:sz w:val="20"/>
          <w:szCs w:val="20"/>
          <w:color w:val="auto"/>
        </w:rPr>
      </w:pPr>
      <w:r>
        <w:rPr>
          <w:rFonts w:ascii="Times New Roman" w:cs="Times New Roman" w:eastAsia="Times New Roman" w:hAnsi="Times New Roman"/>
          <w:sz w:val="18"/>
          <w:szCs w:val="18"/>
          <w:color w:val="auto"/>
        </w:rPr>
        <w:t>We design our clinical trials to leverage the broad utility of our compounds with a focus on efficient regulatory pathways to enable our potentially transformative medicines to quickly reach patients with high unmet medical need. By focusing on validated cancer signaling pathways and early clinical proof-of-concept, we seek to advance our programs through expedited approval processes.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18" w:lineRule="exact"/>
        <w:rPr>
          <w:sz w:val="20"/>
          <w:szCs w:val="20"/>
          <w:color w:val="auto"/>
        </w:rPr>
      </w:pPr>
    </w:p>
    <w:p>
      <w:pPr>
        <w:ind w:right="240" w:firstLine="449"/>
        <w:spacing w:after="0" w:line="278" w:lineRule="auto"/>
        <w:rPr>
          <w:sz w:val="20"/>
          <w:szCs w:val="20"/>
          <w:color w:val="auto"/>
        </w:rPr>
      </w:pPr>
      <w:r>
        <w:rPr>
          <w:rFonts w:ascii="Times New Roman" w:cs="Times New Roman" w:eastAsia="Times New Roman" w:hAnsi="Times New Roman"/>
          <w:sz w:val="18"/>
          <w:szCs w:val="18"/>
          <w:color w:val="auto"/>
        </w:rPr>
        <w:t>Our first two candidates, PRT543 and PRT811, are designed to be potent, selective and oral inhibitors of PRMT5. We believe targeting PRMT5 has broad applicability and a strong scientific rationale for the treatment</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454" w:right="3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color w:val="auto"/>
        </w:rPr>
        <w:t>of cancer as it regulates transcription, translation and messenger ribonucleic acid, or mRNA, as well as the splicing of cancer related genes. Inhibition of PRMT5 has been observed to suppress tumor growth and produce synthetic lethality preclinically.</w:t>
      </w:r>
    </w:p>
    <w:p>
      <w:pPr>
        <w:spacing w:after="0" w:line="162"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 xml:space="preserve">PRT543, our first clinical candidate, is currently in a Phase 1 clinical trial in advanced solid tumors and select myeloid malignancies. We have been encouraged by both the clinical activity and tolerability data that have been seen in 41 patients (29 with advanced solid tumors, one with NHL, nine with MF and two with MDS) that have enrolled into the dose escalation portion of the study as of our data cutoff date of September 1, 2020. We have observed clinical activity, including a confirmed CR per RECIST v1.1, in a patient with HRD+ high grade serous ovarian cancer, in the 35 mg 5x/week (once a day, for five days, with two days off) cohort. We will need to enroll and demonstrate objective responses in additional patients to support further development and potential approval by FDA or other regulatory authorities, and such approval is not guaranteed. In addition, extended duration of therapy and improvements in symptoms have been observed in several patients with MF, with one patient demonstrating a response of clinical improvement and another patient showing an approximately 66% reduction in Total Symptom Score, or TSS, a validated clinical endpoint in MF. Clinical improvement means achievement in anemia, spleen, or symptom response without progressive disease or increase in the severity of anemia, thrombocytopenia or neutropenia. Upon establishing a recommended expansion dose, we plan to begin enrolling patients in the expansion portion of the Phase 1 clinical trial in select tumor types that are potentially driven by </w:t>
      </w:r>
      <w:r>
        <w:rPr>
          <w:rFonts w:ascii="Times New Roman" w:cs="Times New Roman" w:eastAsia="Times New Roman" w:hAnsi="Times New Roman"/>
          <w:sz w:val="18"/>
          <w:szCs w:val="18"/>
          <w:i w:val="1"/>
          <w:iCs w:val="1"/>
          <w:color w:val="auto"/>
        </w:rPr>
        <w:t>PRMT5</w:t>
      </w:r>
      <w:r>
        <w:rPr>
          <w:rFonts w:ascii="Times New Roman" w:cs="Times New Roman" w:eastAsia="Times New Roman" w:hAnsi="Times New Roman"/>
          <w:sz w:val="18"/>
          <w:szCs w:val="18"/>
          <w:color w:val="auto"/>
        </w:rPr>
        <w:t xml:space="preserve"> dysregulation. These tumor types include ACC, MF, genomically selected MDS and HRD+ tumors. We anticipate enrollment into these expansion cohorts to begin in the second half of 2020 and clinical data beginning in the first half of 2021.</w:t>
      </w:r>
    </w:p>
    <w:p>
      <w:pPr>
        <w:spacing w:after="0" w:line="194"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PRT811, our second clinical candidate, is currently advancing in the dose escalation portion of a Phase 1 clinical trial in solid tumors, including GBM and primary central nervous system lymphomas, or PCNSL. PRT811 has been optimized for high brain exposure and hence we believe is uniquely positioned to treat PRMT5 sensitive CNS cancers. We plan to initially enroll patients in the expansion portion of the clinical trial with GBM and PCNSL once we have established an expansion dose. We expect these expansions to begin in the first half of 2021 and anticipate initial clinical results from these expansion cohorts by the end of 2021.</w:t>
      </w:r>
    </w:p>
    <w:p>
      <w:pPr>
        <w:spacing w:after="0" w:line="184"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 xml:space="preserve">PRT1419, our third clinical candidate, is designed to be a potent and selective inhibitor of the anti-apoptotic protein, MCL1. We believe hematological malignancies are particularly sensitive to MCL1 inhibitors.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upregulation has been noted as a mechanism of acquired resistance to venetoclax and tyrosine kinase inhibitors, or TKIs. In addition, certain solid tumors are responsive to MCL1 inhibition, informing a potential patient selection strategy. We have received FDA clearance of our IND for our oral formulation, and we expect to advance PRT1419 in a Phase 1 clinical trial in high risk MDS, AML, NHL and MM patients in the second half of 2020 including in an expansion cohort in combination with azacitidine or venetoclax in patients with MDS or AML.</w:t>
      </w:r>
    </w:p>
    <w:p>
      <w:pPr>
        <w:spacing w:after="0" w:line="184"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to our three clinical stage candidates, our two most advanced preclinical programs target cyclin-dependent kinase 9, or CDK9, and Brahma homologue, or BRM, otherwise known as SMARCA2, respectively. PRT2527 designed to be a potent and selective CDK9 inhibitor, has entered IND-enabling studies with an IND submission expected in 2021. We have also identified SMARCA2 protein degraders that appear to be potent based on preclinical data demonstrating degradation of SMARCA2 at sub-nanomolar concentration. Optimization of the lead compound, PRT-SCA2, is progressing, and we expect to initiate IND-enabling studies in 2021. Our sixth program is exploring a kinase target for solid tumors. We are optimizing our lead compound, PRT-K4, and expect to begin IND-enabling studies in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18" w:lineRule="exact"/>
        <w:rPr>
          <w:sz w:val="20"/>
          <w:szCs w:val="20"/>
          <w:color w:val="auto"/>
        </w:rPr>
      </w:pPr>
    </w:p>
    <w:p>
      <w:pPr>
        <w:ind w:right="320" w:firstLine="449"/>
        <w:spacing w:after="0" w:line="263" w:lineRule="auto"/>
        <w:rPr>
          <w:sz w:val="20"/>
          <w:szCs w:val="20"/>
          <w:color w:val="auto"/>
        </w:rPr>
      </w:pPr>
      <w:r>
        <w:rPr>
          <w:rFonts w:ascii="Times New Roman" w:cs="Times New Roman" w:eastAsia="Times New Roman" w:hAnsi="Times New Roman"/>
          <w:sz w:val="18"/>
          <w:szCs w:val="18"/>
          <w:color w:val="auto"/>
        </w:rPr>
        <w:t>We were founded in 2016 by Kris Vaddi, Ph.D., a founding scientist at Incyte, and have assembled an experienced management team and board of directors with deep expertise in oncology and drug development. We have built from the “ground up” our internal discovery team, led by scientific and medical teams with deep</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20"/>
          </w:cols>
          <w:pgMar w:left="320" w:top="454" w:right="3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expertise and proven capabilities in inventing and rapidly advancing small molecule medicines that address important gaps in the current precision oncology ecosystem. Members of our management team have successfully developed and commercialized numerous drugs such as Jakafi, Olumiant, Velcade, VITRAKVI, Retevmo, Tabrecta and Pemazyre.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8" w:lineRule="exact"/>
        <w:rPr>
          <w:sz w:val="20"/>
          <w:szCs w:val="20"/>
          <w:color w:val="auto"/>
        </w:rPr>
      </w:pPr>
    </w:p>
    <w:p>
      <w:pPr>
        <w:ind w:right="40" w:firstLine="449"/>
        <w:spacing w:after="0" w:line="263" w:lineRule="auto"/>
        <w:rPr>
          <w:sz w:val="20"/>
          <w:szCs w:val="20"/>
          <w:color w:val="auto"/>
        </w:rPr>
      </w:pPr>
      <w:r>
        <w:rPr>
          <w:rFonts w:ascii="Times New Roman" w:cs="Times New Roman" w:eastAsia="Times New Roman" w:hAnsi="Times New Roman"/>
          <w:sz w:val="18"/>
          <w:szCs w:val="18"/>
          <w:color w:val="auto"/>
        </w:rPr>
        <w:t>We aim to create better targeted and more effective cancer therapies. Our goal is to transform the lives of patients with cancer by leveraging the core competencies of our experienced team in medicinal chemistry, cancer biology and clinical development to bring novel drugs to market. We intend to become a fully integrated patient-focused precision oncology company by pursuing the following objectives:</w:t>
      </w:r>
    </w:p>
    <w:p>
      <w:pPr>
        <w:spacing w:after="0" w:line="78" w:lineRule="exact"/>
        <w:rPr>
          <w:sz w:val="20"/>
          <w:szCs w:val="20"/>
          <w:color w:val="auto"/>
        </w:rPr>
      </w:pPr>
    </w:p>
    <w:p>
      <w:pPr>
        <w:ind w:left="1000" w:right="80" w:hanging="552"/>
        <w:spacing w:after="0" w:line="251"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Rapidly progress our lead product candidates, PRT543 and PRT811, through clinical development in patients with select solid tumors and hematological malignancies. </w:t>
      </w:r>
      <w:r>
        <w:rPr>
          <w:rFonts w:ascii="Times New Roman" w:cs="Times New Roman" w:eastAsia="Times New Roman" w:hAnsi="Times New Roman"/>
          <w:sz w:val="18"/>
          <w:szCs w:val="18"/>
          <w:color w:val="auto"/>
        </w:rPr>
        <w:t>Our oral PRMT5 inhibitor candidates target multiple indications, with an initial focus on ACC, HRD+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tumors, myeloid and CNS malignancies, and have the potential for accelerated approval. We are currently advancing our first clinical candidate, PRT543, in a Phase 1 clinical trial in select solid tumors and myeloid malignancies. Interim Phase 1 results indicate dose-dependent increases in exposure and target engagement, and we have observed early signs of clinical activity, including a confirmed CR in a highly-refractory HRD+ ovarian cancer patient and prolonged stable disease, or SD, defined as failure to meet the definitions of either objective clinical response or progressive disease, in multiple patients with myeloid malignancies. We are also advancing PRT811, a second PRMT5 inhibitor that we have optimized for high brain exposure, in a Phase 1 clinical trial in solid tumors, including GBM. Upon establishing a recommended expansion dose for each candidate, we plan to begin enrolling patients in the expansion portion of the Phase 1 program in select tumor types that are potentially driven by </w:t>
      </w:r>
      <w:r>
        <w:rPr>
          <w:rFonts w:ascii="Times New Roman" w:cs="Times New Roman" w:eastAsia="Times New Roman" w:hAnsi="Times New Roman"/>
          <w:sz w:val="18"/>
          <w:szCs w:val="18"/>
          <w:i w:val="1"/>
          <w:iCs w:val="1"/>
          <w:color w:val="auto"/>
        </w:rPr>
        <w:t>PRMT5</w:t>
      </w:r>
      <w:r>
        <w:rPr>
          <w:rFonts w:ascii="Times New Roman" w:cs="Times New Roman" w:eastAsia="Times New Roman" w:hAnsi="Times New Roman"/>
          <w:sz w:val="18"/>
          <w:szCs w:val="18"/>
          <w:color w:val="auto"/>
        </w:rPr>
        <w:t xml:space="preserve"> dysregulation. We expect these expansion cohorts for PRT543 and PRT811 to initiate by the second half of 2020 and the first half of 2021, respectively. We anticipate clinical results for PRT543 beginning in the first half of 2021 and results for PRT811 by the end of 2021.</w:t>
      </w:r>
    </w:p>
    <w:p>
      <w:pPr>
        <w:spacing w:after="0" w:line="90" w:lineRule="exact"/>
        <w:rPr>
          <w:rFonts w:ascii="Times New Roman" w:cs="Times New Roman" w:eastAsia="Times New Roman" w:hAnsi="Times New Roman"/>
          <w:sz w:val="18"/>
          <w:szCs w:val="18"/>
          <w:color w:val="auto"/>
        </w:rPr>
      </w:pPr>
    </w:p>
    <w:p>
      <w:pPr>
        <w:ind w:left="1000" w:hanging="552"/>
        <w:spacing w:after="0" w:line="25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Expeditiously advance PRT1419, our MCL1 inhibitor, through clinical development in patients with select hematological malignancies. </w:t>
      </w:r>
      <w:r>
        <w:rPr>
          <w:rFonts w:ascii="Times New Roman" w:cs="Times New Roman" w:eastAsia="Times New Roman" w:hAnsi="Times New Roman"/>
          <w:sz w:val="18"/>
          <w:szCs w:val="18"/>
          <w:color w:val="auto"/>
        </w:rPr>
        <w:t>MCL1 is an oncogenic driver and a major resistance mechanism to B-cell lymphoma 2, or BCL2, inhibitors. We have received FDA clearance of our IND for PRT1419, and we are initiating a Phase 1 clinical trial in MDS, AML, NHL and MM patients in the second half of 2020. This Phase 1 clinical trial will evaluate PRT1419 as monotherapy and in combination with azacitidine and/or venetoclax in MDS or AML. We expect the combination arms to begin in the first half of 2021 once an active dose has been identified.</w:t>
      </w:r>
    </w:p>
    <w:p>
      <w:pPr>
        <w:spacing w:after="0" w:line="86" w:lineRule="exact"/>
        <w:rPr>
          <w:rFonts w:ascii="Times New Roman" w:cs="Times New Roman" w:eastAsia="Times New Roman" w:hAnsi="Times New Roman"/>
          <w:sz w:val="18"/>
          <w:szCs w:val="18"/>
          <w:color w:val="auto"/>
        </w:rPr>
      </w:pPr>
    </w:p>
    <w:p>
      <w:pPr>
        <w:ind w:left="1000" w:right="60" w:hanging="552"/>
        <w:spacing w:after="0" w:line="259"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advance our earlier stage programs, including a CDK9 inhibitor and a SMARCA2 degrader. </w:t>
      </w:r>
      <w:r>
        <w:rPr>
          <w:rFonts w:ascii="Times New Roman" w:cs="Times New Roman" w:eastAsia="Times New Roman" w:hAnsi="Times New Roman"/>
          <w:sz w:val="18"/>
          <w:szCs w:val="18"/>
          <w:color w:val="auto"/>
        </w:rPr>
        <w:t>PRT2527, designed to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 and selective CDK9 inhibitor, has entered IND-enabling studies with an IND submission expected in 2021. We have also identified potent SMARCA2 protein degraders based on data demonstrating degradation of SMARCA2 at sub-nanomolar concentration. Optimization of the lead compound, PRT-SCA2, is progressing and we expect to initiate IND-enabling studies in 2021 .</w:t>
      </w:r>
    </w:p>
    <w:p>
      <w:pPr>
        <w:spacing w:after="0" w:line="82" w:lineRule="exact"/>
        <w:rPr>
          <w:rFonts w:ascii="Times New Roman" w:cs="Times New Roman" w:eastAsia="Times New Roman" w:hAnsi="Times New Roman"/>
          <w:sz w:val="18"/>
          <w:szCs w:val="18"/>
          <w:color w:val="auto"/>
        </w:rPr>
      </w:pPr>
    </w:p>
    <w:p>
      <w:pPr>
        <w:ind w:left="1000" w:right="40" w:hanging="552"/>
        <w:spacing w:after="0" w:line="253"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our cancer biology and medicinal chemistry expertise to consistently deliver one new IND every 12 – 18 months.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committed to developing drugs that take a unique approach to precision oncology by focusing on broad mechanisms that have multiple links to oncogenic driver pathways in select patients. Utilizing our unique fully-integrated targeted oncology discovery engine, we will continue to pursue small-molecule therapies optimized to effectively target the key driver mechanisms in cancers with high unmet need, regardless of target class or technology platform. Since our inception in 2016, we have received FDA clearance for three INDs and successfully advanced these three programs into clinical development. We aim to continue to deliver on our goal of creating better targeted and more effective cancer therapies for patients with high unmet need.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454"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000" w:right="60" w:hanging="552"/>
        <w:spacing w:after="0" w:line="25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Opportunistically evaluate strategies to accelerate development timelines and maximize the value of our product candidate pipeline. </w:t>
      </w:r>
      <w:r>
        <w:rPr>
          <w:rFonts w:ascii="Times New Roman" w:cs="Times New Roman" w:eastAsia="Times New Roman" w:hAnsi="Times New Roman"/>
          <w:sz w:val="18"/>
          <w:szCs w:val="18"/>
          <w:color w:val="auto"/>
        </w:rPr>
        <w:t>We have developed each of our product candidates based on our internal capabilities, and we currently have worldwide development and commercial rights to each of our candidates. Given our ability to efficiently invent target class agnostic, small molecule agents that have broad applicability, including potential indications beyond oncology, we may choose to opportunistically enter into strategic collaborations that enable us to broaden our clinical or commercial impact.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18"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Consistent with our target class agnostic approach, our current pipeline includes six distinct programs spanning methyltransferases, kinases, protein-protein interactions and targeted protein degraders. Since our inception in 2016, we have received clearance for three INDs and advanced these three programs into clinical development for multiple solid tumors and hematological malignancies. In addition, we have three unique programs in various stages of preclinical development that we plan to advance into clinical development beginning in 2021. We have structured and resourced our research and development, or R&amp;D, organization with the goal and expectation of continuing to deliver a new IND every 12 to 18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145415</wp:posOffset>
            </wp:positionV>
            <wp:extent cx="5137785" cy="23526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37785" cy="235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Cancer Background and Treatment</w:t>
      </w:r>
    </w:p>
    <w:p>
      <w:pPr>
        <w:spacing w:after="0" w:line="118"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Cancer is the second-leading cause of death in the United States. The American Cancer Society estimates that approximately 1.8 million new cancer cases will be diagnosed and more than 600,000 people are expected to die of the disease in the United States in 2020. Cancer is a disease of the genome caused by changes in DNA that alter cell behavior, growth and division. These changes can cause cells to produce abnormal amounts of certain proteins and/or to make aberrant proteins that do not function properly. It is widely understood that cancer cells can eventually evade therapies through mutations or other resistance mechanisms, limiting the long-term success of drug therapies.</w:t>
      </w:r>
    </w:p>
    <w:p>
      <w:pPr>
        <w:spacing w:after="0" w:line="184"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Historically, cancer has been treated with surgery, radiation and drug therapy with patients often receiving a combination of these treatment modalities. While surgery and radiation can be effective in patients with localized disease, drug therapies are often required when the cancer has spread beyond the primary site or is not amenable to resection.</w:t>
      </w:r>
    </w:p>
    <w:p>
      <w:pPr>
        <w:spacing w:after="0" w:line="175" w:lineRule="exact"/>
        <w:rPr>
          <w:sz w:val="20"/>
          <w:szCs w:val="20"/>
          <w:color w:val="auto"/>
        </w:rPr>
      </w:pPr>
    </w:p>
    <w:p>
      <w:pPr>
        <w:ind w:right="140" w:firstLine="449"/>
        <w:spacing w:after="0" w:line="278" w:lineRule="auto"/>
        <w:rPr>
          <w:sz w:val="20"/>
          <w:szCs w:val="20"/>
          <w:color w:val="auto"/>
        </w:rPr>
      </w:pPr>
      <w:r>
        <w:rPr>
          <w:rFonts w:ascii="Times New Roman" w:cs="Times New Roman" w:eastAsia="Times New Roman" w:hAnsi="Times New Roman"/>
          <w:sz w:val="18"/>
          <w:szCs w:val="18"/>
          <w:color w:val="auto"/>
        </w:rPr>
        <w:t>Drug therapy is intended to kill or damage malignant cells by interfering with the biological processes that control development, growth and survival of cancer cells. This treatment modality has evolved over time from</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454" w:right="3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the use of non-specific cytotoxic therapies to precision oncology medicines targeting molecular pathways or oncogenic drivers. These precision medicines are broadly known as targeted therapies</w:t>
      </w:r>
      <w:r>
        <w:rPr>
          <w:rFonts w:ascii="Times New Roman" w:cs="Times New Roman" w:eastAsia="Times New Roman" w:hAnsi="Times New Roman"/>
          <w:sz w:val="18"/>
          <w:szCs w:val="18"/>
          <w:b w:val="1"/>
          <w:bCs w:val="1"/>
          <w:color w:val="auto"/>
        </w:rPr>
        <w:t>.</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Era of Precision Oncology</w:t>
      </w:r>
    </w:p>
    <w:p>
      <w:pPr>
        <w:spacing w:after="0" w:line="11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first-generation of approved targeted therapies were largely directed at receptor tyrosine kinases (e.g., BCR-ABL, VEGF, EGFR), a superfamily of cell-surface receptors that activate growth factors. Many of these agents that were initially approved in refractory and resistant populations have now become front-line treatments in cancers for which they are indicated. While these targeted therapies have improved the treatment of certain cancers, many fail to address the underlying genomic alterations that drive oncogenesis, leading to limited responses or inadequate therapeutic durability. Since normal cells can rely on these same signaling pathways, there are often toxicities associated with pathway inhibition. In addition, many of these first-generation targeted therapies are multi-kinase inhibitors that interfere with off-target adjacent pathways, resulting in significant toxicities.</w:t>
      </w:r>
    </w:p>
    <w:p>
      <w:pPr>
        <w:spacing w:after="0" w:line="184"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A second-generation of targeted cancer therapies has evolved from the nexus of rapid advances in the understanding of tumor biology and increasingly sophisticated diagnostic platforms that enable identification of subsets of tumors based on genomic alterations. These therapies often require genomic testing of tumor tissue or blood to identify potentially targetable alterations in a patient’s individual cancer. Increasingly, these precision medicines are agnostic to tumor site of origin and instead target specific oncogenic drivers that can occur broadly across tumor types. In 2018, VITRAKVI (larotrectinib) was approved by the FDA for neurotrophic receptor tyrosine kinase-driven cancers, making it the first new drug to be developed and approved to treat a specific genomic alteration in a tissue-agnostic fashion. This emerging trend for tumor-agnostic indications represents a significant advancement in drug development, clinical trial designs, drug approval patterns and speed to market. Targeted therapies generated approximately $20.1 billion of worldwide sales in 2019 and have remained a mainstay of oncology drug development and treatment.</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Precision Oncology</w:t>
      </w:r>
    </w:p>
    <w:p>
      <w:pPr>
        <w:spacing w:after="0" w:line="118"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First and second-generation precision oncology medicines dramatically changed the landscape of available treatment options for patients with cancer and created a paradigm shift in oncology drug development. However, there are still significant gaps that require further advances to optimize treatment options. For example, oncology drug development has been primarily focused on readily druggable genomic alterations that confer new or enhanced protein activity, known as gain-of-function targets, which represent only a subset of targets in oncology. Additionally, malignant cells may possess or acquire intrinsic resistance by using alternative signaling pathways, enabling them to survive and proliferate and contributing to a lack of response and/or short durability of response to these types of precision medicines. The nearly universal nature of this primary or secondary resistance highlights the urgent need to address resistance using a cellular level understanding of the mechanisms that drive treatment failure.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454"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By specifically targeting additional pathways of resistance, next generation precision oncology medicines can address the needs of patients whose tumors do not harbor targetable genomic alterations as well as patients who progress on current therapies. These medicines leverage scientific and technological breakthroughs to target new intervention points in oncogenic signaling pathways, including transcriptional regulation of oncogenes and tumor suppressor genes, DNA damage repair pathways and protein structure. These approaches address primary and secondary resistance mechanisms not targetable by earlier generations of precision oncology medicines. Examples of these mechanisms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145415</wp:posOffset>
            </wp:positionV>
            <wp:extent cx="4450080" cy="21228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450080" cy="2122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We believe highly selective and potent molecules that target specific oncogenic mechanisms, regardless of target class, can be an effective strategy to address cancers not amenable to earlier and current treatment modalities. These next-generation precision therapies should possess pharmacological, pharmacokinetic, or PK, and pharmaceutical properties that provide optimized inhibition of the target mechanism, with a safety profile and therapeutic window that allows use in all stages of cancer either as a monotherapy or in combination.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Prelude Discovery and Development Approach</w:t>
      </w:r>
    </w:p>
    <w:p>
      <w:pPr>
        <w:spacing w:after="0" w:line="118" w:lineRule="exact"/>
        <w:rPr>
          <w:sz w:val="20"/>
          <w:szCs w:val="20"/>
          <w:color w:val="auto"/>
        </w:rPr>
      </w:pPr>
    </w:p>
    <w:p>
      <w:pPr>
        <w:ind w:right="60" w:firstLine="449"/>
        <w:spacing w:after="0" w:line="278" w:lineRule="auto"/>
        <w:rPr>
          <w:sz w:val="20"/>
          <w:szCs w:val="20"/>
          <w:color w:val="auto"/>
        </w:rPr>
      </w:pPr>
      <w:r>
        <w:rPr>
          <w:rFonts w:ascii="Times New Roman" w:cs="Times New Roman" w:eastAsia="Times New Roman" w:hAnsi="Times New Roman"/>
          <w:sz w:val="18"/>
          <w:szCs w:val="18"/>
          <w:color w:val="auto"/>
        </w:rPr>
        <w:t>We are guided by our core expertise in cancer biology and medicinal chemistry to create next generation precision oncology medicines. We endeavor to discover, develop and commercialize small molecule drugs that selectively target signaling pathways driving primary or adaptive resistance.</w:t>
      </w:r>
    </w:p>
    <w:p>
      <w:pPr>
        <w:spacing w:after="0" w:line="16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Our approach is target class- and technology platform-agnostic meaning, we do not limit our selection of programs to a defined target class (e.g., kinases) or a technology platform (e.g., protein degradation). We have built from the “ground up” our internal discovery team, led by scientific and medical teams with deep expertise and proven capabilities in inventing and rapidly advancing small molecule product candidates that have the potential to address important gaps in the current precision oncology ecosystem. We design our discovery programs around targets with compelling preclinical and clinical data that have the potential to address cancers of high unmet medical need. We evaluate existing clinical or preclinical biological rationale and chemical space that provide important “proof-of-concept” validation but present significant opportunities for improvement on current therapies. This process has enabled us to rapidly create a wholly-owned, internally developed pipeline of differentiated product candidates for patient populations with cancers that show limited therapeutic durability or do not respond to current treatments.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60"/>
          </w:cols>
          <w:pgMar w:left="320" w:top="454" w:right="41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shown in the diagram below, our approach is divided into two related processes - target selection and our unique discovery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168910</wp:posOffset>
            </wp:positionV>
            <wp:extent cx="5137785" cy="21316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37785" cy="213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Target Selection</w:t>
      </w:r>
    </w:p>
    <w:p>
      <w:pPr>
        <w:spacing w:after="0" w:line="11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identify vulnerable intervention points in cancers with high unmet need, and then we seek to design solutions that can be precisely tailored to address these in a target class agnostic fashion. Applying our deep expertise in cancer biology and medicinal chemistry, as well as our in-depth understanding of the current landscape of oncology treatments, we interrogate targetable intervention points in the signaling pathways amenable to small molecule-based treatments. We then design, synthesize and optimize molecules that we believe best meet the needs of the patients we strive to serve. Consistent with our patient-centric focus, we take into account a number of patient attributes, including the type of cancer, current standard of care, causes of treatment failure, comorbidities, potential for drug-drug interactions and propensity for CNS disease to be able to develop more effective therapies.</w:t>
      </w:r>
    </w:p>
    <w:p>
      <w:pPr>
        <w:spacing w:after="0" w:line="184" w:lineRule="exact"/>
        <w:rPr>
          <w:sz w:val="20"/>
          <w:szCs w:val="20"/>
          <w:color w:val="auto"/>
        </w:rPr>
      </w:pPr>
    </w:p>
    <w:p>
      <w:pPr>
        <w:ind w:right="560" w:firstLine="449"/>
        <w:spacing w:after="0" w:line="278" w:lineRule="auto"/>
        <w:rPr>
          <w:sz w:val="20"/>
          <w:szCs w:val="20"/>
          <w:color w:val="auto"/>
        </w:rPr>
      </w:pPr>
      <w:r>
        <w:rPr>
          <w:rFonts w:ascii="Times New Roman" w:cs="Times New Roman" w:eastAsia="Times New Roman" w:hAnsi="Times New Roman"/>
          <w:sz w:val="18"/>
          <w:szCs w:val="18"/>
          <w:color w:val="auto"/>
        </w:rPr>
        <w:t>We carefully evaluate and select our targets based on the three key pillars described below which provide a framework for optimizing our drug discovery and development efforts. Our discovery programs are built upon these three pillars:</w:t>
      </w:r>
    </w:p>
    <w:p>
      <w:pPr>
        <w:spacing w:after="0" w:line="67" w:lineRule="exact"/>
        <w:rPr>
          <w:sz w:val="20"/>
          <w:szCs w:val="20"/>
          <w:color w:val="auto"/>
        </w:rPr>
      </w:pPr>
    </w:p>
    <w:p>
      <w:pPr>
        <w:ind w:left="1000" w:hanging="366"/>
        <w:spacing w:after="0"/>
        <w:tabs>
          <w:tab w:leader="none" w:pos="100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target mechanisms with compelling biological rationale</w:t>
      </w:r>
    </w:p>
    <w:p>
      <w:pPr>
        <w:spacing w:after="0" w:line="116" w:lineRule="exact"/>
        <w:rPr>
          <w:sz w:val="20"/>
          <w:szCs w:val="20"/>
          <w:color w:val="auto"/>
        </w:rPr>
      </w:pPr>
    </w:p>
    <w:p>
      <w:pPr>
        <w:ind w:left="1020"/>
        <w:spacing w:after="0" w:line="258" w:lineRule="auto"/>
        <w:rPr>
          <w:sz w:val="20"/>
          <w:szCs w:val="20"/>
          <w:color w:val="auto"/>
        </w:rPr>
      </w:pPr>
      <w:r>
        <w:rPr>
          <w:rFonts w:ascii="Times New Roman" w:cs="Times New Roman" w:eastAsia="Times New Roman" w:hAnsi="Times New Roman"/>
          <w:sz w:val="18"/>
          <w:szCs w:val="18"/>
          <w:color w:val="auto"/>
        </w:rPr>
        <w:t>We focus on target classes that have either yielded successful drugs or are emerging as validated, druggable approaches with compelling driver pathway-based data, as opposed to approaches driven by disease association or novelty of target class. We believe our internal capabilities are best suited to rationally design and develop molecules that can address these mechanisms in a target class agnostic manner. We may expand our focus on other target mechanisms as new biology emerges and is validated.</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current target mechanisms of focus include:</w:t>
      </w:r>
    </w:p>
    <w:p>
      <w:pPr>
        <w:spacing w:after="0" w:line="127" w:lineRule="exact"/>
        <w:rPr>
          <w:sz w:val="20"/>
          <w:szCs w:val="20"/>
          <w:color w:val="auto"/>
        </w:rPr>
      </w:pPr>
    </w:p>
    <w:p>
      <w:pPr>
        <w:ind w:left="2120" w:hanging="655"/>
        <w:spacing w:after="0"/>
        <w:tabs>
          <w:tab w:leader="none" w:pos="2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Transcriptional regulation</w:t>
      </w:r>
    </w:p>
    <w:p>
      <w:pPr>
        <w:spacing w:after="0" w:line="127" w:lineRule="exact"/>
        <w:rPr>
          <w:rFonts w:ascii="Times New Roman" w:cs="Times New Roman" w:eastAsia="Times New Roman" w:hAnsi="Times New Roman"/>
          <w:sz w:val="18"/>
          <w:szCs w:val="18"/>
          <w:color w:val="auto"/>
        </w:rPr>
      </w:pPr>
    </w:p>
    <w:p>
      <w:pPr>
        <w:ind w:left="2120" w:hanging="655"/>
        <w:spacing w:after="0"/>
        <w:tabs>
          <w:tab w:leader="none" w:pos="2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DNA repair pathway</w:t>
      </w:r>
    </w:p>
    <w:p>
      <w:pPr>
        <w:spacing w:after="0" w:line="127" w:lineRule="exact"/>
        <w:rPr>
          <w:rFonts w:ascii="Times New Roman" w:cs="Times New Roman" w:eastAsia="Times New Roman" w:hAnsi="Times New Roman"/>
          <w:sz w:val="18"/>
          <w:szCs w:val="18"/>
          <w:color w:val="auto"/>
        </w:rPr>
      </w:pPr>
    </w:p>
    <w:p>
      <w:pPr>
        <w:ind w:left="2120" w:hanging="655"/>
        <w:spacing w:after="0"/>
        <w:tabs>
          <w:tab w:leader="none" w:pos="2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 cycle regulation</w:t>
      </w:r>
    </w:p>
    <w:p>
      <w:pPr>
        <w:spacing w:after="0" w:line="127" w:lineRule="exact"/>
        <w:rPr>
          <w:rFonts w:ascii="Times New Roman" w:cs="Times New Roman" w:eastAsia="Times New Roman" w:hAnsi="Times New Roman"/>
          <w:sz w:val="18"/>
          <w:szCs w:val="18"/>
          <w:color w:val="auto"/>
        </w:rPr>
      </w:pPr>
    </w:p>
    <w:p>
      <w:pPr>
        <w:ind w:left="2120" w:hanging="655"/>
        <w:spacing w:after="0"/>
        <w:tabs>
          <w:tab w:leader="none" w:pos="2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Exploitation of synthetic lethality</w:t>
      </w:r>
    </w:p>
    <w:p>
      <w:pPr>
        <w:spacing w:after="0" w:line="127" w:lineRule="exact"/>
        <w:rPr>
          <w:rFonts w:ascii="Times New Roman" w:cs="Times New Roman" w:eastAsia="Times New Roman" w:hAnsi="Times New Roman"/>
          <w:sz w:val="18"/>
          <w:szCs w:val="18"/>
          <w:color w:val="auto"/>
        </w:rPr>
      </w:pPr>
    </w:p>
    <w:p>
      <w:pPr>
        <w:ind w:left="5500" w:right="3940" w:hanging="4035"/>
        <w:spacing w:after="0" w:line="448" w:lineRule="auto"/>
        <w:tabs>
          <w:tab w:leader="none" w:pos="21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Brain penetrant molecules to address primary or metastatic CNS tumors 102</w:t>
      </w:r>
    </w:p>
    <w:p>
      <w:pPr>
        <w:sectPr>
          <w:pgSz w:w="11900" w:h="16838" w:orient="portrait"/>
          <w:cols w:equalWidth="0" w:num="1">
            <w:col w:w="11200"/>
          </w:cols>
          <w:pgMar w:left="320" w:top="454" w:right="37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20" w:right="20"/>
        <w:spacing w:after="0" w:line="258" w:lineRule="auto"/>
        <w:rPr>
          <w:sz w:val="20"/>
          <w:szCs w:val="20"/>
          <w:color w:val="auto"/>
        </w:rPr>
      </w:pPr>
      <w:r>
        <w:rPr>
          <w:rFonts w:ascii="Times New Roman" w:cs="Times New Roman" w:eastAsia="Times New Roman" w:hAnsi="Times New Roman"/>
          <w:sz w:val="18"/>
          <w:szCs w:val="18"/>
          <w:color w:val="auto"/>
        </w:rPr>
        <w:t xml:space="preserve">PRMT5 is a prime example of a target with strong scientific rationale that we are well-suited to address. We believe the target can be exploited to address underserved cancers such as ACC with an undruggable oncogenic driver (such as myeloblastosis, or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xml:space="preserve">), as well as to address resistance to several existing, approved targeted agents, including ruxolitinib, venetoclax and CDK4/6 inhibitors. Also, </w:t>
      </w:r>
      <w:r>
        <w:rPr>
          <w:rFonts w:ascii="Times New Roman" w:cs="Times New Roman" w:eastAsia="Times New Roman" w:hAnsi="Times New Roman"/>
          <w:sz w:val="18"/>
          <w:szCs w:val="18"/>
          <w:i w:val="1"/>
          <w:iCs w:val="1"/>
          <w:color w:val="auto"/>
        </w:rPr>
        <w:t>PRMT5</w:t>
      </w:r>
      <w:r>
        <w:rPr>
          <w:rFonts w:ascii="Times New Roman" w:cs="Times New Roman" w:eastAsia="Times New Roman" w:hAnsi="Times New Roman"/>
          <w:sz w:val="18"/>
          <w:szCs w:val="18"/>
          <w:color w:val="auto"/>
        </w:rPr>
        <w:t xml:space="preserve"> is a potential driver mechanism in GBM, for which a differentiated product with high brain exposure is required.</w:t>
      </w:r>
    </w:p>
    <w:p>
      <w:pPr>
        <w:spacing w:after="0" w:line="84" w:lineRule="exact"/>
        <w:rPr>
          <w:sz w:val="20"/>
          <w:szCs w:val="20"/>
          <w:color w:val="auto"/>
        </w:rPr>
      </w:pPr>
    </w:p>
    <w:p>
      <w:pPr>
        <w:ind w:left="1000" w:hanging="366"/>
        <w:spacing w:after="0"/>
        <w:tabs>
          <w:tab w:leader="none" w:pos="100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Leverage our advanced medicinal chemistry capabilities to create better product candidates</w:t>
      </w:r>
    </w:p>
    <w:p>
      <w:pPr>
        <w:spacing w:after="0" w:line="116" w:lineRule="exact"/>
        <w:rPr>
          <w:sz w:val="20"/>
          <w:szCs w:val="20"/>
          <w:color w:val="auto"/>
        </w:rPr>
      </w:pPr>
    </w:p>
    <w:p>
      <w:pPr>
        <w:ind w:left="1020" w:right="60"/>
        <w:spacing w:after="0" w:line="258" w:lineRule="auto"/>
        <w:rPr>
          <w:sz w:val="20"/>
          <w:szCs w:val="20"/>
          <w:color w:val="auto"/>
        </w:rPr>
      </w:pPr>
      <w:r>
        <w:rPr>
          <w:rFonts w:ascii="Times New Roman" w:cs="Times New Roman" w:eastAsia="Times New Roman" w:hAnsi="Times New Roman"/>
          <w:sz w:val="18"/>
          <w:szCs w:val="18"/>
          <w:color w:val="auto"/>
        </w:rPr>
        <w:t>We deploy our integrated medicinal and process chemistry expertise to rationally design and synthesize complex chemical entities and rapidly advance through various stages of development. We view all target classes, including enzyme inhibitors (PRMT5, CDK9), protein-protein interactions (MCL1), targeted protein degradation (SMARCA2) and those that require high levels of brain exposure, with equal interest and strive to invent clinical candidates that meet our desired target product profiles.</w:t>
      </w:r>
    </w:p>
    <w:p>
      <w:pPr>
        <w:spacing w:after="0" w:line="73" w:lineRule="exact"/>
        <w:rPr>
          <w:sz w:val="20"/>
          <w:szCs w:val="20"/>
          <w:color w:val="auto"/>
        </w:rPr>
      </w:pPr>
    </w:p>
    <w:p>
      <w:pPr>
        <w:ind w:left="1020" w:right="20"/>
        <w:spacing w:after="0" w:line="263" w:lineRule="auto"/>
        <w:rPr>
          <w:sz w:val="20"/>
          <w:szCs w:val="20"/>
          <w:color w:val="auto"/>
        </w:rPr>
      </w:pPr>
      <w:r>
        <w:rPr>
          <w:rFonts w:ascii="Times New Roman" w:cs="Times New Roman" w:eastAsia="Times New Roman" w:hAnsi="Times New Roman"/>
          <w:sz w:val="18"/>
          <w:szCs w:val="18"/>
          <w:color w:val="auto"/>
        </w:rPr>
        <w:t>Our ability to design and develop molecules with potential high brain exposures allows us to target validated mechanisms in cancers with CNS metastasis, as many current treatments do not have adequate brain exposure. Our discovery programs are not only driven by potency, selectivity and PK, but also incorporate optimized physicochemical properties to provide well-balanced clinical candidates.</w:t>
      </w:r>
    </w:p>
    <w:p>
      <w:pPr>
        <w:spacing w:after="0" w:line="80" w:lineRule="exact"/>
        <w:rPr>
          <w:sz w:val="20"/>
          <w:szCs w:val="20"/>
          <w:color w:val="auto"/>
        </w:rPr>
      </w:pPr>
    </w:p>
    <w:p>
      <w:pPr>
        <w:ind w:left="1000" w:hanging="366"/>
        <w:spacing w:after="0"/>
        <w:tabs>
          <w:tab w:leader="none" w:pos="1000"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Pursue targets that drive cancers with high unmet need</w:t>
      </w:r>
    </w:p>
    <w:p>
      <w:pPr>
        <w:spacing w:after="0" w:line="116" w:lineRule="exact"/>
        <w:rPr>
          <w:sz w:val="20"/>
          <w:szCs w:val="20"/>
          <w:color w:val="auto"/>
        </w:rPr>
      </w:pPr>
    </w:p>
    <w:p>
      <w:pPr>
        <w:ind w:left="1020"/>
        <w:spacing w:after="0" w:line="263" w:lineRule="auto"/>
        <w:rPr>
          <w:sz w:val="20"/>
          <w:szCs w:val="20"/>
          <w:color w:val="auto"/>
        </w:rPr>
      </w:pPr>
      <w:r>
        <w:rPr>
          <w:rFonts w:ascii="Times New Roman" w:cs="Times New Roman" w:eastAsia="Times New Roman" w:hAnsi="Times New Roman"/>
          <w:sz w:val="18"/>
          <w:szCs w:val="18"/>
          <w:color w:val="auto"/>
        </w:rPr>
        <w:t>We believe taking a patient-centric approach to target selection provides opportunities to generate proof-of-concept early in clinical development, can form the basis for the design of pivotal studies with potential for accelerated approval in the most relevant patient population and rapidly advance into earlier lines of treatment.</w:t>
      </w:r>
    </w:p>
    <w:p>
      <w:pPr>
        <w:spacing w:after="0" w:line="68" w:lineRule="exact"/>
        <w:rPr>
          <w:sz w:val="20"/>
          <w:szCs w:val="20"/>
          <w:color w:val="auto"/>
        </w:rPr>
      </w:pPr>
    </w:p>
    <w:p>
      <w:pPr>
        <w:ind w:left="1020" w:right="60"/>
        <w:spacing w:after="0" w:line="255" w:lineRule="auto"/>
        <w:rPr>
          <w:sz w:val="20"/>
          <w:szCs w:val="20"/>
          <w:color w:val="auto"/>
        </w:rPr>
      </w:pPr>
      <w:r>
        <w:rPr>
          <w:rFonts w:ascii="Times New Roman" w:cs="Times New Roman" w:eastAsia="Times New Roman" w:hAnsi="Times New Roman"/>
          <w:sz w:val="18"/>
          <w:szCs w:val="18"/>
          <w:color w:val="auto"/>
        </w:rPr>
        <w:t xml:space="preserve">We focus on targets that allow us to select patients and cancers with high medical unmet need with no approved therapies, or patient populations underserved by approved treatments. We plan to utilize multiple approaches to patient selection, which include biomarker-based enrichment. For example, one cancer of interest with no approved or effective treatments is ACC, which is predominantly driven by a specific oncogenic mechanism such as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xml:space="preserve">, where a biomarker selection strategy may not be needed. Alternatively,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 mutated cancers are more amenable to a biomarker-based selection strategy.</w:t>
      </w:r>
    </w:p>
    <w:p>
      <w:pPr>
        <w:spacing w:after="0" w:line="77" w:lineRule="exact"/>
        <w:rPr>
          <w:sz w:val="20"/>
          <w:szCs w:val="20"/>
          <w:color w:val="auto"/>
        </w:rPr>
      </w:pPr>
    </w:p>
    <w:p>
      <w:pPr>
        <w:ind w:left="1020"/>
        <w:spacing w:after="0" w:line="263" w:lineRule="auto"/>
        <w:rPr>
          <w:sz w:val="20"/>
          <w:szCs w:val="20"/>
          <w:color w:val="auto"/>
        </w:rPr>
      </w:pPr>
      <w:r>
        <w:rPr>
          <w:rFonts w:ascii="Times New Roman" w:cs="Times New Roman" w:eastAsia="Times New Roman" w:hAnsi="Times New Roman"/>
          <w:sz w:val="18"/>
          <w:szCs w:val="18"/>
          <w:color w:val="auto"/>
        </w:rPr>
        <w:t xml:space="preserve">Lastly, we interrogate targets in pathways that drive resistance to approved treatments in clearly defined patient populations. Specific examples include: AML patients who progress on venetoclax in which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is a known resistance driver; and patients progressing on ruxolitinib in whom inhibiting PRMT5 can potentially block alternative pathways of resistance such as the transcription factor E2F1.</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Discovery Engine</w:t>
      </w:r>
    </w:p>
    <w:p>
      <w:pPr>
        <w:spacing w:after="0" w:line="118" w:lineRule="exact"/>
        <w:rPr>
          <w:sz w:val="20"/>
          <w:szCs w:val="20"/>
          <w:color w:val="auto"/>
        </w:rPr>
      </w:pPr>
    </w:p>
    <w:p>
      <w:pPr>
        <w:ind w:right="200" w:firstLine="449"/>
        <w:spacing w:after="0" w:line="255" w:lineRule="auto"/>
        <w:rPr>
          <w:sz w:val="20"/>
          <w:szCs w:val="20"/>
          <w:color w:val="auto"/>
        </w:rPr>
      </w:pPr>
      <w:r>
        <w:rPr>
          <w:rFonts w:ascii="Times New Roman" w:cs="Times New Roman" w:eastAsia="Times New Roman" w:hAnsi="Times New Roman"/>
          <w:sz w:val="18"/>
          <w:szCs w:val="18"/>
          <w:color w:val="auto"/>
        </w:rPr>
        <w:t>Once we have identified optimal targets using the three pillars above, we engage our unique discovery engine to rapidly and efficiently invent and develop molecules with optimized properties. Central to our internal discovery capability is the interplay between our highly experienced biologists and chemists who collaborate in an iterative fashion to rapidly design, synthesize and test novel chemical entities. By coupling our synthetic organic chemistry expertise and analytical technologies, our medicinal chemistry team has rapidly and efficiently synthesized thousands of rationally-designed novel compounds since inception.</w:t>
      </w:r>
    </w:p>
    <w:p>
      <w:pPr>
        <w:spacing w:after="0" w:line="184"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Our deep understanding of cancer biology enables a rigorous drug selection process that has allowed us to optimize our lead molecules to interrogate validated cancer pathways with high translational success. We focus on stereochemically-rich molecules with a high degree of 3-dimensional character, which has been shown to correlate with success as compounds transition from discovery, through clinical testing, to drug. Our unique ability to leverage medicinal chemistry to look beyond classic drug-like spaces, such as those involved in protein-protein interaction and targeted protein degradation and to incorporate critical elements of drug-like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20"/>
          </w:cols>
          <w:pgMar w:left="320" w:top="454" w:right="3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properties into our candidate compounds is a key aspect of our unique discovery engine. Our internal and external teams utilize a suite of capabilities in crystallography; absorption, distribution, metabolism and excretion, or ADME; PK and pharmacodynamic, or PD, analysis; preclinical efficacy models using cell line xenograft and patient-derived xenograft, or PDX, models; and process scale synthesis and toxicology to evaluate and optimize the lead molecules we invent until they meet rigorous and pre-specified criteria.</w:t>
      </w:r>
    </w:p>
    <w:p>
      <w:pPr>
        <w:spacing w:after="0" w:line="180" w:lineRule="exact"/>
        <w:rPr>
          <w:sz w:val="20"/>
          <w:szCs w:val="20"/>
          <w:color w:val="auto"/>
        </w:rPr>
      </w:pPr>
    </w:p>
    <w:p>
      <w:pPr>
        <w:ind w:right="20" w:firstLine="449"/>
        <w:spacing w:after="0" w:line="263" w:lineRule="auto"/>
        <w:rPr>
          <w:sz w:val="20"/>
          <w:szCs w:val="20"/>
          <w:color w:val="auto"/>
        </w:rPr>
      </w:pPr>
      <w:r>
        <w:rPr>
          <w:rFonts w:ascii="Times New Roman" w:cs="Times New Roman" w:eastAsia="Times New Roman" w:hAnsi="Times New Roman"/>
          <w:sz w:val="18"/>
          <w:szCs w:val="18"/>
          <w:color w:val="auto"/>
        </w:rPr>
        <w:t>Finally, we design our clinical trials to leverage the broad utility of our compounds with a focus on efficient regulatory pathways that enable potentially transformative medicines to quickly reach cancer patients with high unmet medical need. By focusing on validated cancer signaling pathways and early clinical proof-of-concept, we seek to advance our programs through expedited approval processes.</w:t>
      </w:r>
    </w:p>
    <w:p>
      <w:pPr>
        <w:spacing w:after="0" w:line="175" w:lineRule="exact"/>
        <w:rPr>
          <w:sz w:val="20"/>
          <w:szCs w:val="20"/>
          <w:color w:val="auto"/>
        </w:rPr>
      </w:pPr>
    </w:p>
    <w:p>
      <w:pPr>
        <w:ind w:right="460" w:firstLine="449"/>
        <w:spacing w:after="0" w:line="255" w:lineRule="auto"/>
        <w:rPr>
          <w:sz w:val="20"/>
          <w:szCs w:val="20"/>
          <w:color w:val="auto"/>
        </w:rPr>
      </w:pPr>
      <w:r>
        <w:rPr>
          <w:rFonts w:ascii="Times New Roman" w:cs="Times New Roman" w:eastAsia="Times New Roman" w:hAnsi="Times New Roman"/>
          <w:sz w:val="18"/>
          <w:szCs w:val="18"/>
          <w:color w:val="auto"/>
        </w:rPr>
        <w:t>We believe our rapid progress in creating a wholly-owned, internally developed pipeline with three differentiated clinical-development-stage compounds and multiple additional molecules in various stages of preclinical development across a range of target classes validates our discovery excellence. We have structured and resourced our R&amp;D organization with the goal and expectation of continuing to deliver a new IND every 12 to 18 months. We believe our expertise, capabilities and experience to select high value biological targets and invent molecules with an optimized balance of biological and chemical properties differentiates us from others in the precision oncology space.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PRMT5 Inhibitors: PRT543 &amp; PRT811</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Rationale for targeting the PRMT5 pathway in cancer</w:t>
      </w:r>
    </w:p>
    <w:p>
      <w:pPr>
        <w:spacing w:after="0" w:line="116" w:lineRule="exact"/>
        <w:rPr>
          <w:sz w:val="20"/>
          <w:szCs w:val="20"/>
          <w:color w:val="auto"/>
        </w:rPr>
      </w:pPr>
    </w:p>
    <w:p>
      <w:pPr>
        <w:ind w:right="380" w:firstLine="449"/>
        <w:spacing w:after="0" w:line="263" w:lineRule="auto"/>
        <w:rPr>
          <w:sz w:val="20"/>
          <w:szCs w:val="20"/>
          <w:color w:val="auto"/>
        </w:rPr>
      </w:pPr>
      <w:r>
        <w:rPr>
          <w:rFonts w:ascii="Times New Roman" w:cs="Times New Roman" w:eastAsia="Times New Roman" w:hAnsi="Times New Roman"/>
          <w:sz w:val="18"/>
          <w:szCs w:val="18"/>
          <w:color w:val="auto"/>
        </w:rPr>
        <w:t>Cancer is a disease of the genome and all cancers have genomic lesions that must be addressed to develop effective treatments. These genomic changes are important at all stages of cancer progression, including initial formation, growth, and metastasis, and result in the upregulation of genes that promote cell growth and survival together with the downregulation of genes that suppress tumor growth.</w:t>
      </w:r>
    </w:p>
    <w:p>
      <w:pPr>
        <w:spacing w:after="0" w:line="175" w:lineRule="exact"/>
        <w:rPr>
          <w:sz w:val="20"/>
          <w:szCs w:val="20"/>
          <w:color w:val="auto"/>
        </w:rPr>
      </w:pPr>
    </w:p>
    <w:p>
      <w:pPr>
        <w:ind w:right="140" w:firstLine="449"/>
        <w:spacing w:after="0" w:line="263" w:lineRule="auto"/>
        <w:rPr>
          <w:sz w:val="20"/>
          <w:szCs w:val="20"/>
          <w:color w:val="auto"/>
        </w:rPr>
      </w:pPr>
      <w:r>
        <w:rPr>
          <w:rFonts w:ascii="Times New Roman" w:cs="Times New Roman" w:eastAsia="Times New Roman" w:hAnsi="Times New Roman"/>
          <w:sz w:val="18"/>
          <w:szCs w:val="18"/>
          <w:color w:val="auto"/>
        </w:rPr>
        <w:t>PRMT5 controls a number of the biological processes that drive cancer including transcription, translation, DNA repair and cell signaling. Overexpression and increased enzymatic activity of PRMT5 are associated with poor outcome and decreased survival in multiple human cancer settings, as outlined in the table below.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PRMT5 Overexpression is Associated with Poor Outcome Across Multiple Cancer Types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Tumor type</w:t>
            </w:r>
          </w:p>
        </w:tc>
        <w:tc>
          <w:tcPr>
            <w:tcW w:w="4200" w:type="dxa"/>
            <w:vAlign w:val="bottom"/>
            <w:vMerge w:val="restart"/>
          </w:tcPr>
          <w:p>
            <w:pPr>
              <w:spacing w:after="0"/>
              <w:rPr>
                <w:sz w:val="13"/>
                <w:szCs w:val="13"/>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Sample Size of</w:t>
            </w:r>
          </w:p>
        </w:tc>
        <w:tc>
          <w:tcPr>
            <w:tcW w:w="18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Median Survival</w:t>
            </w:r>
          </w:p>
        </w:tc>
        <w:tc>
          <w:tcPr>
            <w:tcW w:w="182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Median Survival</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Log rank p-value</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1600" w:type="dxa"/>
            <w:vAlign w:val="bottom"/>
            <w:gridSpan w:val="2"/>
          </w:tcPr>
          <w:p>
            <w:pPr>
              <w:jc w:val="right"/>
              <w:ind w:right="900"/>
              <w:spacing w:after="0" w:line="159" w:lineRule="exact"/>
              <w:rPr>
                <w:sz w:val="20"/>
                <w:szCs w:val="20"/>
                <w:color w:val="auto"/>
              </w:rPr>
            </w:pPr>
            <w:r>
              <w:rPr>
                <w:rFonts w:ascii="Times New Roman" w:cs="Times New Roman" w:eastAsia="Times New Roman" w:hAnsi="Times New Roman"/>
                <w:sz w:val="14"/>
                <w:szCs w:val="14"/>
                <w:b w:val="1"/>
                <w:bCs w:val="1"/>
                <w:color w:val="auto"/>
              </w:rPr>
              <w:t>Patients</w:t>
            </w:r>
          </w:p>
        </w:tc>
        <w:tc>
          <w:tcPr>
            <w:tcW w:w="1800" w:type="dxa"/>
            <w:vAlign w:val="bottom"/>
            <w:gridSpan w:val="2"/>
          </w:tcPr>
          <w:p>
            <w:pPr>
              <w:jc w:val="center"/>
              <w:ind w:right="760"/>
              <w:spacing w:after="0" w:line="159" w:lineRule="exact"/>
              <w:rPr>
                <w:sz w:val="20"/>
                <w:szCs w:val="20"/>
                <w:color w:val="auto"/>
              </w:rPr>
            </w:pPr>
            <w:r>
              <w:rPr>
                <w:rFonts w:ascii="Times New Roman" w:cs="Times New Roman" w:eastAsia="Times New Roman" w:hAnsi="Times New Roman"/>
                <w:sz w:val="14"/>
                <w:szCs w:val="14"/>
                <w:b w:val="1"/>
                <w:bCs w:val="1"/>
                <w:color w:val="auto"/>
              </w:rPr>
              <w:t>(High PRMT5)</w:t>
            </w:r>
          </w:p>
        </w:tc>
        <w:tc>
          <w:tcPr>
            <w:tcW w:w="1820" w:type="dxa"/>
            <w:vAlign w:val="bottom"/>
            <w:gridSpan w:val="2"/>
          </w:tcPr>
          <w:p>
            <w:pPr>
              <w:jc w:val="center"/>
              <w:ind w:right="780"/>
              <w:spacing w:after="0" w:line="159" w:lineRule="exact"/>
              <w:rPr>
                <w:sz w:val="20"/>
                <w:szCs w:val="20"/>
                <w:color w:val="auto"/>
              </w:rPr>
            </w:pPr>
            <w:r>
              <w:rPr>
                <w:rFonts w:ascii="Times New Roman" w:cs="Times New Roman" w:eastAsia="Times New Roman" w:hAnsi="Times New Roman"/>
                <w:sz w:val="14"/>
                <w:szCs w:val="14"/>
                <w:b w:val="1"/>
                <w:bCs w:val="1"/>
                <w:color w:val="auto"/>
              </w:rPr>
              <w:t>(Low PRMT5)</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Ovarian</w:t>
            </w: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7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w w:val="81"/>
              </w:rPr>
              <w:t>~40 mos*</w:t>
            </w:r>
          </w:p>
        </w:tc>
        <w:tc>
          <w:tcPr>
            <w:tcW w:w="7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w w:val="83"/>
              </w:rPr>
              <w:t>&gt;80 mos*</w:t>
            </w:r>
          </w:p>
        </w:tc>
        <w:tc>
          <w:tcPr>
            <w:tcW w:w="7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0.001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Lung</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400</w:t>
            </w:r>
          </w:p>
        </w:tc>
        <w:tc>
          <w:tcPr>
            <w:tcW w:w="1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~45 mos*</w:t>
            </w: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~75 mos*</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&lt;0.0001</w:t>
            </w:r>
          </w:p>
        </w:tc>
        <w:tc>
          <w:tcPr>
            <w:tcW w:w="0" w:type="dxa"/>
            <w:vAlign w:val="bottom"/>
          </w:tcPr>
          <w:p>
            <w:pPr>
              <w:spacing w:after="0"/>
              <w:rPr>
                <w:sz w:val="1"/>
                <w:szCs w:val="1"/>
                <w:color w:val="auto"/>
              </w:rPr>
            </w:pPr>
          </w:p>
        </w:tc>
      </w:tr>
      <w:tr>
        <w:trPr>
          <w:trHeight w:val="214"/>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Lymphoma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~1.6y*</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~5.8y*</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&lt;0.0001</w:t>
            </w:r>
          </w:p>
        </w:tc>
        <w:tc>
          <w:tcPr>
            <w:tcW w:w="0" w:type="dxa"/>
            <w:vAlign w:val="bottom"/>
          </w:tcPr>
          <w:p>
            <w:pPr>
              <w:spacing w:after="0"/>
              <w:rPr>
                <w:sz w:val="1"/>
                <w:szCs w:val="1"/>
                <w:color w:val="auto"/>
              </w:rPr>
            </w:pPr>
          </w:p>
        </w:tc>
      </w:tr>
      <w:tr>
        <w:trPr>
          <w:trHeight w:val="21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GBM</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00" w:type="dxa"/>
            <w:vAlign w:val="bottom"/>
          </w:tcPr>
          <w:p>
            <w:pPr>
              <w:spacing w:after="0"/>
              <w:rPr>
                <w:sz w:val="18"/>
                <w:szCs w:val="18"/>
                <w:color w:val="auto"/>
              </w:rPr>
            </w:pPr>
          </w:p>
        </w:tc>
        <w:tc>
          <w:tcPr>
            <w:tcW w:w="1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108 days</w:t>
            </w:r>
          </w:p>
        </w:tc>
        <w:tc>
          <w:tcPr>
            <w:tcW w:w="1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726 days</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0.0001</w:t>
            </w:r>
          </w:p>
        </w:tc>
        <w:tc>
          <w:tcPr>
            <w:tcW w:w="0" w:type="dxa"/>
            <w:vAlign w:val="bottom"/>
          </w:tcPr>
          <w:p>
            <w:pPr>
              <w:spacing w:after="0"/>
              <w:rPr>
                <w:sz w:val="1"/>
                <w:szCs w:val="1"/>
                <w:color w:val="auto"/>
              </w:rPr>
            </w:pPr>
          </w:p>
        </w:tc>
      </w:tr>
      <w:tr>
        <w:trPr>
          <w:trHeight w:val="214"/>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 and Neck</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209</w:t>
            </w: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~4y*</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~10y*</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0.012</w:t>
            </w:r>
          </w:p>
        </w:tc>
        <w:tc>
          <w:tcPr>
            <w:tcW w:w="0" w:type="dxa"/>
            <w:vAlign w:val="bottom"/>
          </w:tcPr>
          <w:p>
            <w:pPr>
              <w:spacing w:after="0"/>
              <w:rPr>
                <w:sz w:val="1"/>
                <w:szCs w:val="1"/>
                <w:color w:val="auto"/>
              </w:rPr>
            </w:pPr>
          </w:p>
        </w:tc>
      </w:tr>
      <w:tr>
        <w:trPr>
          <w:trHeight w:val="21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Pancreatic</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tcPr>
          <w:p>
            <w:pPr>
              <w:spacing w:after="0"/>
              <w:rPr>
                <w:sz w:val="18"/>
                <w:szCs w:val="18"/>
                <w:color w:val="auto"/>
              </w:rPr>
            </w:pPr>
          </w:p>
        </w:tc>
        <w:tc>
          <w:tcPr>
            <w:tcW w:w="1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~15 mos*</w:t>
            </w: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~30 mos*</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0.015</w:t>
            </w:r>
          </w:p>
        </w:tc>
        <w:tc>
          <w:tcPr>
            <w:tcW w:w="0" w:type="dxa"/>
            <w:vAlign w:val="bottom"/>
          </w:tcPr>
          <w:p>
            <w:pPr>
              <w:spacing w:after="0"/>
              <w:rPr>
                <w:sz w:val="1"/>
                <w:szCs w:val="1"/>
                <w:color w:val="auto"/>
              </w:rPr>
            </w:pPr>
          </w:p>
        </w:tc>
      </w:tr>
      <w:tr>
        <w:trPr>
          <w:trHeight w:val="214"/>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7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~34 mos*</w:t>
            </w:r>
          </w:p>
        </w:tc>
        <w:tc>
          <w:tcPr>
            <w:tcW w:w="1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~83 mos*</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810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information is based on published data in peer-reviewed journals and reflects standard therapeutic intervention.</w:t>
      </w:r>
    </w:p>
    <w:p>
      <w:pPr>
        <w:spacing w:after="0" w:line="26" w:lineRule="exact"/>
        <w:rPr>
          <w:sz w:val="20"/>
          <w:szCs w:val="20"/>
          <w:color w:val="auto"/>
        </w:rPr>
      </w:pPr>
    </w:p>
    <w:p>
      <w:pPr>
        <w:ind w:left="460" w:right="1600" w:hanging="453"/>
        <w:spacing w:after="0" w:line="485" w:lineRule="auto"/>
        <w:tabs>
          <w:tab w:leader="none" w:pos="4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median survival was not explicitly provided in the text, we estimated values from the graphs provided in the publications. </w:t>
      </w:r>
      <w:r>
        <w:rPr>
          <w:rFonts w:ascii="Times New Roman" w:cs="Times New Roman" w:eastAsia="Times New Roman" w:hAnsi="Times New Roman"/>
          <w:sz w:val="18"/>
          <w:szCs w:val="18"/>
          <w:i w:val="1"/>
          <w:iCs w:val="1"/>
          <w:color w:val="auto"/>
        </w:rPr>
        <w:t>PRMT5 Regulates Transcription and Translation of Cancer-related Genes</w:t>
      </w:r>
    </w:p>
    <w:p>
      <w:pPr>
        <w:spacing w:after="0" w:line="1" w:lineRule="exact"/>
        <w:rPr>
          <w:sz w:val="20"/>
          <w:szCs w:val="20"/>
          <w:color w:val="auto"/>
        </w:rPr>
      </w:pPr>
    </w:p>
    <w:p>
      <w:pPr>
        <w:ind w:right="560" w:firstLine="449"/>
        <w:spacing w:after="0" w:line="278" w:lineRule="auto"/>
        <w:rPr>
          <w:sz w:val="20"/>
          <w:szCs w:val="20"/>
          <w:color w:val="auto"/>
        </w:rPr>
      </w:pPr>
      <w:r>
        <w:rPr>
          <w:rFonts w:ascii="Times New Roman" w:cs="Times New Roman" w:eastAsia="Times New Roman" w:hAnsi="Times New Roman"/>
          <w:sz w:val="18"/>
          <w:szCs w:val="18"/>
          <w:color w:val="auto"/>
        </w:rPr>
        <w:t>The oncogenic process controlled by PRMT5 is mediated through the symmetric dimethylation of arginines on its substrate proteins (Figure 1). PRMT5, an intracellular enzyme, transfers two methyl groups from a</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454"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co-factor S-adenosyl methionine, or SAM, and deposits them on its substrate proteins resulting in the formation of a symmetric dimethylarginine, or sDMA, mark. This post-translational modification alters the protein structure, impacts interactions with DNA, and also generates docking sites for effector molecules that can promote tumor cell growth and survival. PRMT5 substrate proteins include:</w:t>
      </w:r>
    </w:p>
    <w:p>
      <w:pPr>
        <w:spacing w:after="0" w:line="78" w:lineRule="exact"/>
        <w:rPr>
          <w:sz w:val="20"/>
          <w:szCs w:val="20"/>
          <w:color w:val="auto"/>
        </w:rPr>
      </w:pPr>
    </w:p>
    <w:p>
      <w:pPr>
        <w:ind w:left="1000" w:hanging="552"/>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Histones </w:t>
      </w:r>
      <w:r>
        <w:rPr>
          <w:rFonts w:ascii="Times New Roman" w:cs="Times New Roman" w:eastAsia="Times New Roman" w:hAnsi="Times New Roman"/>
          <w:sz w:val="18"/>
          <w:szCs w:val="18"/>
          <w:color w:val="auto"/>
        </w:rPr>
        <w:t>– basic proteins that associate with DNA in the nucleus and help condense it into chromatin</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Transcription factors </w:t>
      </w:r>
      <w:r>
        <w:rPr>
          <w:rFonts w:ascii="Times New Roman" w:cs="Times New Roman" w:eastAsia="Times New Roman" w:hAnsi="Times New Roman"/>
          <w:sz w:val="18"/>
          <w:szCs w:val="18"/>
          <w:color w:val="auto"/>
        </w:rPr>
        <w:t>– proteins involved in the process of transcribing DNA into ribonucleic acid, or RNA</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Spliceosomal proteins </w:t>
      </w:r>
      <w:r>
        <w:rPr>
          <w:rFonts w:ascii="Times New Roman" w:cs="Times New Roman" w:eastAsia="Times New Roman" w:hAnsi="Times New Roman"/>
          <w:sz w:val="18"/>
          <w:szCs w:val="18"/>
          <w:color w:val="auto"/>
        </w:rPr>
        <w:t>– large protein complex that removes introns from pre-mRNA to yield mature RNA</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Figure 1. PRMT5 Regulates Oncogenesis and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148705" cy="18599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4870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Through arginine methylation of histones, transcription factors and the spliceosome complex, PRMT5 regulates the expression of genes involved in promoting cancer cell growth and survival.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include cell cycle genes, tumor suppressors, oncogenes, and genes involved in proliferation and signaling.</w:t>
      </w:r>
    </w:p>
    <w:p>
      <w:pPr>
        <w:spacing w:after="0" w:line="18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PRMT5-regulated transcription factors, including cyclin D1 and MYC, have a well-established role in a number of cancers. Conversely, PRMT5-mediated methylation of histones such as H3 and H4 represses a number of tumor suppressor genes including retinoblastoma, or </w:t>
      </w:r>
      <w:r>
        <w:rPr>
          <w:rFonts w:ascii="Times New Roman" w:cs="Times New Roman" w:eastAsia="Times New Roman" w:hAnsi="Times New Roman"/>
          <w:sz w:val="18"/>
          <w:szCs w:val="18"/>
          <w:i w:val="1"/>
          <w:iCs w:val="1"/>
          <w:color w:val="auto"/>
        </w:rPr>
        <w:t>RB</w:t>
      </w:r>
      <w:r>
        <w:rPr>
          <w:rFonts w:ascii="Times New Roman" w:cs="Times New Roman" w:eastAsia="Times New Roman" w:hAnsi="Times New Roman"/>
          <w:sz w:val="18"/>
          <w:szCs w:val="18"/>
          <w:color w:val="auto"/>
        </w:rPr>
        <w:t>, family members, contributing to unchecked proliferation of malignant cells. In addition, PRMT5 symmetrically dimethylates ribosomal binding proteins and modulates mRNA translation of internal ribosome entry site-containing mRNAs, further promoting the generation of oncogenic proteins. Consistent with its role in promoting cancer, PRMT5 inhibition has been shown to decrease tumor growth in preclinical models. Therefore, PRMT5 is believed to serve as an important mediator of cancer progression and can be targeted to treat a range of solid tumors and hematological malignancies. These attributes make PRMT5 an ideal therapeutic target for cancer.</w:t>
      </w:r>
    </w:p>
    <w:p>
      <w:pPr>
        <w:spacing w:after="0" w:line="184"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role of PRMT5 in regulating gene transcription and translation may be particularly relevant in cancers such as ACC where up to 86% of patients harbor the gene fusion of the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xml:space="preserve"> family members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MYBL</w:t>
      </w:r>
      <w:r>
        <w:rPr>
          <w:rFonts w:ascii="Times New Roman" w:cs="Times New Roman" w:eastAsia="Times New Roman" w:hAnsi="Times New Roman"/>
          <w:sz w:val="18"/>
          <w:szCs w:val="18"/>
          <w:color w:val="auto"/>
        </w:rPr>
        <w:t xml:space="preserve">1 with the Nuclear Factor 1B, or </w:t>
      </w:r>
      <w:r>
        <w:rPr>
          <w:rFonts w:ascii="Times New Roman" w:cs="Times New Roman" w:eastAsia="Times New Roman" w:hAnsi="Times New Roman"/>
          <w:sz w:val="18"/>
          <w:szCs w:val="18"/>
          <w:i w:val="1"/>
          <w:iCs w:val="1"/>
          <w:color w:val="auto"/>
        </w:rPr>
        <w:t>NFIB</w:t>
      </w:r>
      <w:r>
        <w:rPr>
          <w:rFonts w:ascii="Times New Roman" w:cs="Times New Roman" w:eastAsia="Times New Roman" w:hAnsi="Times New Roman"/>
          <w:sz w:val="18"/>
          <w:szCs w:val="18"/>
          <w:color w:val="auto"/>
        </w:rPr>
        <w:t xml:space="preserve">, gene. </w:t>
      </w:r>
      <w:r>
        <w:rPr>
          <w:rFonts w:ascii="Times New Roman" w:cs="Times New Roman" w:eastAsia="Times New Roman" w:hAnsi="Times New Roman"/>
          <w:sz w:val="18"/>
          <w:szCs w:val="18"/>
          <w:i w:val="1"/>
          <w:iCs w:val="1"/>
          <w:color w:val="auto"/>
        </w:rPr>
        <w:t>MYB or MYBL1</w:t>
      </w:r>
      <w:r>
        <w:rPr>
          <w:rFonts w:ascii="Times New Roman" w:cs="Times New Roman" w:eastAsia="Times New Roman" w:hAnsi="Times New Roman"/>
          <w:sz w:val="18"/>
          <w:szCs w:val="18"/>
          <w:color w:val="auto"/>
        </w:rPr>
        <w:t xml:space="preserve"> gene fusions lead to overexpression of the MYB/MYBL1 protein. Published data demonstrate that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xml:space="preserve"> overexpression is important for driving cell proliferation and tumor growth in preclinical ACC models. In addition, our internal data illustrate that PRMT5 inhibition decreased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xml:space="preserve"> expression levels in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-dependent preclinical models and inhibited tumor growth in PDX models of ACC. Recent evidence of clinical activity with a third party PRMT5 inhibitor in patients with ACC further validates PRMT5 as a potential target mechanism in this highly underserved cancer.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454"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PRMT5 Regulates mRNA Splicing in Cancer Cells</w:t>
      </w:r>
    </w:p>
    <w:p>
      <w:pPr>
        <w:spacing w:after="0" w:line="116"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 xml:space="preserve">In addition to regulating transcription, PRMT5 also modulates gene expression by controlling mRNA splicing. Splicing is a fundamental cellular process that involves the removal of noncoding sequences from the precursor mRNA to produce the mature form that encodes for protein. In the absence of correct mRNA splicing, mutated or unstable proteins are produced, ultimately leading to cell cycle defects, senescence and apoptosis. The splicing reaction is carried out by a multi-protein/RNA complex called the spliceosome. PRMT5 plays an important role in the splicing of mRNA through methylation of spliceosome protein, which is critical for the assembly of the spliceosome complex and its function. In preclinical models, tumors with high degrees of proliferation, such as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-driven tumors, were associated with increased activity of PRMT5 to maintain the fidelity of the spliceosome, demonstrating the importance of PRMT5 in this process.</w:t>
      </w:r>
    </w:p>
    <w:p>
      <w:pPr>
        <w:spacing w:after="0" w:line="184" w:lineRule="exact"/>
        <w:rPr>
          <w:sz w:val="20"/>
          <w:szCs w:val="20"/>
          <w:color w:val="auto"/>
        </w:rPr>
      </w:pPr>
    </w:p>
    <w:p>
      <w:pPr>
        <w:ind w:right="260" w:firstLine="449"/>
        <w:spacing w:after="0" w:line="254" w:lineRule="auto"/>
        <w:rPr>
          <w:sz w:val="20"/>
          <w:szCs w:val="20"/>
          <w:color w:val="auto"/>
        </w:rPr>
      </w:pPr>
      <w:r>
        <w:rPr>
          <w:rFonts w:ascii="Times New Roman" w:cs="Times New Roman" w:eastAsia="Times New Roman" w:hAnsi="Times New Roman"/>
          <w:sz w:val="18"/>
          <w:szCs w:val="18"/>
          <w:color w:val="auto"/>
        </w:rPr>
        <w:t>The role of PRMT5 in regulating mRNA splicing may be most relevant in cancers with spliceosomal mutations or those that are dependent on high splicing fidelity, such as GBM. Spliceosomal mutations also occur in more than 50% of MDS patients and at lower frequencies in other tumor types including MF, chronic myelomonocytic leukemia, AML, NHL, MM, chronic lymphocytic leukemia, or CLL, and uveal melanoma. These spliceosomal alterations are often correlated with higher mutational burden and/or poor prognosis. In models of AML, preclinical data demonstrated that PRMT5 inhibition resulted in higher levels of suppression of the growth of cancer cells containing mutated spliceosome proteins compared to those containing unmutated spliceosome proteins.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Synthetic lethality from PRMT5 inhibition in certain settings</w:t>
      </w:r>
    </w:p>
    <w:p>
      <w:pPr>
        <w:spacing w:after="0" w:line="116" w:lineRule="exact"/>
        <w:rPr>
          <w:sz w:val="20"/>
          <w:szCs w:val="20"/>
          <w:color w:val="auto"/>
        </w:rPr>
      </w:pPr>
    </w:p>
    <w:p>
      <w:pPr>
        <w:ind w:right="20" w:firstLine="449"/>
        <w:spacing w:after="0" w:line="270" w:lineRule="auto"/>
        <w:rPr>
          <w:sz w:val="20"/>
          <w:szCs w:val="20"/>
          <w:color w:val="auto"/>
        </w:rPr>
      </w:pPr>
      <w:r>
        <w:rPr>
          <w:rFonts w:ascii="Times New Roman" w:cs="Times New Roman" w:eastAsia="Times New Roman" w:hAnsi="Times New Roman"/>
          <w:sz w:val="17"/>
          <w:szCs w:val="17"/>
          <w:color w:val="auto"/>
        </w:rPr>
        <w:t xml:space="preserve">Synthetic lethality applies to specific pairs of genes. A synthetic lethal interaction occurs when a deficiency in either gene alone is viable whereas a deficiency in both genes simultaneously results in cell death. In cancer, synthetic lethality can be exploited to selectively kill cancer cells in which one gene in the pair is mutated or deleted in the tumor cell and the remaining second gene is therapeutically inhibited. This leads to death of the cancer cells whereas normal cells, which lack the specific genetic alteration, are spared the effect of the drug. In the case of PRMT5, it has been demonstrated that certain genomic alterations confer a selective dependence on PRMT5 so that PRMT5 inhibition can be utilized to produce a synthetic lethal effect. For example, PRMT5 inhibition shows a modest preferential impairment of cell viability in methylthioadenosine phosphorylase, or </w:t>
      </w:r>
      <w:r>
        <w:rPr>
          <w:rFonts w:ascii="Times New Roman" w:cs="Times New Roman" w:eastAsia="Times New Roman" w:hAnsi="Times New Roman"/>
          <w:sz w:val="17"/>
          <w:szCs w:val="17"/>
          <w:i w:val="1"/>
          <w:iCs w:val="1"/>
          <w:color w:val="auto"/>
        </w:rPr>
        <w:t>MTAP</w:t>
      </w:r>
      <w:r>
        <w:rPr>
          <w:rFonts w:ascii="Times New Roman" w:cs="Times New Roman" w:eastAsia="Times New Roman" w:hAnsi="Times New Roman"/>
          <w:sz w:val="17"/>
          <w:szCs w:val="17"/>
          <w:color w:val="auto"/>
        </w:rPr>
        <w:t xml:space="preserve">, -null cancer cells compared to normal cells, suggesting that PRMT5 inhibitors could produce a synthetic lethal effect in GBM, in which nearly half of the patients carry the </w:t>
      </w:r>
      <w:r>
        <w:rPr>
          <w:rFonts w:ascii="Times New Roman" w:cs="Times New Roman" w:eastAsia="Times New Roman" w:hAnsi="Times New Roman"/>
          <w:sz w:val="17"/>
          <w:szCs w:val="17"/>
          <w:i w:val="1"/>
          <w:iCs w:val="1"/>
          <w:color w:val="auto"/>
        </w:rPr>
        <w:t>MTAP</w:t>
      </w:r>
      <w:r>
        <w:rPr>
          <w:rFonts w:ascii="Times New Roman" w:cs="Times New Roman" w:eastAsia="Times New Roman" w:hAnsi="Times New Roman"/>
          <w:sz w:val="17"/>
          <w:szCs w:val="17"/>
          <w:color w:val="auto"/>
        </w:rPr>
        <w:t xml:space="preserve"> deletion.</w:t>
      </w:r>
    </w:p>
    <w:p>
      <w:pPr>
        <w:spacing w:after="0" w:line="17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synthetic lethal effect of pharmacological inhibitors of DNA repair mechanisms such as poly ADP-ribose polymerases, or PARPs, have been successfully utilized in the treatment of HRD+ cancers. HRD+ can occur as a result of genetic or epigenetic mechanisms that result in loss of genes such as breast cancer genes, or </w:t>
      </w:r>
      <w:r>
        <w:rPr>
          <w:rFonts w:ascii="Times New Roman" w:cs="Times New Roman" w:eastAsia="Times New Roman" w:hAnsi="Times New Roman"/>
          <w:sz w:val="18"/>
          <w:szCs w:val="18"/>
          <w:i w:val="1"/>
          <w:iCs w:val="1"/>
          <w:color w:val="auto"/>
        </w:rPr>
        <w:t>BRCA1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BRCA2</w:t>
      </w:r>
      <w:r>
        <w:rPr>
          <w:rFonts w:ascii="Times New Roman" w:cs="Times New Roman" w:eastAsia="Times New Roman" w:hAnsi="Times New Roman"/>
          <w:sz w:val="18"/>
          <w:szCs w:val="18"/>
          <w:color w:val="auto"/>
        </w:rPr>
        <w:t>, that are required for efficient DNA repair. More recent data support the potential synthetic lethality of PRMT5 inhibition in tumors that are HRD+ due to the role of PRMT5 in DNA repair (Figure 2). PRMT5 upregulates the transcription of genes involved in HR repair to regulate the DNA damage repair response. PRMT5 inhibition has been shown preclinically to decrease expression of these genes to induce cell death, supporting the potential of PRMT5 inhibitors in HRD+ tumors.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20"/>
          </w:cols>
          <w:pgMar w:left="320" w:top="454" w:right="3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Figure 2. PRMT5 Inhibition in HRD+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5384165" cy="26244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8416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 xml:space="preserve">PRMT5 upregulates the expression of DNA repair genes including </w:t>
      </w:r>
      <w:r>
        <w:rPr>
          <w:rFonts w:ascii="Times New Roman" w:cs="Times New Roman" w:eastAsia="Times New Roman" w:hAnsi="Times New Roman"/>
          <w:sz w:val="14"/>
          <w:szCs w:val="14"/>
          <w:i w:val="1"/>
          <w:iCs w:val="1"/>
          <w:color w:val="auto"/>
        </w:rPr>
        <w:t>BRCA1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BRCA2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RAD51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RAD51D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Ku80</w:t>
      </w:r>
      <w:r>
        <w:rPr>
          <w:rFonts w:ascii="Times New Roman" w:cs="Times New Roman" w:eastAsia="Times New Roman" w:hAnsi="Times New Roman"/>
          <w:sz w:val="14"/>
          <w:szCs w:val="14"/>
          <w:color w:val="auto"/>
        </w:rPr>
        <w:t>. Inhibition of PRMT5 reduces expression of these genes and prevents DNA repair, inducing a state of “</w:t>
      </w:r>
      <w:r>
        <w:rPr>
          <w:rFonts w:ascii="Times New Roman" w:cs="Times New Roman" w:eastAsia="Times New Roman" w:hAnsi="Times New Roman"/>
          <w:sz w:val="14"/>
          <w:szCs w:val="14"/>
          <w:i w:val="1"/>
          <w:iCs w:val="1"/>
          <w:color w:val="auto"/>
        </w:rPr>
        <w:t>BRCA</w:t>
      </w:r>
      <w:r>
        <w:rPr>
          <w:rFonts w:ascii="Times New Roman" w:cs="Times New Roman" w:eastAsia="Times New Roman" w:hAnsi="Times New Roman"/>
          <w:sz w:val="14"/>
          <w:szCs w:val="14"/>
          <w:color w:val="auto"/>
        </w:rPr>
        <w:t>ness” and leading to tumor cell death as well as synergy in combination with PARP inhibitors.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these data support the development of PRMT5 inhibitors in select solid tumors and hematologic malignancies.</w:t>
      </w:r>
    </w:p>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Designing Optimized PRMT5 Inhibitors</w:t>
      </w:r>
    </w:p>
    <w:p>
      <w:pPr>
        <w:spacing w:after="0" w:line="118" w:lineRule="exact"/>
        <w:rPr>
          <w:sz w:val="20"/>
          <w:szCs w:val="20"/>
          <w:color w:val="auto"/>
        </w:rPr>
      </w:pPr>
    </w:p>
    <w:p>
      <w:pPr>
        <w:ind w:firstLine="449"/>
        <w:spacing w:after="0" w:line="274" w:lineRule="auto"/>
        <w:rPr>
          <w:sz w:val="20"/>
          <w:szCs w:val="20"/>
          <w:color w:val="auto"/>
        </w:rPr>
      </w:pPr>
      <w:r>
        <w:rPr>
          <w:rFonts w:ascii="Times New Roman" w:cs="Times New Roman" w:eastAsia="Times New Roman" w:hAnsi="Times New Roman"/>
          <w:sz w:val="17"/>
          <w:szCs w:val="17"/>
          <w:color w:val="auto"/>
        </w:rPr>
        <w:t>PRMT5 has strong scientific rationale for its targeting in the treatment of cancer, as its inhibition has been shown to suppress tumor growth and produce synthetic lethality preclinically. PRMT5 contains two binding sites, a substrate and a cofactor (SAM), providing two distinct modes-of-inhibition of PRMT5 (Figure 3). We utilized X-ray crystal structures of PRMT5 to rapidly design and synthesize SAM cofactor mimetic inhibitors that are highly selective for PRMT5, distinct from a substrate competitive inhibitor approach. Given that SAM contributes the methyl group to all of the PRMT5 substrates, we believe this approach gives us an opportunity to more broadly modulate the activity of PRMT5 compared to a substrate competitive inhibitor.</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Figure 3. Binding Mode of Prelude PRMT5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168910</wp:posOffset>
            </wp:positionV>
            <wp:extent cx="3533140" cy="17240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3314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00"/>
          </w:cols>
          <w:pgMar w:left="320" w:top="454" w:right="3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 xml:space="preserve">We rationally designed and synthesized more than 600 compounds during the optimization of our lead product candidates to not only improve potency, but also to simultaneously build in ADME and pharmaceutical properties. These efforts led to selection of our first compound, PRT543, a novel SAM mimetic, that is designed to be a highly potent and selective PRMT5 inhibitor. In addition, to create a PRMT5 inhibitor with the potential for high brain exposure, we optimized the molecular and physicochemical properties of our SAM competitive leads using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to screen for compounds with low efflux potential followed by confirmatory brain exposure studies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Our second compound, PRT811, is a novel brain penetrant PRMT5 inhibitor. These molecules are differentiated by their mode of inhibition and their potency, which compare favorably to the most advanced PRMT5 inhibitor in development, GSK3326595. PRT543 and PRT811 were selected to advance into clinical development because they have well balanced properties, which we believe will lead to an increase in the probability of clinical activity.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PRT543</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6"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 xml:space="preserve">We are currently advancing our first clinical candidate PRT543, an oral inhibitor of PRMT5 in a Phase 1 clinical trial in advanced solid tumors and select myeloid malignancies. Upon establishing a recommended expansion dose, we plan to begin enrolling patients in the expansion portion of the Phase 1 program in select tumor types that are potentially driven by </w:t>
      </w:r>
      <w:r>
        <w:rPr>
          <w:rFonts w:ascii="Times New Roman" w:cs="Times New Roman" w:eastAsia="Times New Roman" w:hAnsi="Times New Roman"/>
          <w:sz w:val="18"/>
          <w:szCs w:val="18"/>
          <w:i w:val="1"/>
          <w:iCs w:val="1"/>
          <w:color w:val="auto"/>
        </w:rPr>
        <w:t>PRMT5</w:t>
      </w:r>
      <w:r>
        <w:rPr>
          <w:rFonts w:ascii="Times New Roman" w:cs="Times New Roman" w:eastAsia="Times New Roman" w:hAnsi="Times New Roman"/>
          <w:sz w:val="18"/>
          <w:szCs w:val="18"/>
          <w:color w:val="auto"/>
        </w:rPr>
        <w:t xml:space="preserve"> dysregulation. These tumor types include ACC, MF, genomically selected MDS, and genomically selected HRD+ tumors. We anticipate enrollment into these expansion cohorts to begin in the second half of 2020 and clinical data beginning in the first half of 2021. We then plan to initiate interactions with the regulatory authorities regarding the design of pivotal trial(s) to enable potential registration of PRT543.</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Preclinical Results - Summary</w:t>
      </w:r>
    </w:p>
    <w:p>
      <w:pPr>
        <w:spacing w:after="0" w:line="114"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we observed that PRT543 is potent and highly selective in biochemical assays. In cellular assays PRT543 treatment resulted in a dose-dependent reduction in symmetric dimethylation of arginine, or sDMA, levels, a direct readout of PRMT5 activity, in tumor cell lines. PRT543 inhibited the proliferation of a panel of cell lines representative of both hematologic and solid tumor types both as monotherapy and in combination with other targeted therapies. PRT543 was active in cell lines that are resistant to other targeted agents.</w:t>
      </w:r>
    </w:p>
    <w:p>
      <w:pPr>
        <w:spacing w:after="0" w:line="180"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PRT543 demonstrated high oral bioavailability (F%&gt;100% in rats; 65%, in dogs) and a long half-life (~5-10h in rats and ~20h dogs). PRT543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exhibited activity in a range of xenograft and PDX models of solid tumors and hematologic malignancies, including ACC, AML and MF. In these tumor models, PRT543 demonstrated a clear dose-response relationship between suppression of sDMA levels and tumor growth inhibition, or TGI, establishing a link between target engagement and preclinical activity. These data define the target plasma drug concentration and sDMA inhibition goals in the dose escalation portion of human clinical trials.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 Vitro Potency and Selectivity</w:t>
      </w:r>
    </w:p>
    <w:p>
      <w:pPr>
        <w:spacing w:after="0" w:line="114" w:lineRule="exact"/>
        <w:rPr>
          <w:sz w:val="20"/>
          <w:szCs w:val="20"/>
          <w:color w:val="auto"/>
        </w:rPr>
      </w:pPr>
    </w:p>
    <w:p>
      <w:pPr>
        <w:ind w:right="100" w:firstLine="449"/>
        <w:spacing w:after="0" w:line="276" w:lineRule="auto"/>
        <w:rPr>
          <w:sz w:val="20"/>
          <w:szCs w:val="20"/>
          <w:color w:val="auto"/>
        </w:rPr>
      </w:pPr>
      <w:r>
        <w:rPr>
          <w:rFonts w:ascii="Times New Roman" w:cs="Times New Roman" w:eastAsia="Times New Roman" w:hAnsi="Times New Roman"/>
          <w:sz w:val="17"/>
          <w:szCs w:val="17"/>
          <w:color w:val="auto"/>
        </w:rPr>
        <w:t xml:space="preserve">We investigated the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potency of PRT543 to inhibit the methyltransferase activity of human recombinant PRMT5 by measuring its IC</w:t>
      </w:r>
      <w:r>
        <w:rPr>
          <w:rFonts w:ascii="Times New Roman" w:cs="Times New Roman" w:eastAsia="Times New Roman" w:hAnsi="Times New Roman"/>
          <w:sz w:val="14"/>
          <w:szCs w:val="14"/>
          <w:color w:val="auto"/>
        </w:rPr>
        <w:t>50</w:t>
      </w:r>
      <w:r>
        <w:rPr>
          <w:rFonts w:ascii="Times New Roman" w:cs="Times New Roman" w:eastAsia="Times New Roman" w:hAnsi="Times New Roman"/>
          <w:sz w:val="17"/>
          <w:szCs w:val="17"/>
          <w:color w:val="auto"/>
        </w:rPr>
        <w:t>. IC</w:t>
      </w:r>
      <w:r>
        <w:rPr>
          <w:rFonts w:ascii="Times New Roman" w:cs="Times New Roman" w:eastAsia="Times New Roman" w:hAnsi="Times New Roman"/>
          <w:sz w:val="14"/>
          <w:szCs w:val="14"/>
          <w:color w:val="auto"/>
        </w:rPr>
        <w:t>50</w:t>
      </w:r>
      <w:r>
        <w:rPr>
          <w:rFonts w:ascii="Times New Roman" w:cs="Times New Roman" w:eastAsia="Times New Roman" w:hAnsi="Times New Roman"/>
          <w:sz w:val="17"/>
          <w:szCs w:val="17"/>
          <w:color w:val="auto"/>
        </w:rPr>
        <w:t xml:space="preserve"> is a quantitative measure of how much of a compound is needed to inhibit a biological process by 50%. In this assay, we observed the IC</w:t>
      </w:r>
      <w:r>
        <w:rPr>
          <w:rFonts w:ascii="Times New Roman" w:cs="Times New Roman" w:eastAsia="Times New Roman" w:hAnsi="Times New Roman"/>
          <w:sz w:val="14"/>
          <w:szCs w:val="14"/>
          <w:color w:val="auto"/>
        </w:rPr>
        <w:t>50</w:t>
      </w:r>
      <w:r>
        <w:rPr>
          <w:rFonts w:ascii="Times New Roman" w:cs="Times New Roman" w:eastAsia="Times New Roman" w:hAnsi="Times New Roman"/>
          <w:sz w:val="17"/>
          <w:szCs w:val="17"/>
          <w:color w:val="auto"/>
        </w:rPr>
        <w:t xml:space="preserve"> of PRT543 to be</w:t>
      </w: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 xml:space="preserve">10.8 nM. We also investigated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selectivity of PRT543 for PRMT5 as compared to a panel of 36 other human methyltransferases. When tested at a concentration 1,000 times above its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for PRMT5, we observed that PRT543 exhibited minimal inhibition of CARM1 (36.5% at 10 µM) and no inhibition of any other human methyltransferase tested.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454" w:right="3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PRT543 potently reduced sDMA levels, a direct readout of PRMT5 activity, in cells</w:t>
      </w:r>
    </w:p>
    <w:p>
      <w:pPr>
        <w:spacing w:after="0" w:line="11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We determined the potency of PRT543 to inhibit PRMT5 in cells by measuring levels of sDMA, a direct measure of PRMT5 activity. Tumor cell lines were treated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with various concentrations of PRT543 for three days and the PRT543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value to inhibit sDMA determined. We observed that PRT543 potently and dose-dependently reduced sDMA levels in tumor cell lines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with nanomolar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values (Figure 4). These data demonstrate on-target effects of PRT543 in cells.</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 xml:space="preserve">Figure 4. PRT543 Dose-Dependently Reduced sDMA Levels in Tumor Cell Lines </w:t>
      </w:r>
      <w:r>
        <w:rPr>
          <w:rFonts w:ascii="Times New Roman" w:cs="Times New Roman" w:eastAsia="Times New Roman" w:hAnsi="Times New Roman"/>
          <w:sz w:val="18"/>
          <w:szCs w:val="18"/>
          <w:i w:val="1"/>
          <w:iCs w:val="1"/>
          <w:u w:val="single" w:color="auto"/>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5163185" cy="15881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63185"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Western blot demonstrating concentration-dependent reduction of symmetrically dimethylated SMD3, a known PRMT5 substrate, following 3 days of PRT543 treatment in indicated cell lines.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Granta-519 is a MCL cell line and SET-2 is a JAK2 V617F mutant AML cell line.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PRT543 inhibits the proliferation of a broad panel of cell lines in vitro</w:t>
      </w:r>
    </w:p>
    <w:p>
      <w:pPr>
        <w:spacing w:after="0" w:line="116"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 xml:space="preserve">We investigated the potency of PRT543 to inhibit the proliferation of a panel of cell lines representative of both hematologic malignancies and solid tumors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Tumor cell lines were treated with various concentrations of PRT543 and the number of viable cells was measured after ten days in culture. We observed that PRT543 inhibited the growth of cell lines representative of both solid tumors and hematologic malignancies with nanomolar potencies, demonstrating its broad anti-tumor effects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(Figure 5).</w:t>
      </w:r>
    </w:p>
    <w:p>
      <w:pPr>
        <w:spacing w:after="0" w:line="178"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 xml:space="preserve">We also explored whether PRT543 was active in primary cells or cell lines known to be resistant to specific targeted therapies.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we observed that PRT543 inhibited the growth of primary AML patient samples, including those shown to be resistant to the BCL2 inhibitor, venetoclax, or the FLT3 inhibitor, gilteritinib, two currently approved therapies for AML patients. Additionally, PRT543 demonstrated activity in a cell line rendered insensitive to JAK inhibitors, suggesting that PRMT5 inhibition may overcome resistance to other targeted therapies.</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Figure 5: Broad Antiproliferative Activity of PRT543 in a Cancer Cell Line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139815" cy="15030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39815" cy="150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Profile of the anti-proliferative response to PRT543 in a panel of 85 cell lines following 10 days of treatment. Baseline corresponds to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14"/>
          <w:szCs w:val="14"/>
          <w:color w:val="auto"/>
        </w:rPr>
        <w:t xml:space="preserve"> = 250 nM. Bars below the baseline represent cell lines where PRT543 demonstrates more potent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14"/>
          <w:szCs w:val="14"/>
          <w:color w:val="auto"/>
        </w:rPr>
        <w:t xml:space="preserve"> values and bars above the baseline are less potent.</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80"/>
          </w:cols>
          <w:pgMar w:left="320" w:top="454" w:right="3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 xml:space="preserve">Given the role of PRMT5 in DNA repair, we investigated the effects of PRT543 to inhibit the growth of HRD+ tumor cell lines. Two HRD+ breast cancer cell lines, MDA-MB-436 and MDA-MB-468, were treated with various concentrations of PRT543 and the number of viable cells was measured after 10 days in culture. We observed that PRT543 demonstrated potent activity in blocking the growth of these cell lines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with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values of 50-150 nM (Figure 6). Consistent with this, PRT543 decreased levels of expression of a number of genes involved in DNA repair, including </w:t>
      </w:r>
      <w:r>
        <w:rPr>
          <w:rFonts w:ascii="Times New Roman" w:cs="Times New Roman" w:eastAsia="Times New Roman" w:hAnsi="Times New Roman"/>
          <w:sz w:val="18"/>
          <w:szCs w:val="18"/>
          <w:i w:val="1"/>
          <w:iCs w:val="1"/>
          <w:color w:val="auto"/>
        </w:rPr>
        <w:t>BRCA1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BRCA2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ATR</w:t>
      </w:r>
      <w:r>
        <w:rPr>
          <w:rFonts w:ascii="Times New Roman" w:cs="Times New Roman" w:eastAsia="Times New Roman" w:hAnsi="Times New Roman"/>
          <w:sz w:val="18"/>
          <w:szCs w:val="18"/>
          <w:color w:val="auto"/>
        </w:rPr>
        <w:t>, and was synergistic in combination with PARP inhibitors.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Figure 6. PRT543 Inhibits the Growth of HRD+ Breast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1587500</wp:posOffset>
            </wp:positionV>
            <wp:extent cx="7810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81050" cy="825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168910</wp:posOffset>
            </wp:positionV>
            <wp:extent cx="2590165" cy="13335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90165" cy="133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4"/>
          <w:szCs w:val="14"/>
          <w:color w:val="auto"/>
        </w:rPr>
        <w:t>Two HRD+ breast cancer cell lines, MDA-MB-436 and MDA-MB-468, were treated for 10 days with PRT543 and effects on cell proliferation determined. Data are plotted relative to DMSO control.</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 vivo, PRT543 demonstrated a correlation between sDMA inhibition and efficacy</w:t>
      </w:r>
    </w:p>
    <w:p>
      <w:pPr>
        <w:spacing w:after="0" w:line="11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we investigated the ability of PRT543 to reduce sDMA levels in tumor tissues and in plasma in several models, including the SET2 model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AML. PRT543 doses of 5 mg/kg, 15 mg/kg or 30 mg/kg were administered orally to tumor-bearing mice, once daily, for 28 days. As shown in Figure 7, we observed that PRT543 dose-dependently reduced sDMA levels in the tumor, indicating it inhibited cellular PRMT5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PRT543 demonstrated approximately 90% inhibition of sDMA levels in the tumor at the 30 mg/kg and 15 mg/kg once-a-day, or q.d., doses. It should be noted that at doses that result in a 90% reduction in tumor sDMA, approximately 50% reduction in plasma sDMA levels was observed, suggesting that tumor sDMA may be a more sensitive readout. PRT543 at both dose levels demonstrated significant anti-tumor activity (Figure 7). Collectively, results from these preclinical models support targeting 50% inhibition of plasma or serum sDMA in Phase 1 dose escalation to establish a pharmacologically active dose.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Figure 7. PRT543 PD/Efficacy Relationship in Preclinical Models</w:t>
      </w:r>
    </w:p>
    <w:p>
      <w:pPr>
        <w:spacing w:after="0" w:line="244" w:lineRule="exact"/>
        <w:rPr>
          <w:sz w:val="20"/>
          <w:szCs w:val="20"/>
          <w:color w:val="auto"/>
        </w:rPr>
      </w:pPr>
    </w:p>
    <w:p>
      <w:pPr>
        <w:ind w:left="2760"/>
        <w:spacing w:after="0"/>
        <w:tabs>
          <w:tab w:leader="none" w:pos="8280" w:val="left"/>
        </w:tabs>
        <w:rPr>
          <w:sz w:val="20"/>
          <w:szCs w:val="20"/>
          <w:color w:val="auto"/>
        </w:rPr>
      </w:pPr>
      <w:r>
        <w:rPr>
          <w:rFonts w:ascii="Times New Roman" w:cs="Times New Roman" w:eastAsia="Times New Roman" w:hAnsi="Times New Roman"/>
          <w:sz w:val="18"/>
          <w:szCs w:val="18"/>
          <w:b w:val="1"/>
          <w:bCs w:val="1"/>
          <w:color w:val="auto"/>
        </w:rPr>
        <w:t>PD</w:t>
      </w:r>
      <w:r>
        <w:rPr>
          <w:sz w:val="20"/>
          <w:szCs w:val="20"/>
          <w:color w:val="auto"/>
        </w:rPr>
        <w:tab/>
      </w:r>
      <w:r>
        <w:rPr>
          <w:rFonts w:ascii="Times New Roman" w:cs="Times New Roman" w:eastAsia="Times New Roman" w:hAnsi="Times New Roman"/>
          <w:sz w:val="18"/>
          <w:szCs w:val="18"/>
          <w:b w:val="1"/>
          <w:bCs w:val="1"/>
          <w:color w:val="auto"/>
        </w:rPr>
        <w:t>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545465</wp:posOffset>
            </wp:positionV>
            <wp:extent cx="7810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81050" cy="8255"/>
                    </a:xfrm>
                    <a:prstGeom prst="rect">
                      <a:avLst/>
                    </a:prstGeom>
                    <a:noFill/>
                  </pic:spPr>
                </pic:pic>
              </a:graphicData>
            </a:graphic>
          </wp:anchor>
        </w:drawing>
        <w:drawing>
          <wp:anchor simplePos="0" relativeHeight="251657728" behindDoc="1" locked="0" layoutInCell="0" allowOverlap="1">
            <wp:simplePos x="0" y="0"/>
            <wp:positionH relativeFrom="column">
              <wp:posOffset>1218565</wp:posOffset>
            </wp:positionH>
            <wp:positionV relativeFrom="paragraph">
              <wp:posOffset>171450</wp:posOffset>
            </wp:positionV>
            <wp:extent cx="1214120" cy="280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14120" cy="28003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171450</wp:posOffset>
            </wp:positionV>
            <wp:extent cx="373380" cy="280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7338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4"/>
          <w:szCs w:val="14"/>
          <w:color w:val="auto"/>
        </w:rPr>
        <w:t xml:space="preserve">Oral administration of PRT543 leads to dose-dependent decreases in tumor sDMA and TGI in the SET-2 AML model, Western blot showing sDMA reduction in SET-2 tumor tissue collected 4 hours after the last dose, at the end of a 28-day study. Efficacy data represent mean ± SEM with 8 mice/group. *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&lt; 0.05, **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&lt; 0.01 vs. vehicle by Mann-Whitney U test.</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80"/>
          </w:cols>
          <w:pgMar w:left="320" w:top="454" w:right="39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PRT543 is active in models of ACC and MF in vivo</w:t>
      </w:r>
    </w:p>
    <w:p>
      <w:pPr>
        <w:spacing w:after="0" w:line="114"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we observed that PRT543 decreased the expression of the</w:t>
      </w:r>
      <w:r>
        <w:rPr>
          <w:rFonts w:ascii="Times New Roman" w:cs="Times New Roman" w:eastAsia="Times New Roman" w:hAnsi="Times New Roman"/>
          <w:sz w:val="18"/>
          <w:szCs w:val="18"/>
          <w:i w:val="1"/>
          <w:iCs w:val="1"/>
          <w:color w:val="auto"/>
        </w:rPr>
        <w:t xml:space="preserve"> MYB </w:t>
      </w:r>
      <w:r>
        <w:rPr>
          <w:rFonts w:ascii="Times New Roman" w:cs="Times New Roman" w:eastAsia="Times New Roman" w:hAnsi="Times New Roman"/>
          <w:sz w:val="18"/>
          <w:szCs w:val="18"/>
          <w:color w:val="auto"/>
        </w:rPr>
        <w:t>oncogene as well as</w:t>
      </w:r>
      <w:r>
        <w:rPr>
          <w:rFonts w:ascii="Times New Roman" w:cs="Times New Roman" w:eastAsia="Times New Roman" w:hAnsi="Times New Roman"/>
          <w:sz w:val="18"/>
          <w:szCs w:val="18"/>
          <w:i w:val="1"/>
          <w:iCs w:val="1"/>
          <w:color w:val="auto"/>
        </w:rPr>
        <w:t xml:space="preserve"> MYB</w:t>
      </w:r>
      <w:r>
        <w:rPr>
          <w:rFonts w:ascii="Times New Roman" w:cs="Times New Roman" w:eastAsia="Times New Roman" w:hAnsi="Times New Roman"/>
          <w:sz w:val="18"/>
          <w:szCs w:val="18"/>
          <w:color w:val="auto"/>
        </w:rPr>
        <w:t>-regulated genes in head and neck cancer cell 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Because the activity of the MYB oncogene may be important in ACC, where approximately 90% of patients have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xml:space="preserve"> alterations, we investigated whether PRT543 was active in a PDX model of ACC, ACCx9. PRT543 doses of 25 mg/kg and 35 mg/kg were administered orally to tumor-bearing mice, twice daily, for 28 days. We observed that both doses of PRT543 inhibited tumor growth in this PDX model of ACC (Figure 8). These data support the clinical development of PRT543 in ACC.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 xml:space="preserve">Figure 8. PRT543 Demonstrated Activity in PDX Models of ACC </w:t>
      </w:r>
      <w:r>
        <w:rPr>
          <w:rFonts w:ascii="Times New Roman" w:cs="Times New Roman" w:eastAsia="Times New Roman" w:hAnsi="Times New Roman"/>
          <w:sz w:val="18"/>
          <w:szCs w:val="18"/>
          <w:i w:val="1"/>
          <w:iCs w:val="1"/>
          <w:u w:val="single" w:color="auto"/>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1826260</wp:posOffset>
            </wp:positionV>
            <wp:extent cx="7810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81050"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170180</wp:posOffset>
            </wp:positionV>
            <wp:extent cx="2148840" cy="15709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48840" cy="157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PRT543 oral administration decreased tumor growth in the ACCX9 PDX model of ACC. Data represent mean ± SEM with 8 mice/group.</w:t>
      </w:r>
    </w:p>
    <w:p>
      <w:pPr>
        <w:spacing w:after="0" w:line="202"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addition to studies in ACC models, we observed that PRT543 was active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solid tumor models representative of bladder cancer and small cell lung cancer at well-tolerated doses. PRT543 was also active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models of hematological malignancies, including AML and mantle cell lymphoma. In the Granta-519 model of mantle cell lymphoma, PRT543 demonstrated single agent activity and was synergistic in combination with the approved BCL2 inhibitor, venetoclax (Figure 9).</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 xml:space="preserve">Figure 9. PRT543 is Active as Monotherapy and in Combination </w:t>
      </w:r>
      <w:r>
        <w:rPr>
          <w:rFonts w:ascii="Times New Roman" w:cs="Times New Roman" w:eastAsia="Times New Roman" w:hAnsi="Times New Roman"/>
          <w:sz w:val="18"/>
          <w:szCs w:val="18"/>
          <w:i w:val="1"/>
          <w:iCs w:val="1"/>
          <w:u w:val="single" w:color="auto"/>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391160</wp:posOffset>
            </wp:positionV>
            <wp:extent cx="7810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120"/>
        <w:spacing w:after="0" w:line="238" w:lineRule="auto"/>
        <w:rPr>
          <w:sz w:val="20"/>
          <w:szCs w:val="20"/>
          <w:color w:val="auto"/>
        </w:rPr>
      </w:pPr>
      <w:r>
        <w:rPr>
          <w:rFonts w:ascii="Times New Roman" w:cs="Times New Roman" w:eastAsia="Times New Roman" w:hAnsi="Times New Roman"/>
          <w:sz w:val="14"/>
          <w:szCs w:val="14"/>
          <w:color w:val="auto"/>
        </w:rPr>
        <w:t xml:space="preserve">Oral administration of PRT543 led to dose-dependent TGI in the Granta-519 MCL xenograft model. Combination of PRT543 and venetoclax resulted in significant TGI at doses that did not show activity as monotherapy for both agents in the Granta-519 xenograft model. The doses tested in the combination arm of the study were 20 mg/kg QD of PRT543 and 30 mg/kg QD of venetoclax. Data represent mean ± SEM. **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&lt; 0.01 vs. Vehicle by Mann-Whitney U test.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454"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jc w:val="both"/>
        <w:ind w:right="80" w:firstLine="449"/>
        <w:spacing w:after="0" w:line="278" w:lineRule="auto"/>
        <w:rPr>
          <w:sz w:val="20"/>
          <w:szCs w:val="20"/>
          <w:color w:val="auto"/>
        </w:rPr>
      </w:pPr>
      <w:r>
        <w:rPr>
          <w:rFonts w:ascii="Times New Roman" w:cs="Times New Roman" w:eastAsia="Times New Roman" w:hAnsi="Times New Roman"/>
          <w:sz w:val="17"/>
          <w:szCs w:val="17"/>
          <w:color w:val="auto"/>
        </w:rPr>
        <w:t xml:space="preserve">Finally, we investigated the activity of PRT543 in a model of </w:t>
      </w:r>
      <w:r>
        <w:rPr>
          <w:rFonts w:ascii="Times New Roman" w:cs="Times New Roman" w:eastAsia="Times New Roman" w:hAnsi="Times New Roman"/>
          <w:sz w:val="17"/>
          <w:szCs w:val="17"/>
          <w:i w:val="1"/>
          <w:iCs w:val="1"/>
          <w:color w:val="auto"/>
        </w:rPr>
        <w:t>JAK2V617F</w:t>
      </w:r>
      <w:r>
        <w:rPr>
          <w:rFonts w:ascii="Times New Roman" w:cs="Times New Roman" w:eastAsia="Times New Roman" w:hAnsi="Times New Roman"/>
          <w:sz w:val="17"/>
          <w:szCs w:val="17"/>
          <w:color w:val="auto"/>
        </w:rPr>
        <w:t xml:space="preserve"> mutant myeloproliferative neoplasms, or MPN. In this model, we observed that PRT543 led to a reduction in spleen size and normalization of white blood cells and reticulocytes counts, key phenotypic effects of </w:t>
      </w:r>
      <w:r>
        <w:rPr>
          <w:rFonts w:ascii="Times New Roman" w:cs="Times New Roman" w:eastAsia="Times New Roman" w:hAnsi="Times New Roman"/>
          <w:sz w:val="17"/>
          <w:szCs w:val="17"/>
          <w:i w:val="1"/>
          <w:iCs w:val="1"/>
          <w:color w:val="auto"/>
        </w:rPr>
        <w:t>JAK2</w:t>
      </w:r>
      <w:r>
        <w:rPr>
          <w:rFonts w:ascii="Times New Roman" w:cs="Times New Roman" w:eastAsia="Times New Roman" w:hAnsi="Times New Roman"/>
          <w:sz w:val="17"/>
          <w:szCs w:val="17"/>
          <w:color w:val="auto"/>
        </w:rPr>
        <w:t xml:space="preserve"> dyrsegulation through the </w:t>
      </w:r>
      <w:r>
        <w:rPr>
          <w:rFonts w:ascii="Times New Roman" w:cs="Times New Roman" w:eastAsia="Times New Roman" w:hAnsi="Times New Roman"/>
          <w:sz w:val="17"/>
          <w:szCs w:val="17"/>
          <w:i w:val="1"/>
          <w:iCs w:val="1"/>
          <w:color w:val="auto"/>
        </w:rPr>
        <w:t>JAK2V617F</w:t>
      </w:r>
      <w:r>
        <w:rPr>
          <w:rFonts w:ascii="Times New Roman" w:cs="Times New Roman" w:eastAsia="Times New Roman" w:hAnsi="Times New Roman"/>
          <w:sz w:val="17"/>
          <w:szCs w:val="17"/>
          <w:color w:val="auto"/>
        </w:rPr>
        <w:t xml:space="preserve"> mutation, both as monotherapy and in combination with the approved JAK inhibitor, ruxolitinib. Importantly, the observed level of suppression of disease specific effects following treatment with PRT543 were similar to those achieved with the approved therapy, ruxolitinib (Figure 10).</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 xml:space="preserve">Figure 10. PRT543 Was Active in a Model of </w:t>
      </w:r>
      <w:r>
        <w:rPr>
          <w:rFonts w:ascii="Times New Roman" w:cs="Times New Roman" w:eastAsia="Times New Roman" w:hAnsi="Times New Roman"/>
          <w:sz w:val="18"/>
          <w:szCs w:val="18"/>
          <w:i w:val="1"/>
          <w:iCs w:val="1"/>
          <w:u w:val="single" w:color="auto"/>
          <w:color w:val="auto"/>
        </w:rPr>
        <w:t>JAK2V617F</w:t>
      </w:r>
      <w:r>
        <w:rPr>
          <w:rFonts w:ascii="Times New Roman" w:cs="Times New Roman" w:eastAsia="Times New Roman" w:hAnsi="Times New Roman"/>
          <w:sz w:val="18"/>
          <w:szCs w:val="18"/>
          <w:u w:val="single" w:color="auto"/>
          <w:color w:val="auto"/>
        </w:rPr>
        <w:t xml:space="preserve"> Mutant MPN.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1766570</wp:posOffset>
            </wp:positionV>
            <wp:extent cx="7810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81050"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170180</wp:posOffset>
            </wp:positionV>
            <wp:extent cx="2165350" cy="15119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65350"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 xml:space="preserve">Oral administration of PRT543 as monotherapy and in combination with ruxolitinib led to significant decrease in spleen size in the </w:t>
      </w:r>
      <w:r>
        <w:rPr>
          <w:rFonts w:ascii="Times New Roman" w:cs="Times New Roman" w:eastAsia="Times New Roman" w:hAnsi="Times New Roman"/>
          <w:sz w:val="14"/>
          <w:szCs w:val="14"/>
          <w:i w:val="1"/>
          <w:iCs w:val="1"/>
          <w:color w:val="auto"/>
        </w:rPr>
        <w:t>JAK2VF</w:t>
      </w:r>
      <w:r>
        <w:rPr>
          <w:rFonts w:ascii="Times New Roman" w:cs="Times New Roman" w:eastAsia="Times New Roman" w:hAnsi="Times New Roman"/>
          <w:sz w:val="14"/>
          <w:szCs w:val="14"/>
          <w:color w:val="auto"/>
        </w:rPr>
        <w:t xml:space="preserve"> bone marrow transplant model of MF. Data represent mean ± SEM. Dotted line indicates mean spleen weight of WT transplanted mice. *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&lt; 0.05, **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&lt; 0.01, ***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 &lt; 0.001 vs. vehicle by Mann-Whitney U test.</w:t>
      </w:r>
    </w:p>
    <w:p>
      <w:pPr>
        <w:spacing w:after="0" w:line="168"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 xml:space="preserve">Together, these data provide strong rationale for advancing PRT543 into patients with solid tumors such as ACC and HRD+ tumors as well as myeloid malignancies including MF and MDS, and provide opportunities for patient selection (ruxolitinib failures in MF, patients with spliceosomal mutations, HRD+ tumors,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xml:space="preserve"> ACC) and combination strategies (with ruxolitinib in MF, venetoclax in MDS/AML, PARP inhibitors in HRD+ tumors).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Experience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data are reflective of a data cutoff of September 1, 2020.</w:t>
      </w:r>
    </w:p>
    <w:p>
      <w:pPr>
        <w:spacing w:after="0" w:line="221"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We are currently enrolling a Phase 1, open-label, multicenter, dose expansion clinical trial of monotherapy PRT543 in patients with advanced solid tumors, MF or MDS. We have been encouraged by both the clinical activity and tolerability data that has been observed in 41 patients (29 with advanced solid tumors, one with NHL, nine with MF and two with MDS) that have enrolled into the dose escalation portion of the study as of our data cutoff date of September 1, 2020. We have observed early signs of clinical activity, including a confirmed CR per RECIST v1.1, in a patient with HRD+ high grade serous ovarian cancer, at the 35 mg 5x/week dose level. In addition, one MF patient at the 20 mg twice a week, or b.i.w., dose level has demonstrated a best response of clinical improvement per International Working Group, or IWG, criteria to date. This patient has exceeded one year on study. A second MF patient at the 40 mg three times a week, or t.i.w., dose level demonstrated an approximately 66% reduction in TSS. Improvement in isolated symptoms and extended duration of therapy have been seen in other MF patients. The safety profile has consisted predominantly of Grade 1-2 adverse events and was similar across both solid tumor and myeloid malignancies patients. To date, the dose-limiting toxicity experienced at the highest dose level evaluated in both groups has been thrombocytopenia, which in all cases has been reversible without sequalae after a one to two week drug holiday. There have been no deaths or study discontinuation attributed to PRT543. PK/PD analysis reveals dose-dependent increases in drug exposure across doses and schedules with associated decreases in serum sDMA levels. The dose escalation portion of the Phase 1 clinical trial is ongoing, with the dose expansion phase expected to initiate enrollment in the second half of 2020. While early in development and there is no guarantee of approval by the FDA or other regulatory authorities, we are encouraged by the clinical activity of PRT543.</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00"/>
          </w:cols>
          <w:pgMar w:left="320" w:top="454" w:right="37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Design and Schema</w:t>
      </w:r>
    </w:p>
    <w:p>
      <w:pPr>
        <w:spacing w:after="0" w:line="11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Our PRT543 Phase 1 clinical trial design seeks to leverage PRT543’s broad potential therapeutic utility to rapidly generate proof-of-concept across multiple solid tumors and myeloid malignancies. Trial enrollment of patients with relapsed/refractory, or R/R, advanced solid tumors, NHL (Group A) or R/R MF or MDS (Group B) commenced in February 2019 and is being conducted at approximately 25 sites throughout the United States. This clinical trial consists of two parts, a dose escalation portion followed by dose expansion into separate tumor-specific cohorts. Enrollment into the dose expansion phase is expected to begin in the second half of 2020. Total expected enrollment is anticipated to be approximately 160 patients. The schema is shown below in Figure 11.</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Figure 11. PRT543 Clinical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168910</wp:posOffset>
            </wp:positionV>
            <wp:extent cx="4518025" cy="28619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18025" cy="286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Interim and Preliminary Clinical Results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Interim and Preliminary Safety Data: Group A &amp; Group B</w:t>
      </w:r>
    </w:p>
    <w:p>
      <w:pPr>
        <w:spacing w:after="0" w:line="118"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safety profiles of the 41 patients enrolled have been similar between Group A (solid tumor; 30 patients) and Group B (MF and MDS; 11 patients) treated at doses and schedules ranging from 5 mg b.i.w to 50 mg once a day, or q.d,. Nine patient deaths were reported, none of which were related to PRT543. There were no patients that discontinued study therapy due to an adverse event. A total of 18 SAEs have been reported amongst six patients and of those, only one event (grade 4 thrombocytopenia) in one patient was deemed related to PRT543.</w:t>
      </w:r>
    </w:p>
    <w:p>
      <w:pPr>
        <w:spacing w:after="0" w:line="180" w:lineRule="exact"/>
        <w:rPr>
          <w:sz w:val="20"/>
          <w:szCs w:val="20"/>
          <w:color w:val="auto"/>
        </w:rPr>
      </w:pPr>
    </w:p>
    <w:p>
      <w:pPr>
        <w:jc w:val="both"/>
        <w:ind w:right="140" w:firstLine="449"/>
        <w:spacing w:after="0" w:line="263" w:lineRule="auto"/>
        <w:rPr>
          <w:sz w:val="20"/>
          <w:szCs w:val="20"/>
          <w:color w:val="auto"/>
        </w:rPr>
      </w:pPr>
      <w:r>
        <w:rPr>
          <w:rFonts w:ascii="Times New Roman" w:cs="Times New Roman" w:eastAsia="Times New Roman" w:hAnsi="Times New Roman"/>
          <w:sz w:val="18"/>
          <w:szCs w:val="18"/>
          <w:color w:val="auto"/>
        </w:rPr>
        <w:t>Adverse events were similar between patient groups with the majority of these adverse events (84.6%) being Grades 1-2. The most common adverse events were diarrhea, nausea and fatigue, ranging from 30% to 50% in both groups and were manageable with standard treatment routine amongst patients with cancer.</w:t>
      </w:r>
    </w:p>
    <w:p>
      <w:pPr>
        <w:spacing w:after="0" w:line="175"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Dose limiting toxicity of grade 4 thrombocytopenia has been observed in two out of three Group A patients at the 50 mg q.d. dose level and one out of six Group B patients at the 40 mg t.i.w. dose level, one of which was deemed to be a serious adverse event, or SAE. However, in all of these patients, platelets recovered to baseline levels after a one to two week drug holiday and they remained on the study and restarted at a lower dose. At the 35 mg q.d. dose level, three of the four patients have experienced grade 3 thrombocytopenia. Patients had their</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00"/>
          </w:cols>
          <w:pgMar w:left="320" w:top="454" w:right="3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18"/>
          <w:szCs w:val="18"/>
          <w:color w:val="auto"/>
        </w:rPr>
        <w:t>doses reduced and remained on study. Among the eight patients who either started or were dose reduced to the 35 mg 5x/week dose level, only one experienced any thrombocytopenia (grade 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Group A (Solid Tumors)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Pharmacokinetic Data; Group A (Solid Tumors)</w:t>
      </w:r>
    </w:p>
    <w:p>
      <w:pPr>
        <w:spacing w:after="0" w:line="225" w:lineRule="exact"/>
        <w:rPr>
          <w:sz w:val="20"/>
          <w:szCs w:val="20"/>
          <w:color w:val="auto"/>
        </w:rPr>
      </w:pPr>
    </w:p>
    <w:p>
      <w:pPr>
        <w:ind w:right="40" w:firstLine="449"/>
        <w:spacing w:after="0" w:line="252" w:lineRule="auto"/>
        <w:rPr>
          <w:sz w:val="20"/>
          <w:szCs w:val="20"/>
          <w:color w:val="auto"/>
        </w:rPr>
      </w:pPr>
      <w:r>
        <w:rPr>
          <w:rFonts w:ascii="Times New Roman" w:cs="Times New Roman" w:eastAsia="Times New Roman" w:hAnsi="Times New Roman"/>
          <w:sz w:val="18"/>
          <w:szCs w:val="18"/>
          <w:color w:val="auto"/>
        </w:rPr>
        <w:t xml:space="preserve">Preliminary PK data were available for 30 solid tumor patients administered various regimens of oral doses of PRT543 (mean values are shown in Table 2). We observed that PRT543 demonstrated rapid absorption with the Tmax generally occurring between one to three hours with dose-proportional increases in exposure. Half-life values for different doses ranged from approximately 7-18 hours, consistent with the long half-life predicted by preclinical data. Exposures were generally similar between Day 1 (first dose of cycle) and Day 25 at doses up to 35 mg. However, the 50 mg q.d. dose demonstrated significant accumulation of PRT543, which was likely associated with dose-limiting exposure. The calculated weekly exposure of the 50 mg q.d. dose was &gt;2-fold higher than the 35 mg dose administered 5x/week, with a weekly AUC of 243 µM·h versus 96 µM·h. Our preliminary PK data showed plasma levels at doses of 22.5 mg and above achieved the concentrations required to inhibit PRMT5 in our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and hence support continued clinical development. We believe our optimal dose will be between 22.5 mg and 50 mg.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2. Preliminary Day 1 Pharmacokinetics in Solid Tumor Cohort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Doses and Schedules</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6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64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5 mg</w:t>
            </w:r>
          </w:p>
        </w:tc>
        <w:tc>
          <w:tcPr>
            <w:tcW w:w="6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10 mg</w:t>
            </w:r>
          </w:p>
        </w:tc>
        <w:tc>
          <w:tcPr>
            <w:tcW w:w="46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3"/>
                <w:szCs w:val="13"/>
                <w:b w:val="1"/>
                <w:bCs w:val="1"/>
                <w:color w:val="auto"/>
              </w:rPr>
              <w:t>15 mg</w:t>
            </w:r>
          </w:p>
        </w:tc>
        <w:tc>
          <w:tcPr>
            <w:tcW w:w="220" w:type="dxa"/>
            <w:vAlign w:val="bottom"/>
          </w:tcPr>
          <w:p>
            <w:pPr>
              <w:spacing w:after="0"/>
              <w:rPr>
                <w:sz w:val="10"/>
                <w:szCs w:val="10"/>
                <w:color w:val="auto"/>
              </w:rPr>
            </w:pPr>
          </w:p>
        </w:tc>
        <w:tc>
          <w:tcPr>
            <w:tcW w:w="80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3"/>
                <w:szCs w:val="13"/>
                <w:b w:val="1"/>
                <w:bCs w:val="1"/>
                <w:color w:val="auto"/>
              </w:rPr>
              <w:t>22.5 mg</w:t>
            </w:r>
          </w:p>
        </w:tc>
        <w:tc>
          <w:tcPr>
            <w:tcW w:w="780" w:type="dxa"/>
            <w:vAlign w:val="bottom"/>
            <w:gridSpan w:val="2"/>
          </w:tcPr>
          <w:p>
            <w:pPr>
              <w:ind w:left="80"/>
              <w:spacing w:after="0" w:line="116" w:lineRule="exact"/>
              <w:rPr>
                <w:sz w:val="20"/>
                <w:szCs w:val="20"/>
                <w:color w:val="auto"/>
              </w:rPr>
            </w:pPr>
            <w:r>
              <w:rPr>
                <w:rFonts w:ascii="Times New Roman" w:cs="Times New Roman" w:eastAsia="Times New Roman" w:hAnsi="Times New Roman"/>
                <w:sz w:val="13"/>
                <w:szCs w:val="13"/>
                <w:b w:val="1"/>
                <w:bCs w:val="1"/>
                <w:color w:val="auto"/>
              </w:rPr>
              <w:t>45 mg</w:t>
            </w:r>
          </w:p>
        </w:tc>
        <w:tc>
          <w:tcPr>
            <w:tcW w:w="80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3"/>
                <w:szCs w:val="13"/>
                <w:b w:val="1"/>
                <w:bCs w:val="1"/>
                <w:color w:val="auto"/>
              </w:rPr>
              <w:t>35 mg</w:t>
            </w: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50 mg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Parameter</w:t>
            </w:r>
          </w:p>
        </w:tc>
        <w:tc>
          <w:tcPr>
            <w:tcW w:w="5620" w:type="dxa"/>
            <w:vAlign w:val="bottom"/>
            <w:vMerge w:val="restart"/>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(n=1)</w:t>
            </w: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(n=3)</w:t>
            </w: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(n=4)</w:t>
            </w:r>
          </w:p>
        </w:tc>
        <w:tc>
          <w:tcPr>
            <w:tcW w:w="2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(n=4)</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(n=5)</w:t>
            </w: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(n=9)*</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(n=4)</w:t>
            </w:r>
          </w:p>
        </w:tc>
        <w:tc>
          <w:tcPr>
            <w:tcW w:w="0" w:type="dxa"/>
            <w:vAlign w:val="bottom"/>
          </w:tcPr>
          <w:p>
            <w:pPr>
              <w:spacing w:after="0"/>
              <w:rPr>
                <w:sz w:val="1"/>
                <w:szCs w:val="1"/>
                <w:color w:val="auto"/>
              </w:rPr>
            </w:pPr>
          </w:p>
        </w:tc>
      </w:tr>
      <w:tr>
        <w:trPr>
          <w:trHeight w:val="147"/>
        </w:trPr>
        <w:tc>
          <w:tcPr>
            <w:tcW w:w="660" w:type="dxa"/>
            <w:vAlign w:val="bottom"/>
            <w:tcBorders>
              <w:bottom w:val="single" w:sz="8" w:color="auto"/>
            </w:tcBorders>
            <w:vMerge w:val="continue"/>
          </w:tcPr>
          <w:p>
            <w:pPr>
              <w:spacing w:after="0"/>
              <w:rPr>
                <w:sz w:val="12"/>
                <w:szCs w:val="12"/>
                <w:color w:val="auto"/>
              </w:rPr>
            </w:pPr>
          </w:p>
        </w:tc>
        <w:tc>
          <w:tcPr>
            <w:tcW w:w="5620" w:type="dxa"/>
            <w:vAlign w:val="bottom"/>
            <w:vMerge w:val="continue"/>
          </w:tcPr>
          <w:p>
            <w:pPr>
              <w:spacing w:after="0"/>
              <w:rPr>
                <w:sz w:val="12"/>
                <w:szCs w:val="12"/>
                <w:color w:val="auto"/>
              </w:rPr>
            </w:pPr>
          </w:p>
        </w:tc>
        <w:tc>
          <w:tcPr>
            <w:tcW w:w="380" w:type="dxa"/>
            <w:vAlign w:val="bottom"/>
            <w:tcBorders>
              <w:top w:val="single" w:sz="8" w:color="auto"/>
            </w:tcBorders>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b.i.w</w:t>
            </w:r>
          </w:p>
        </w:tc>
        <w:tc>
          <w:tcPr>
            <w:tcW w:w="260" w:type="dxa"/>
            <w:vAlign w:val="bottom"/>
          </w:tcPr>
          <w:p>
            <w:pPr>
              <w:spacing w:after="0"/>
              <w:rPr>
                <w:sz w:val="12"/>
                <w:szCs w:val="12"/>
                <w:color w:val="auto"/>
              </w:rPr>
            </w:pPr>
          </w:p>
        </w:tc>
        <w:tc>
          <w:tcPr>
            <w:tcW w:w="4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b.i.w</w:t>
            </w:r>
          </w:p>
        </w:tc>
        <w:tc>
          <w:tcPr>
            <w:tcW w:w="260" w:type="dxa"/>
            <w:vAlign w:val="bottom"/>
          </w:tcPr>
          <w:p>
            <w:pPr>
              <w:spacing w:after="0"/>
              <w:rPr>
                <w:sz w:val="12"/>
                <w:szCs w:val="12"/>
                <w:color w:val="auto"/>
              </w:rPr>
            </w:pPr>
          </w:p>
        </w:tc>
        <w:tc>
          <w:tcPr>
            <w:tcW w:w="4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b.i.w</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b.i.w</w:t>
            </w:r>
          </w:p>
        </w:tc>
        <w:tc>
          <w:tcPr>
            <w:tcW w:w="280" w:type="dxa"/>
            <w:vAlign w:val="bottom"/>
          </w:tcPr>
          <w:p>
            <w:pPr>
              <w:spacing w:after="0"/>
              <w:rPr>
                <w:sz w:val="12"/>
                <w:szCs w:val="12"/>
                <w:color w:val="auto"/>
              </w:rPr>
            </w:pPr>
          </w:p>
        </w:tc>
        <w:tc>
          <w:tcPr>
            <w:tcW w:w="520" w:type="dxa"/>
            <w:vAlign w:val="bottom"/>
            <w:tcBorders>
              <w:top w:val="single" w:sz="8" w:color="auto"/>
            </w:tcBorders>
          </w:tcPr>
          <w:p>
            <w:pPr>
              <w:jc w:val="right"/>
              <w:ind w:right="21"/>
              <w:spacing w:after="0" w:line="127" w:lineRule="exact"/>
              <w:rPr>
                <w:sz w:val="20"/>
                <w:szCs w:val="20"/>
                <w:color w:val="auto"/>
              </w:rPr>
            </w:pPr>
            <w:r>
              <w:rPr>
                <w:rFonts w:ascii="Times New Roman" w:cs="Times New Roman" w:eastAsia="Times New Roman" w:hAnsi="Times New Roman"/>
                <w:sz w:val="14"/>
                <w:szCs w:val="14"/>
                <w:b w:val="1"/>
                <w:bCs w:val="1"/>
                <w:color w:val="auto"/>
              </w:rPr>
              <w:t>b.i.w.</w:t>
            </w:r>
          </w:p>
        </w:tc>
        <w:tc>
          <w:tcPr>
            <w:tcW w:w="260" w:type="dxa"/>
            <w:vAlign w:val="bottom"/>
          </w:tcPr>
          <w:p>
            <w:pPr>
              <w:spacing w:after="0"/>
              <w:rPr>
                <w:sz w:val="12"/>
                <w:szCs w:val="12"/>
                <w:color w:val="auto"/>
              </w:rPr>
            </w:pPr>
          </w:p>
        </w:tc>
        <w:tc>
          <w:tcPr>
            <w:tcW w:w="5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5x /q.d.</w:t>
            </w:r>
          </w:p>
        </w:tc>
        <w:tc>
          <w:tcPr>
            <w:tcW w:w="280" w:type="dxa"/>
            <w:vAlign w:val="bottom"/>
          </w:tcPr>
          <w:p>
            <w:pPr>
              <w:spacing w:after="0"/>
              <w:rPr>
                <w:sz w:val="12"/>
                <w:szCs w:val="12"/>
                <w:color w:val="auto"/>
              </w:rPr>
            </w:pPr>
          </w:p>
        </w:tc>
        <w:tc>
          <w:tcPr>
            <w:tcW w:w="5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q.d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2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Cmax (nM)</w:t>
            </w:r>
          </w:p>
        </w:tc>
        <w:tc>
          <w:tcPr>
            <w:tcW w:w="3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52.3</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415</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525</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974</w:t>
            </w: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2574</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1909</w:t>
            </w: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Tmax (h)</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4"/>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AUC0-t (nM·h)</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8060</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15860</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35410</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15120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810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149" w:lineRule="exact"/>
        <w:rPr>
          <w:sz w:val="20"/>
          <w:szCs w:val="20"/>
          <w:color w:val="auto"/>
        </w:rPr>
      </w:pPr>
    </w:p>
    <w:p>
      <w:pPr>
        <w:ind w:left="440" w:hanging="433"/>
        <w:spacing w:after="0"/>
        <w:tabs>
          <w:tab w:leader="none" w:pos="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1 exposure from 35 mg, q.d. and 35mg, 5x dose levels combined. 5x means once a day, for five days, with two days off.</w:t>
      </w:r>
    </w:p>
    <w:p>
      <w:pPr>
        <w:spacing w:after="0" w:line="221" w:lineRule="exact"/>
        <w:rPr>
          <w:sz w:val="20"/>
          <w:szCs w:val="20"/>
          <w:color w:val="auto"/>
        </w:rPr>
      </w:pPr>
    </w:p>
    <w:p>
      <w:pPr>
        <w:ind w:right="240" w:firstLine="449"/>
        <w:spacing w:after="0" w:line="278" w:lineRule="auto"/>
        <w:rPr>
          <w:sz w:val="20"/>
          <w:szCs w:val="20"/>
          <w:color w:val="auto"/>
        </w:rPr>
      </w:pPr>
      <w:r>
        <w:rPr>
          <w:rFonts w:ascii="Times New Roman" w:cs="Times New Roman" w:eastAsia="Times New Roman" w:hAnsi="Times New Roman"/>
          <w:sz w:val="18"/>
          <w:szCs w:val="18"/>
          <w:color w:val="auto"/>
        </w:rPr>
        <w:t>Cmax means the observed maximum plasma concentration after dosing. Tmax means the time to reach the Cmax. AUC0-t means the area under the plasma concentration time curve from time 0 to the last measurable time point.</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Pharmacodynamic Data: Group A (Solid Tumors)</w:t>
      </w:r>
    </w:p>
    <w:p>
      <w:pPr>
        <w:spacing w:after="0" w:line="118" w:lineRule="exact"/>
        <w:rPr>
          <w:sz w:val="20"/>
          <w:szCs w:val="20"/>
          <w:color w:val="auto"/>
        </w:rPr>
      </w:pPr>
    </w:p>
    <w:p>
      <w:pPr>
        <w:ind w:right="120" w:firstLine="449"/>
        <w:spacing w:after="0" w:line="271" w:lineRule="auto"/>
        <w:rPr>
          <w:sz w:val="20"/>
          <w:szCs w:val="20"/>
          <w:color w:val="auto"/>
        </w:rPr>
      </w:pPr>
      <w:r>
        <w:rPr>
          <w:rFonts w:ascii="Times New Roman" w:cs="Times New Roman" w:eastAsia="Times New Roman" w:hAnsi="Times New Roman"/>
          <w:sz w:val="17"/>
          <w:szCs w:val="17"/>
          <w:color w:val="auto"/>
        </w:rPr>
        <w:t xml:space="preserve">Serum sDMA levels, a PD measurement of PRMT5 target engagement, were assessed at baseline and on Day 15 of the treatment cycle. Dose-dependent inhibition of PRMT5 as demonstrated by serum sDMA reduction was observed across groups in the solid tumor cohort. The mean reduction in sDMA level was approximately 75% at both the 35 mg q.d. and 50 mg q.d. doses, which are the highest dose groups evaluated to date, demonstrating maximum inhibition of PRMT5 activity. In the other cohorts where the dosing was intermittent (b.i.w. and 5x/week doses), serum for sDMA analyses was collected at least 72 hours after the last dose of PRT543 was administered. Therefore, the extent of PRMT5 inhibition was likely underestimated due to rebound in sDMA when the compound is no longer present. In preclinical models, 50% inhibition of sDMA was associated with anti-tumor activity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454" w:right="3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Figure 12. PRT543 PD in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5935980" cy="16306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35980" cy="163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Serum was obtained from patients at various times following administration of PRT543 and analyzed for sDMA levels by LC/MS. The data are shown as % relative to pre-dose levels.</w:t>
      </w:r>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Interim and Preliminary Efficacy Data: Group A (Solid Tumors/NHL)</w:t>
      </w:r>
    </w:p>
    <w:p>
      <w:pPr>
        <w:spacing w:after="0" w:line="118"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 xml:space="preserve">Thirty patients have been enrolled into Group A (solid tumors/NHL). Thirteen patients have received doses ³ 35 mg 5x/week and are response evaluable per RECIST 1.1. Of these patients, one patient demonstrated confirmed CR (HRD+ high grade serious ovarian cancer), four patients demonstrated stable disease (including an additional patient with HRD+ ovarian cancer) and four patients showed progressive disease. Seven patients remain on study, of whom four are awaiting their first response assessment. No objective responses were observed in patients that received doses below 35 mg 5x/week. Given that we are still in the dose escalation portion of a Phase 1 clinical trial in a refractory patient population, with the primary objective of evaluating safety and pharmacokinetic properties, and that a majority of patients are likely to be at subtherapeutic doses, we are encouraged by the confirmed CR in the first enrolled biomarker positive patient. The patient, diagnosed in 2014, and subsequently treated with seven prior lines of therapy for metastatic disease, including standards of care such as a PARP inhibitor, as well as experimental therapies, enrolled in the dose escalation portion of the trial at a dose/schedule of 35 mg, 5x/week. Genomic analysis demonstrated somatic mutations in the DNA repair enzymes, </w:t>
      </w:r>
      <w:r>
        <w:rPr>
          <w:rFonts w:ascii="Times New Roman" w:cs="Times New Roman" w:eastAsia="Times New Roman" w:hAnsi="Times New Roman"/>
          <w:sz w:val="18"/>
          <w:szCs w:val="18"/>
          <w:i w:val="1"/>
          <w:iCs w:val="1"/>
          <w:color w:val="auto"/>
        </w:rPr>
        <w:t>RAD51D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ATR</w:t>
      </w:r>
      <w:r>
        <w:rPr>
          <w:rFonts w:ascii="Times New Roman" w:cs="Times New Roman" w:eastAsia="Times New Roman" w:hAnsi="Times New Roman"/>
          <w:sz w:val="18"/>
          <w:szCs w:val="18"/>
          <w:color w:val="auto"/>
        </w:rPr>
        <w:t xml:space="preserve">, as well as a germline mutation in </w:t>
      </w:r>
      <w:r>
        <w:rPr>
          <w:rFonts w:ascii="Times New Roman" w:cs="Times New Roman" w:eastAsia="Times New Roman" w:hAnsi="Times New Roman"/>
          <w:sz w:val="18"/>
          <w:szCs w:val="18"/>
          <w:i w:val="1"/>
          <w:iCs w:val="1"/>
          <w:color w:val="auto"/>
        </w:rPr>
        <w:t>BRCA1</w:t>
      </w:r>
      <w:r>
        <w:rPr>
          <w:rFonts w:ascii="Times New Roman" w:cs="Times New Roman" w:eastAsia="Times New Roman" w:hAnsi="Times New Roman"/>
          <w:sz w:val="18"/>
          <w:szCs w:val="18"/>
          <w:color w:val="auto"/>
        </w:rPr>
        <w:t>. At baseline, the patient was noted to have one target lesion lymph node, per RECIST, measuring 19mm across the shortest axis. Baseline CA-125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tumor marker levels measured 37.8 U/mL. At the first follow up response assessment, occurring eight weeks after enrollment, the patient’s target lesion demonstrated regression to 8mm with an associated drop in CA-125 levels to 2.6 U/mL. At the second follow up scan performed 16 weeks after enrollment, the target lesion regressed in size to 5 mm, confirming the CR. CA-125 levels measured 4.6 U/mL. At the third response assessment, performed 24 weeks after enrollment, the patient’s target lesion remained at 5 mm, further supporting the durability of the CR, and CA-125 levels measured 3.3 U/mL. The patient remains on study. Images from the patient’s computer tomography scans from baseline and 8 weeks, with highlighted target lesions, are shown below in Figure 13.</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00"/>
          </w:cols>
          <w:pgMar w:left="320" w:top="454" w:right="3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Figure 13. Baseline and 8 Week Tumor Assessment CT Scans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168910</wp:posOffset>
            </wp:positionV>
            <wp:extent cx="5137785" cy="1706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3778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Group B (MF and MDS)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Pharmacokinetic and Pharmacodynamic Data: Group B (MF and MDS)</w:t>
      </w:r>
    </w:p>
    <w:p>
      <w:pPr>
        <w:spacing w:after="0" w:line="118" w:lineRule="exact"/>
        <w:rPr>
          <w:sz w:val="20"/>
          <w:szCs w:val="20"/>
          <w:color w:val="auto"/>
        </w:rPr>
      </w:pPr>
    </w:p>
    <w:p>
      <w:pPr>
        <w:ind w:right="240" w:firstLine="449"/>
        <w:spacing w:after="0" w:line="255" w:lineRule="auto"/>
        <w:rPr>
          <w:sz w:val="20"/>
          <w:szCs w:val="20"/>
          <w:color w:val="auto"/>
        </w:rPr>
      </w:pPr>
      <w:r>
        <w:rPr>
          <w:rFonts w:ascii="Times New Roman" w:cs="Times New Roman" w:eastAsia="Times New Roman" w:hAnsi="Times New Roman"/>
          <w:sz w:val="18"/>
          <w:szCs w:val="18"/>
          <w:color w:val="auto"/>
        </w:rPr>
        <w:t xml:space="preserve">As of the data cutoff, preliminary PK data were available for 11 participants in this cohort (mean values shown in Table 3). To date, the PRT543 PK profiles have been similar between solid tumor and MF and MDS patients demonstrating rapid absorption and dose-proportional increases in exposure. Exposures were generally similar between Day 1 (first dose of cycle) and Day 25 (last dose of cycle). Our preliminary PK data showed plasma levels at doses of 20 mg and above that achieved the concentrations required to inhibit PRMT5 in our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and hence support continued clinical development.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3. Preliminary Day 1 Pharmacokinetics in Myeloid Malignancies Cohort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Doses and Schedules</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Parameter</w:t>
            </w:r>
          </w:p>
        </w:tc>
        <w:tc>
          <w:tcPr>
            <w:tcW w:w="5940" w:type="dxa"/>
            <w:vAlign w:val="bottom"/>
            <w:vMerge w:val="restart"/>
          </w:tcPr>
          <w:p>
            <w:pPr>
              <w:spacing w:after="0"/>
              <w:rPr>
                <w:sz w:val="12"/>
                <w:szCs w:val="12"/>
                <w:color w:val="auto"/>
              </w:rPr>
            </w:pPr>
          </w:p>
        </w:tc>
        <w:tc>
          <w:tcPr>
            <w:tcW w:w="1220" w:type="dxa"/>
            <w:vAlign w:val="bottom"/>
            <w:gridSpan w:val="2"/>
          </w:tcPr>
          <w:p>
            <w:pPr>
              <w:jc w:val="right"/>
              <w:ind w:right="5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5 mg (n=1)</w:t>
            </w:r>
          </w:p>
        </w:tc>
        <w:tc>
          <w:tcPr>
            <w:tcW w:w="12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10 mg (n=1)</w:t>
            </w:r>
          </w:p>
        </w:tc>
        <w:tc>
          <w:tcPr>
            <w:tcW w:w="12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 mg (n=2)</w:t>
            </w:r>
          </w:p>
        </w:tc>
        <w:tc>
          <w:tcPr>
            <w:tcW w:w="8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8"/>
              </w:rPr>
              <w:t>40 mg (n=7)*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0" w:type="dxa"/>
            <w:vAlign w:val="bottom"/>
            <w:tcBorders>
              <w:bottom w:val="single" w:sz="8" w:color="auto"/>
            </w:tcBorders>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98"/>
              <w:spacing w:after="0" w:line="127" w:lineRule="exact"/>
              <w:rPr>
                <w:sz w:val="20"/>
                <w:szCs w:val="20"/>
                <w:color w:val="auto"/>
              </w:rPr>
            </w:pPr>
            <w:r>
              <w:rPr>
                <w:rFonts w:ascii="Times New Roman" w:cs="Times New Roman" w:eastAsia="Times New Roman" w:hAnsi="Times New Roman"/>
                <w:sz w:val="14"/>
                <w:szCs w:val="14"/>
                <w:b w:val="1"/>
                <w:bCs w:val="1"/>
                <w:color w:val="auto"/>
              </w:rPr>
              <w:t>b.i.w</w:t>
            </w:r>
          </w:p>
        </w:tc>
        <w:tc>
          <w:tcPr>
            <w:tcW w:w="560" w:type="dxa"/>
            <w:vAlign w:val="bottom"/>
          </w:tcPr>
          <w:p>
            <w:pPr>
              <w:spacing w:after="0"/>
              <w:rPr>
                <w:sz w:val="12"/>
                <w:szCs w:val="12"/>
                <w:color w:val="auto"/>
              </w:rPr>
            </w:pPr>
          </w:p>
        </w:tc>
        <w:tc>
          <w:tcPr>
            <w:tcW w:w="740" w:type="dxa"/>
            <w:vAlign w:val="bottom"/>
            <w:tcBorders>
              <w:top w:val="single" w:sz="8" w:color="auto"/>
            </w:tcBorders>
          </w:tcPr>
          <w:p>
            <w:pPr>
              <w:jc w:val="right"/>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b.i.w</w:t>
            </w:r>
          </w:p>
        </w:tc>
        <w:tc>
          <w:tcPr>
            <w:tcW w:w="540" w:type="dxa"/>
            <w:vAlign w:val="bottom"/>
          </w:tcPr>
          <w:p>
            <w:pPr>
              <w:spacing w:after="0"/>
              <w:rPr>
                <w:sz w:val="12"/>
                <w:szCs w:val="12"/>
                <w:color w:val="auto"/>
              </w:rPr>
            </w:pPr>
          </w:p>
        </w:tc>
        <w:tc>
          <w:tcPr>
            <w:tcW w:w="740" w:type="dxa"/>
            <w:vAlign w:val="bottom"/>
            <w:tcBorders>
              <w:top w:val="single" w:sz="8" w:color="auto"/>
            </w:tcBorders>
          </w:tcPr>
          <w:p>
            <w:pPr>
              <w:jc w:val="right"/>
              <w:ind w:right="138"/>
              <w:spacing w:after="0" w:line="127" w:lineRule="exact"/>
              <w:rPr>
                <w:sz w:val="20"/>
                <w:szCs w:val="20"/>
                <w:color w:val="auto"/>
              </w:rPr>
            </w:pPr>
            <w:r>
              <w:rPr>
                <w:rFonts w:ascii="Times New Roman" w:cs="Times New Roman" w:eastAsia="Times New Roman" w:hAnsi="Times New Roman"/>
                <w:sz w:val="14"/>
                <w:szCs w:val="14"/>
                <w:b w:val="1"/>
                <w:bCs w:val="1"/>
                <w:color w:val="auto"/>
              </w:rPr>
              <w:t>b.i.w</w:t>
            </w:r>
          </w:p>
        </w:tc>
        <w:tc>
          <w:tcPr>
            <w:tcW w:w="540" w:type="dxa"/>
            <w:vAlign w:val="bottom"/>
          </w:tcPr>
          <w:p>
            <w:pPr>
              <w:spacing w:after="0"/>
              <w:rPr>
                <w:sz w:val="12"/>
                <w:szCs w:val="12"/>
                <w:color w:val="auto"/>
              </w:rPr>
            </w:pPr>
          </w:p>
        </w:tc>
        <w:tc>
          <w:tcPr>
            <w:tcW w:w="800" w:type="dxa"/>
            <w:vAlign w:val="bottom"/>
            <w:tcBorders>
              <w:top w:val="single" w:sz="8" w:color="auto"/>
            </w:tcBorders>
          </w:tcPr>
          <w:p>
            <w:pPr>
              <w:jc w:val="right"/>
              <w:ind w:right="18"/>
              <w:spacing w:after="0" w:line="127" w:lineRule="exact"/>
              <w:rPr>
                <w:sz w:val="20"/>
                <w:szCs w:val="20"/>
                <w:color w:val="auto"/>
              </w:rPr>
            </w:pPr>
            <w:r>
              <w:rPr>
                <w:rFonts w:ascii="Times New Roman" w:cs="Times New Roman" w:eastAsia="Times New Roman" w:hAnsi="Times New Roman"/>
                <w:sz w:val="14"/>
                <w:szCs w:val="14"/>
                <w:b w:val="1"/>
                <w:bCs w:val="1"/>
                <w:color w:val="auto"/>
              </w:rPr>
              <w:t>b.i.w/t.i.w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6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Cmax (nM)</w:t>
            </w:r>
          </w:p>
        </w:tc>
        <w:tc>
          <w:tcPr>
            <w:tcW w:w="6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172</w:t>
            </w: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486</w:t>
            </w: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809</w:t>
            </w: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1343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Tmax (h)</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4"/>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AUC0-t (nM·h)</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15750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810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149" w:lineRule="exact"/>
        <w:rPr>
          <w:sz w:val="20"/>
          <w:szCs w:val="20"/>
          <w:color w:val="auto"/>
        </w:rPr>
      </w:pPr>
    </w:p>
    <w:p>
      <w:pPr>
        <w:ind w:left="440" w:hanging="433"/>
        <w:spacing w:after="0"/>
        <w:tabs>
          <w:tab w:leader="none" w:pos="4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Exposures from 40 mg, b.i.w. and t.i.w. dose levels combined.</w:t>
      </w:r>
    </w:p>
    <w:p>
      <w:pPr>
        <w:spacing w:after="0" w:line="221" w:lineRule="exact"/>
        <w:rPr>
          <w:sz w:val="20"/>
          <w:szCs w:val="20"/>
          <w:color w:val="auto"/>
        </w:rPr>
      </w:pPr>
    </w:p>
    <w:p>
      <w:pPr>
        <w:ind w:right="140" w:firstLine="449"/>
        <w:spacing w:after="0" w:line="263" w:lineRule="auto"/>
        <w:rPr>
          <w:sz w:val="20"/>
          <w:szCs w:val="20"/>
          <w:color w:val="auto"/>
        </w:rPr>
      </w:pPr>
      <w:r>
        <w:rPr>
          <w:rFonts w:ascii="Times New Roman" w:cs="Times New Roman" w:eastAsia="Times New Roman" w:hAnsi="Times New Roman"/>
          <w:sz w:val="18"/>
          <w:szCs w:val="18"/>
          <w:color w:val="auto"/>
        </w:rPr>
        <w:t>Similar to the data in the solid tumor cohort, dose-dependent inhibition in sDMA levels was observed in the heme cohort. A maximum inhibition of approximately 40% was observed at the 40 mg doses, but since only intermittent dosing was tested in this cohort, this reduction may be underestimated due to the sample collection 72 hours after the compound was administered.</w:t>
      </w:r>
    </w:p>
    <w:p>
      <w:pPr>
        <w:spacing w:after="0" w:line="175" w:lineRule="exact"/>
        <w:rPr>
          <w:sz w:val="20"/>
          <w:szCs w:val="20"/>
          <w:color w:val="auto"/>
        </w:rPr>
      </w:pPr>
    </w:p>
    <w:p>
      <w:pPr>
        <w:ind w:right="200" w:firstLine="449"/>
        <w:spacing w:after="0" w:line="263" w:lineRule="auto"/>
        <w:rPr>
          <w:sz w:val="20"/>
          <w:szCs w:val="20"/>
          <w:color w:val="auto"/>
        </w:rPr>
      </w:pPr>
      <w:r>
        <w:rPr>
          <w:rFonts w:ascii="Times New Roman" w:cs="Times New Roman" w:eastAsia="Times New Roman" w:hAnsi="Times New Roman"/>
          <w:sz w:val="18"/>
          <w:szCs w:val="18"/>
          <w:color w:val="auto"/>
        </w:rPr>
        <w:t>In addition to changes in sDMA, changes in cytokine levels and other markers of inflammation were measured in the patients in this cohort. Patients with MF have been shown to demonstrate elevated levels of inflammatory markers such as C-reactive protein, serum amyloid A, interleukin-6, tumor necrosis factor, and interleukin-12. PRT543 treatment was associated with reductions in these markers.</w:t>
      </w:r>
    </w:p>
    <w:p>
      <w:pPr>
        <w:spacing w:after="0" w:line="175" w:lineRule="exact"/>
        <w:rPr>
          <w:sz w:val="20"/>
          <w:szCs w:val="20"/>
          <w:color w:val="auto"/>
        </w:rPr>
      </w:pPr>
    </w:p>
    <w:p>
      <w:pPr>
        <w:ind w:right="240" w:firstLine="449"/>
        <w:spacing w:after="0" w:line="278" w:lineRule="auto"/>
        <w:rPr>
          <w:sz w:val="20"/>
          <w:szCs w:val="20"/>
          <w:color w:val="auto"/>
        </w:rPr>
      </w:pPr>
      <w:r>
        <w:rPr>
          <w:rFonts w:ascii="Times New Roman" w:cs="Times New Roman" w:eastAsia="Times New Roman" w:hAnsi="Times New Roman"/>
          <w:sz w:val="18"/>
          <w:szCs w:val="18"/>
          <w:color w:val="auto"/>
        </w:rPr>
        <w:t>Based on the PK and PD data, we anticipate that an additional two to three dose levels, as originally planned, will be required in order to establish a recommended expansion dose in this cohort.</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Interim and Preliminary Efficacy Data: Group B (MF and MDS)</w:t>
      </w:r>
    </w:p>
    <w:p>
      <w:pPr>
        <w:spacing w:after="0" w:line="118" w:lineRule="exact"/>
        <w:rPr>
          <w:sz w:val="20"/>
          <w:szCs w:val="20"/>
          <w:color w:val="auto"/>
        </w:rPr>
      </w:pPr>
    </w:p>
    <w:p>
      <w:pPr>
        <w:ind w:right="20" w:firstLine="449"/>
        <w:spacing w:after="0" w:line="278" w:lineRule="auto"/>
        <w:rPr>
          <w:sz w:val="20"/>
          <w:szCs w:val="20"/>
          <w:color w:val="auto"/>
        </w:rPr>
      </w:pPr>
      <w:r>
        <w:rPr>
          <w:rFonts w:ascii="Times New Roman" w:cs="Times New Roman" w:eastAsia="Times New Roman" w:hAnsi="Times New Roman"/>
          <w:sz w:val="18"/>
          <w:szCs w:val="18"/>
          <w:color w:val="auto"/>
        </w:rPr>
        <w:t>Among the 11 patients enrolled into Group B (nine MF and two MDS), all are evaluable for response assessments as per IWG criteria. One MF patient at the 20 mg b.i.w. dose level has demonstrated an objective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454" w:right="3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response of clinical improvement and continues to receive therapy beyond one year to date. A second MF patient at the 40 mg t.i.w. dose level demonstrated an approximately 66% decrease in TSS. Several other MF patients have demonstrated reductions in individual symptoms, notably pruritis, night sweats and fever. Eight patients achieved a best response of SD. We are encouraged by the extended duration of therapy in two additional patients who remained on study for approximately one year.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Addressable Oncology Market for PRT543</w:t>
      </w:r>
    </w:p>
    <w:p>
      <w:pPr>
        <w:spacing w:after="0" w:line="118"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Our clinical development strategy is to focus first on indications where there is a patient selection strategy along with a high unmet medical need, no approved therapies and opportunity to utilize early clinical data to design registrational trials. Based on these criteria, the following are examples of indications where we believe we have significant opportunity. In addition to the indications outlined below, we believe there may be opportunity in additional indications in patients with genomically defined tumors.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Adenoid Cystic Carcinoma (ACC)</w:t>
      </w:r>
    </w:p>
    <w:p>
      <w:pPr>
        <w:spacing w:after="0" w:line="118"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Adenoid cystic carcinoma is a malignant tumor of the secretory glands often presenting in the oral cavity and pharynx (e.g., salivary glands), with approximately 1,200 patients diagnosed in the United States each year and 10-15,000 patients living with this cancer in the United States. ACC is characterized by indolent, locally invasive growth with a high propensity for recurrence and distant metastasis. The disease typically follows a slow course, with five-, ten-, and 15-year survival rates after surgical resection of 77.3%, 59.6%, and 44.9%, respectively. However, once ACC becomes metastatic, the prognosis worsens and most patients ultimately die from the disease. ACC affects a relatively young patient population, with a median age at diagnosis of 50-60 years.</w:t>
      </w:r>
    </w:p>
    <w:p>
      <w:pPr>
        <w:spacing w:after="0" w:line="18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vast majority of patients are initially treated with surgical resection, if possible, followed by radiation. Approximately 40-50% of patients progress to develop advanced or metastatic disease. Chemotherapy and tyrosine kinase inhibitor therapies are the most common systemic therapies for advanced/metastatic disease, yet have shown low response rates and limited durability of disease control in clinical trials. There are currently no approved therapies for the treatment of ACC.</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Homologous Recombinant Deficient Tumors (HRD+)</w:t>
      </w:r>
    </w:p>
    <w:p>
      <w:pPr>
        <w:spacing w:after="0" w:line="118" w:lineRule="exact"/>
        <w:rPr>
          <w:sz w:val="20"/>
          <w:szCs w:val="20"/>
          <w:color w:val="auto"/>
        </w:rPr>
      </w:pPr>
    </w:p>
    <w:p>
      <w:pPr>
        <w:ind w:right="140" w:firstLine="449"/>
        <w:spacing w:after="0" w:line="263" w:lineRule="auto"/>
        <w:rPr>
          <w:sz w:val="20"/>
          <w:szCs w:val="20"/>
          <w:color w:val="auto"/>
        </w:rPr>
      </w:pPr>
      <w:r>
        <w:rPr>
          <w:rFonts w:ascii="Times New Roman" w:cs="Times New Roman" w:eastAsia="Times New Roman" w:hAnsi="Times New Roman"/>
          <w:sz w:val="18"/>
          <w:szCs w:val="18"/>
          <w:color w:val="auto"/>
        </w:rPr>
        <w:t xml:space="preserve">Homologous recombination deficient positive tumors were described for the first time in cancers with germline mutations of the tumor suppressors </w:t>
      </w:r>
      <w:r>
        <w:rPr>
          <w:rFonts w:ascii="Times New Roman" w:cs="Times New Roman" w:eastAsia="Times New Roman" w:hAnsi="Times New Roman"/>
          <w:sz w:val="18"/>
          <w:szCs w:val="18"/>
          <w:i w:val="1"/>
          <w:iCs w:val="1"/>
          <w:color w:val="auto"/>
        </w:rPr>
        <w:t>BRCA1/2</w:t>
      </w:r>
      <w:r>
        <w:rPr>
          <w:rFonts w:ascii="Times New Roman" w:cs="Times New Roman" w:eastAsia="Times New Roman" w:hAnsi="Times New Roman"/>
          <w:sz w:val="18"/>
          <w:szCs w:val="18"/>
          <w:color w:val="auto"/>
        </w:rPr>
        <w:t>. Other genetic and epigenetic events can also result in inactivation of various homologous recombination repair components, leading to HRD+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Times New Roman" w:cs="Times New Roman" w:eastAsia="Times New Roman" w:hAnsi="Times New Roman"/>
          <w:sz w:val="18"/>
          <w:szCs w:val="18"/>
          <w:i w:val="1"/>
          <w:iCs w:val="1"/>
          <w:color w:val="auto"/>
        </w:rPr>
        <w:t>BRCA1/2</w:t>
      </w:r>
      <w:r>
        <w:rPr>
          <w:rFonts w:ascii="Times New Roman" w:cs="Times New Roman" w:eastAsia="Times New Roman" w:hAnsi="Times New Roman"/>
          <w:sz w:val="18"/>
          <w:szCs w:val="18"/>
          <w:color w:val="auto"/>
        </w:rPr>
        <w:t xml:space="preserve"> mutated cancers.</w:t>
      </w:r>
    </w:p>
    <w:p>
      <w:pPr>
        <w:spacing w:after="0" w:line="173" w:lineRule="exact"/>
        <w:rPr>
          <w:sz w:val="20"/>
          <w:szCs w:val="20"/>
          <w:color w:val="auto"/>
        </w:rPr>
      </w:pPr>
    </w:p>
    <w:p>
      <w:pPr>
        <w:jc w:val="both"/>
        <w:ind w:right="120" w:firstLine="449"/>
        <w:spacing w:after="0" w:line="264" w:lineRule="auto"/>
        <w:rPr>
          <w:sz w:val="20"/>
          <w:szCs w:val="20"/>
          <w:color w:val="auto"/>
        </w:rPr>
      </w:pPr>
      <w:r>
        <w:rPr>
          <w:rFonts w:ascii="Times New Roman" w:cs="Times New Roman" w:eastAsia="Times New Roman" w:hAnsi="Times New Roman"/>
          <w:sz w:val="18"/>
          <w:szCs w:val="18"/>
          <w:color w:val="auto"/>
        </w:rPr>
        <w:t xml:space="preserve">Germline </w:t>
      </w:r>
      <w:r>
        <w:rPr>
          <w:rFonts w:ascii="Times New Roman" w:cs="Times New Roman" w:eastAsia="Times New Roman" w:hAnsi="Times New Roman"/>
          <w:sz w:val="18"/>
          <w:szCs w:val="18"/>
          <w:i w:val="1"/>
          <w:iCs w:val="1"/>
          <w:color w:val="auto"/>
        </w:rPr>
        <w:t>BRCA1/2</w:t>
      </w:r>
      <w:r>
        <w:rPr>
          <w:rFonts w:ascii="Times New Roman" w:cs="Times New Roman" w:eastAsia="Times New Roman" w:hAnsi="Times New Roman"/>
          <w:sz w:val="18"/>
          <w:szCs w:val="18"/>
          <w:color w:val="auto"/>
        </w:rPr>
        <w:t xml:space="preserve"> mutations resulting in HRD+ occur in 13% and 15% of ovarian and triple negative breast cancers. Furthermore, 50% and 40% of ovarian and TNBC, respectively, are characterized by harboring HRD+ in the absence of germline </w:t>
      </w:r>
      <w:r>
        <w:rPr>
          <w:rFonts w:ascii="Times New Roman" w:cs="Times New Roman" w:eastAsia="Times New Roman" w:hAnsi="Times New Roman"/>
          <w:sz w:val="18"/>
          <w:szCs w:val="18"/>
          <w:i w:val="1"/>
          <w:iCs w:val="1"/>
          <w:color w:val="auto"/>
        </w:rPr>
        <w:t>BRCA1/2</w:t>
      </w:r>
      <w:r>
        <w:rPr>
          <w:rFonts w:ascii="Times New Roman" w:cs="Times New Roman" w:eastAsia="Times New Roman" w:hAnsi="Times New Roman"/>
          <w:sz w:val="18"/>
          <w:szCs w:val="18"/>
          <w:color w:val="auto"/>
        </w:rPr>
        <w:t xml:space="preserve"> mutations. Additionally, 10–12% of advanced prostate cancer harbor germline or somatic </w:t>
      </w:r>
      <w:r>
        <w:rPr>
          <w:rFonts w:ascii="Times New Roman" w:cs="Times New Roman" w:eastAsia="Times New Roman" w:hAnsi="Times New Roman"/>
          <w:sz w:val="18"/>
          <w:szCs w:val="18"/>
          <w:i w:val="1"/>
          <w:iCs w:val="1"/>
          <w:color w:val="auto"/>
        </w:rPr>
        <w:t>BRCA2</w:t>
      </w:r>
      <w:r>
        <w:rPr>
          <w:rFonts w:ascii="Times New Roman" w:cs="Times New Roman" w:eastAsia="Times New Roman" w:hAnsi="Times New Roman"/>
          <w:sz w:val="18"/>
          <w:szCs w:val="18"/>
          <w:color w:val="auto"/>
        </w:rPr>
        <w:t xml:space="preserve"> inactivation and up to 25% contain a DNA repair defect.</w:t>
      </w:r>
    </w:p>
    <w:p>
      <w:pPr>
        <w:spacing w:after="0" w:line="173"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BRCA1/2</w:t>
      </w:r>
      <w:r>
        <w:rPr>
          <w:rFonts w:ascii="Times New Roman" w:cs="Times New Roman" w:eastAsia="Times New Roman" w:hAnsi="Times New Roman"/>
          <w:sz w:val="18"/>
          <w:szCs w:val="18"/>
          <w:color w:val="auto"/>
        </w:rPr>
        <w:t>-mutant cancers are sensitive to PARP inhibitors, a class of drugs that block single-strand break DNA repair, favoring accumulation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double-strand breaks that tumors harboring HRD+ cannot repair. Several PARP inhibitors have been approved for the treatment of HRD+ ovarian, breast, prostate, and pancreatic cancers and generated over $1.6 billion of revenue in 2019. There are currently no approved therapies for patients who progress on PARP inhibitors.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Myelofibrosis (MF)</w:t>
      </w:r>
    </w:p>
    <w:p>
      <w:pPr>
        <w:spacing w:after="0" w:line="118" w:lineRule="exact"/>
        <w:rPr>
          <w:sz w:val="20"/>
          <w:szCs w:val="20"/>
          <w:color w:val="auto"/>
        </w:rPr>
      </w:pPr>
    </w:p>
    <w:p>
      <w:pPr>
        <w:ind w:right="420" w:firstLine="449"/>
        <w:spacing w:after="0" w:line="278" w:lineRule="auto"/>
        <w:rPr>
          <w:sz w:val="20"/>
          <w:szCs w:val="20"/>
          <w:color w:val="auto"/>
        </w:rPr>
      </w:pPr>
      <w:r>
        <w:rPr>
          <w:rFonts w:ascii="Times New Roman" w:cs="Times New Roman" w:eastAsia="Times New Roman" w:hAnsi="Times New Roman"/>
          <w:sz w:val="18"/>
          <w:szCs w:val="18"/>
          <w:color w:val="auto"/>
        </w:rPr>
        <w:t>Myelofibrosis is part of a group of progressive blood cancers known as MPN. Approximately two-thirds of the 16,000-18,500 MF patients in the United States are classified as intermediate / high risk and are therefore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20"/>
          </w:cols>
          <w:pgMar w:left="320" w:top="454" w:right="3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eligible for systemic treatment. MF is associated with significantly reduced quality of life and shortened survival. As the disease progresses and the bone marrow produces fewer red blood cells, patients experience thrombocytopenia (low platelet counts) and anemia (low red blood cell counts) requiring increasing blood transfusions. Patients with MF suffer from multiple physical symptoms including splenic enlargement, excessive sweating, shortness of breath, bone pain, and fatigue. Demonstrated improvement in the Myelofibrosis Symptom Assessment Form TSS, which is comprised of six specific symptoms associated with MF (abdominal discomfort, pain under the left ribs, an early feeling of fullness, night sweats, bone and muscle pain and itching), has served as a key clinical endpoint in MF trials.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current standard of care therapy for intermediate- and high-risk MF patients is ruxolitinib, a JAK1/JAK2 inhibitor that inhibits dysregulated JAK.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Ruxolitinib revenues in MF were $1.6 billion in 2019. However, patients with anemia and/or thrombocytopenia are ineligible to receive ruxolitinib.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most patients will experience disease progression on ruxolitinib within three to five years.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Myelodysplastic Syndromes (MDS)</w:t>
      </w:r>
    </w:p>
    <w:p>
      <w:pPr>
        <w:spacing w:after="0" w:line="118"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Myelodysplastic syndromes are a group of blood disorders in which bone marrow becomes dysplastic or defective. The affected bone marrow produces aberrant blood cells, resulting in cytopenias (low healthy blood cell counts) that require transfusions. Bone marrow failure is progressive, and in advanced stages of the disease, blasts (immature blood cells) leave the bone marrow and enter the blood stream, leading to AML in approximately one-third of patients.</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American Cancer Society estimates the annual incidence of MDS to be more than 10,000 cases, and studies suggest the prevalence of MDS to be more than 60,000 cases in the United States. Various risk criteria are used to stratify MDS patients, including the French-American-British classifications and the Revised International Prognostic Scoring System, with higher risk MDS patients having a median survival of less than two years. Approximately one-third of MDS patients in the United States are classified as higher risk.</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standard of care treatment for higher risk MDS includes hypomethylating drugs azacitidine and/or decitabine. A significant number of higher risk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MDS patients fail or cannot tolerate treatment with azacitidine or decitabine, and almost all patients who initially respond to therapy eventually relapse.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 survival time of MDS patients who have progressed on hypomethylating drugs is less than six months.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Uveal Melanoma (UM)</w:t>
      </w:r>
    </w:p>
    <w:p>
      <w:pPr>
        <w:spacing w:after="0" w:line="118" w:lineRule="exact"/>
        <w:rPr>
          <w:sz w:val="20"/>
          <w:szCs w:val="20"/>
          <w:color w:val="auto"/>
        </w:rPr>
      </w:pPr>
    </w:p>
    <w:p>
      <w:pPr>
        <w:ind w:right="20" w:firstLine="449"/>
        <w:spacing w:after="0" w:line="278" w:lineRule="auto"/>
        <w:rPr>
          <w:sz w:val="20"/>
          <w:szCs w:val="20"/>
          <w:color w:val="auto"/>
        </w:rPr>
      </w:pPr>
      <w:r>
        <w:rPr>
          <w:rFonts w:ascii="Times New Roman" w:cs="Times New Roman" w:eastAsia="Times New Roman" w:hAnsi="Times New Roman"/>
          <w:sz w:val="18"/>
          <w:szCs w:val="18"/>
          <w:color w:val="auto"/>
        </w:rPr>
        <w:t>Uveal melanoma, or UM, is the most common primary intraocular malignancy in adults and comprises 5% of all melanomas. UM is an orphan disease with an estimated annual incidence in the United States and Europe of 6 per million population per year.</w:t>
      </w:r>
    </w:p>
    <w:p>
      <w:pPr>
        <w:spacing w:after="0" w:line="162" w:lineRule="exact"/>
        <w:rPr>
          <w:sz w:val="20"/>
          <w:szCs w:val="20"/>
          <w:color w:val="auto"/>
        </w:rPr>
      </w:pPr>
    </w:p>
    <w:p>
      <w:pPr>
        <w:ind w:firstLine="449"/>
        <w:spacing w:after="0" w:line="277" w:lineRule="auto"/>
        <w:rPr>
          <w:sz w:val="20"/>
          <w:szCs w:val="20"/>
          <w:color w:val="auto"/>
        </w:rPr>
      </w:pPr>
      <w:r>
        <w:rPr>
          <w:rFonts w:ascii="Times New Roman" w:cs="Times New Roman" w:eastAsia="Times New Roman" w:hAnsi="Times New Roman"/>
          <w:sz w:val="17"/>
          <w:szCs w:val="17"/>
          <w:color w:val="auto"/>
        </w:rPr>
        <w:t>Localized treatment for UM, including radiotherapy, phototherapy, and local tumor resection, aims to preserve the eye and vision while preventing metastases. However, surgical removal of the eye can be indicated depending on the tumor size, position, and risk of metastasis. Almost 50% of patients with uveal melanoma will develop distant metastasis. The liver is the most common site of metastasis and is involved in 90% of patients who develop metastatic disease. The median survival of uveal melanoma patients with liver metastases is reported to be five to six months, with a one-year survival of 10% to 15%.</w:t>
      </w:r>
    </w:p>
    <w:p>
      <w:pPr>
        <w:spacing w:after="0" w:line="167" w:lineRule="exact"/>
        <w:rPr>
          <w:sz w:val="20"/>
          <w:szCs w:val="20"/>
          <w:color w:val="auto"/>
        </w:rPr>
      </w:pPr>
    </w:p>
    <w:p>
      <w:pPr>
        <w:ind w:right="260" w:firstLine="449"/>
        <w:spacing w:after="0" w:line="263" w:lineRule="auto"/>
        <w:rPr>
          <w:sz w:val="20"/>
          <w:szCs w:val="20"/>
          <w:color w:val="auto"/>
        </w:rPr>
      </w:pPr>
      <w:r>
        <w:rPr>
          <w:rFonts w:ascii="Times New Roman" w:cs="Times New Roman" w:eastAsia="Times New Roman" w:hAnsi="Times New Roman"/>
          <w:sz w:val="18"/>
          <w:szCs w:val="18"/>
          <w:color w:val="auto"/>
        </w:rPr>
        <w:t>While there have been numerous recent therapeutic advancements and approvals for patients with metastatic cutaneous melanoma, the situation for patients with metastatic uveal melanoma is quite different. Several targeted therapies and immunotherapies have been studied in patients with uveal melanoma; however, response rates have been low (&lt;10%) with median overall survival ranging from 4 to 15 months.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20"/>
          </w:cols>
          <w:pgMar w:left="320" w:top="454" w:right="3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PRT811</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8"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Our second PRMT5 inhibitor, PRT811 is currently advancing in the dose escalation portion of a Phase 1 clinical trial in solid tumors, including GBM and PCNSL. PRT811 is designed to be a highly potent, selective and orally bioavailable molecule optimized for high brain exposure and hence we believe is uniquely positioned to treat PRMT5-sensitive CNS cancers. Upon characterizing PK, PD and safety profile and selecting a recommended dose, we plan to begin enrolling patients, including patients with GBM and other CNS cancers determined to be sensitive to PRMT5 inhibition, in the expansion portion of the clinical trial. We expect these expansions to begin in the first half of 2021 and anticipate initial clinical results from these expansion phases by the end of 2021.</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Preclinical</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 vitro potency and selectivity</w:t>
      </w:r>
    </w:p>
    <w:p>
      <w:pPr>
        <w:spacing w:after="0" w:line="114" w:lineRule="exact"/>
        <w:rPr>
          <w:sz w:val="20"/>
          <w:szCs w:val="20"/>
          <w:color w:val="auto"/>
        </w:rPr>
      </w:pPr>
    </w:p>
    <w:p>
      <w:pPr>
        <w:jc w:val="both"/>
        <w:ind w:right="100" w:firstLine="449"/>
        <w:spacing w:after="0" w:line="258" w:lineRule="auto"/>
        <w:rPr>
          <w:sz w:val="20"/>
          <w:szCs w:val="20"/>
          <w:color w:val="auto"/>
        </w:rPr>
      </w:pPr>
      <w:r>
        <w:rPr>
          <w:rFonts w:ascii="Times New Roman" w:cs="Times New Roman" w:eastAsia="Times New Roman" w:hAnsi="Times New Roman"/>
          <w:sz w:val="18"/>
          <w:szCs w:val="18"/>
          <w:color w:val="auto"/>
        </w:rPr>
        <w:t xml:space="preserve">We investigated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potency of PRT811 to inhibit the methyltransferase activity of human recombinant PRMT5 by measuring its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In this assay, we observed the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of PRT811 to be 3.9 nM. We also investigated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selectivity of PRT811 for PRMT5 as compared to a panel of 36 other human methyltransferases. When tested at a concentration &gt;1,000 times above its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for PRMT5, we observed that PRT811 exhibited minimal inhibition of PRMT7 (53.9% at 10 µM) and no inhibition of any other human methyltransferase tested.</w:t>
      </w:r>
    </w:p>
    <w:p>
      <w:pPr>
        <w:spacing w:after="0" w:line="182" w:lineRule="exact"/>
        <w:rPr>
          <w:sz w:val="20"/>
          <w:szCs w:val="20"/>
          <w:color w:val="auto"/>
        </w:rPr>
      </w:pPr>
    </w:p>
    <w:p>
      <w:pPr>
        <w:ind w:right="240" w:firstLine="449"/>
        <w:spacing w:after="0" w:line="255" w:lineRule="auto"/>
        <w:rPr>
          <w:sz w:val="20"/>
          <w:szCs w:val="20"/>
          <w:color w:val="auto"/>
        </w:rPr>
      </w:pPr>
      <w:r>
        <w:rPr>
          <w:rFonts w:ascii="Times New Roman" w:cs="Times New Roman" w:eastAsia="Times New Roman" w:hAnsi="Times New Roman"/>
          <w:sz w:val="18"/>
          <w:szCs w:val="18"/>
          <w:color w:val="auto"/>
        </w:rPr>
        <w:t xml:space="preserve">We determined the potency of PRT811 to inhibit PRMT5 in cells by measuring levels sDMA, a direct measure of PRMT5 activity. Tumor cell lines were treated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with various concentrations of PRT811 for three days and the PRT811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value to inhibit sDMA determined. We observed that PRT811 potently and dose-dependently reduced sDMA levels in the U87 glioblastoma cell line with an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value of 17 nM (Figure 14). The potency of PRT811 in blocking sDMA levels was confirmed in 11 additional cell lines, with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values in the range of 7-40 nM. These data demonstrate on-target effects of PRT811 in cells.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Figure 14. PRT811 is Highly Selective and Demonstrated Potent Inhibition of sDMA in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1926590</wp:posOffset>
            </wp:positionV>
            <wp:extent cx="7810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81050" cy="8255"/>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168910</wp:posOffset>
            </wp:positionV>
            <wp:extent cx="2267585" cy="1673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67585" cy="167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Concentration-dependent inhibition of cellular sDMA by PRT811 in U-87 MG cells following three days of treatment in culture. sDMA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14"/>
          <w:szCs w:val="14"/>
          <w:color w:val="auto"/>
        </w:rPr>
        <w:t>=17 ± 1 nM (n=12).</w:t>
      </w:r>
    </w:p>
    <w:p>
      <w:pPr>
        <w:spacing w:after="0" w:line="204"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We investigated the potency of PRT811 to inhibit the proliferation of a panel of cell lines representative of brain cancers as well as cancers known to have a high rate of brain metastasis (breast, lung, melanoma and hematological malignancies including lymphoma). Tumor cell lines were treated with various concentrations of PRT811 and the number of viable cells was measured after ten days in culture. Consistent with its effects in blocking sDMA levels, PRT811 inhibited the growth of the majority of cell lines in the panel with nanomolar potencies, demonstrating its broad anti-tumor effects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(Figure 15).</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454" w:right="3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Figure 15. Broad Antiproliferative Activity of PRT811 in a Cancer Cell Line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139815" cy="22675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39815" cy="226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4"/>
          <w:szCs w:val="14"/>
          <w:color w:val="auto"/>
        </w:rPr>
        <w:t>Waterfall plot showing anti-proliferative activity of PRT811 against a panel of 87 cell lines. Cell panel consists of brain cancer cell lines, as well as breast, lung, and melanoma cells lines, the predominant cancer types that metastasize to the brain.</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Preclinical pharmacokinetic profile</w:t>
      </w:r>
    </w:p>
    <w:p>
      <w:pPr>
        <w:spacing w:after="0" w:line="114" w:lineRule="exact"/>
        <w:rPr>
          <w:sz w:val="20"/>
          <w:szCs w:val="20"/>
          <w:color w:val="auto"/>
        </w:rPr>
      </w:pPr>
    </w:p>
    <w:p>
      <w:pPr>
        <w:ind w:firstLine="449"/>
        <w:spacing w:after="0" w:line="272" w:lineRule="auto"/>
        <w:rPr>
          <w:sz w:val="20"/>
          <w:szCs w:val="20"/>
          <w:color w:val="auto"/>
        </w:rPr>
      </w:pPr>
      <w:r>
        <w:rPr>
          <w:rFonts w:ascii="Times New Roman" w:cs="Times New Roman" w:eastAsia="Times New Roman" w:hAnsi="Times New Roman"/>
          <w:sz w:val="17"/>
          <w:szCs w:val="17"/>
          <w:color w:val="auto"/>
        </w:rPr>
        <w:t xml:space="preserve">The PK profile of PRT811 was characterized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in multiple preclinical species including rat, dog and monkey. PRT811 was observed to have good oral bioavailability and high permeability and was not a substrate for P-glycoprotein, or P-gp, and other efflux mechanisms that typically result in low brain exposure. These data suggest PRT811 is not likely to have high efflux out of the brain due to transporters such as P-gp, an important feature of brain penetrant compounds. Accordingly, we observed that the brain exposure of PRT811 in rats after an intravenous infusion was high with an approximate brain/plasma ratio of two (Table 4). Although both compounds have equivalent potency to inhibit GBM cell line U87 proliferation, the brain:plasma ratio was approximately 100x higher for PRT811 compared to the GSK PRMT5 inhibitor currently in development, providing a clear differentiation for PRT811.</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Table 4. Comparison of Cellular Potency and Brain to Plasma Ratio of PRT811 vs. GSK3326595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814070</wp:posOffset>
            </wp:positionV>
            <wp:extent cx="7810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81050" cy="825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448945</wp:posOffset>
            </wp:positionV>
            <wp:extent cx="636905" cy="2717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6905" cy="27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4"/>
          <w:szCs w:val="14"/>
          <w:color w:val="auto"/>
        </w:rPr>
        <w:t xml:space="preserve">Concentration-dependent inhibition of U87 glioblastoma tumor cell proliferation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following 10 days of treatment with PRT811 or GSK3326595. Concentration (total) of PRT811 and GSK3326595 in rat plasma and brain following a 4-h intravenous infusion at 5 mL/h/kg. Data are expressed as mean concentration (±SD) in naïve male animals (n = 3 per time point).</w:t>
      </w:r>
    </w:p>
    <w:p>
      <w:pPr>
        <w:spacing w:after="0" w:line="168" w:lineRule="exact"/>
        <w:rPr>
          <w:sz w:val="20"/>
          <w:szCs w:val="20"/>
          <w:color w:val="auto"/>
        </w:rPr>
      </w:pPr>
    </w:p>
    <w:p>
      <w:pPr>
        <w:ind w:right="280" w:firstLine="449"/>
        <w:spacing w:after="0" w:line="278" w:lineRule="auto"/>
        <w:rPr>
          <w:sz w:val="20"/>
          <w:szCs w:val="20"/>
          <w:color w:val="auto"/>
        </w:rPr>
      </w:pPr>
      <w:r>
        <w:rPr>
          <w:rFonts w:ascii="Times New Roman" w:cs="Times New Roman" w:eastAsia="Times New Roman" w:hAnsi="Times New Roman"/>
          <w:sz w:val="18"/>
          <w:szCs w:val="18"/>
          <w:color w:val="auto"/>
        </w:rPr>
        <w:t>The ability of a compound to effectively achieve high brain exposures has been highlighted most recently by the significantly improved activity of brain penetrant kinase inhibitors compared to their non-brain penetrant</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80"/>
          </w:cols>
          <w:pgMar w:left="320" w:top="454" w:right="39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 xml:space="preserve">counterparts in patients with CNS cancers or with CNS metastasis. In addition, a clear role for PRMT5 inhibition in CNS cancers such as glioblastoma has been demonstrated in preclinical models. Glioblastoma has been shown to be highly dependent on correct mRNA splicing for growth and to have alterations in </w:t>
      </w:r>
      <w:r>
        <w:rPr>
          <w:rFonts w:ascii="Times New Roman" w:cs="Times New Roman" w:eastAsia="Times New Roman" w:hAnsi="Times New Roman"/>
          <w:sz w:val="17"/>
          <w:szCs w:val="17"/>
          <w:i w:val="1"/>
          <w:iCs w:val="1"/>
          <w:color w:val="auto"/>
        </w:rPr>
        <w:t>MTAP</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cyclin D1</w:t>
      </w:r>
      <w:r>
        <w:rPr>
          <w:rFonts w:ascii="Times New Roman" w:cs="Times New Roman" w:eastAsia="Times New Roman" w:hAnsi="Times New Roman"/>
          <w:sz w:val="17"/>
          <w:szCs w:val="17"/>
          <w:color w:val="auto"/>
        </w:rPr>
        <w:t>, all markers of enhanced sensitivity to PRMT5 inhibition. High PRMT5 expression has been shown to reduce GBM median survival from over 700 days to approximately 100 days. Together, these data provide a clear rationale for selecting PRT811 for development in CNS cancers.</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PRT811 activity in models for GBM</w:t>
      </w:r>
    </w:p>
    <w:p>
      <w:pPr>
        <w:spacing w:after="0" w:line="114" w:lineRule="exact"/>
        <w:rPr>
          <w:sz w:val="20"/>
          <w:szCs w:val="20"/>
          <w:color w:val="auto"/>
        </w:rPr>
      </w:pPr>
    </w:p>
    <w:p>
      <w:pPr>
        <w:ind w:right="22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we investigated the ability of PRT811 to reduce sDMA levels in tumor tissues in the U-87MG GBM xenograft tumor model. Tumor-bearing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mice were dosed orally once daily for 25 days with either 20 or 30 mg/kg of PRT811. PRT811 at both dose levels demonstrated significant anti-tumor activity in the U-87MG model with 91% inhibition at the 20 mg/kg dose and 100% inhibition at the 30 mg/kg dose (Figure 16). At the 20 mg/kg dose, the plasma concentrations of PRT811 were above the protein binding adjusted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value observed in the sDMA cellular assay for approximately six hours, suggesting that continual enzyme inhibition is not required for activity in the model.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Figure 16. PRT811 Inhibited Tumor Growth in the U-87MG Subcutaneous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2130425</wp:posOffset>
            </wp:positionV>
            <wp:extent cx="7810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81050" cy="825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168910</wp:posOffset>
            </wp:positionV>
            <wp:extent cx="2378075" cy="18770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7807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4"/>
          <w:szCs w:val="14"/>
          <w:color w:val="auto"/>
        </w:rPr>
        <w:t xml:space="preserve">Nude rats bearing subcutaneously implanted U-87 MG tumors were dosed orally with 20 or 30 mg/kg PRT811 q.d.. Significant antitumor activities were observed at both doses (tumor regression for 30 mg/kg). *: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 xml:space="preserve">&lt; 0.05; **: </w:t>
      </w:r>
      <w:r>
        <w:rPr>
          <w:rFonts w:ascii="Times New Roman" w:cs="Times New Roman" w:eastAsia="Times New Roman" w:hAnsi="Times New Roman"/>
          <w:sz w:val="14"/>
          <w:szCs w:val="14"/>
          <w:i w:val="1"/>
          <w:iCs w:val="1"/>
          <w:color w:val="auto"/>
        </w:rPr>
        <w:t>P</w:t>
      </w:r>
      <w:r>
        <w:rPr>
          <w:rFonts w:ascii="Times New Roman" w:cs="Times New Roman" w:eastAsia="Times New Roman" w:hAnsi="Times New Roman"/>
          <w:sz w:val="14"/>
          <w:szCs w:val="14"/>
          <w:color w:val="auto"/>
        </w:rPr>
        <w:t>&lt; 0.01. Student’s t test, 2 tailed. N=8/arm mg/kg, milligrams/kilogram; PO, oral; q.d., once daily; SEM, standard error of the mean.</w:t>
      </w:r>
    </w:p>
    <w:p>
      <w:pPr>
        <w:spacing w:after="0" w:line="17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Since PRT811 was shown to have brain penetration, the effects of PRT811 treatment on sDMA levels in an orthotopic U-87MG model were also assessed. In this model, the U87 glioblastoma cells were implanted directly in the brain. This model requires compound penetration into the brain in order for the compound to inhibit tumor growth. PRT811 was dosed orally once daily for seven days at 80 mg/kg and sDMA levels measured by immunohistochemistry in the brain tumor tissues. We observed that PRT811 reduced sDMA levels in brain tumor tissues by approximately 50% (Figure 17), indicating that it effectively penetrated the brain tumor tissue and inhibited cellular PRMT5 activity in the brain tumor.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454" w:right="3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Figure 17. PRT811 Decreased sDMA Levels in the U87 Orthotopic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5231130" cy="15881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31130"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Mice bearing orthotopic U-87 MG tumors were treated with vehicle or PRT811 (80 mg/kg, BID) for one week. Whole brain sections (FFPE) were stained with H&amp;E or sDMA antibody.</w:t>
      </w:r>
    </w:p>
    <w:p>
      <w:pPr>
        <w:spacing w:after="0" w:line="204"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 xml:space="preserve">In summary, PRT811 was shown to have high brain exposure, to inhibit PRMT5 activity in a brain tumor model and to demonstrate significant anti-tumor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No evidence of CNS toxicity was observed in preclinical toxicology studies. Together, these data support the exploration of PRT811 in cancers, including in GBM, PCNSL and other CNS cancers.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Experience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data are reflective of a data cutoff of September 1, 2020 unless otherwise stated.</w:t>
      </w:r>
    </w:p>
    <w:p>
      <w:pPr>
        <w:spacing w:after="0" w:line="2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Data is available from 17 patients (ten with solid tumors, six with glioma, one with diagnosis pending) from the dose escalation portion of the ongoing Phase 1 clinical trial of monotherapy PRT811. The safety profile consists predominantly of Grades 1-2 adverse events and was similar across both solid tumor and glioma patients. To date, no dose limiting toxicities have been seen. PK/PD analysis reveals dose-dependent increases in drug exposure across doses and schedules with associated decreases in sDMA levels. The dose escalation portion is ongoing. The dose expansion portion of the study is expected to begin in the second half of the year.</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Clinical Trial Design and Schema</w:t>
      </w:r>
    </w:p>
    <w:p>
      <w:pPr>
        <w:spacing w:after="0" w:line="116" w:lineRule="exact"/>
        <w:rPr>
          <w:sz w:val="20"/>
          <w:szCs w:val="20"/>
          <w:color w:val="auto"/>
        </w:rPr>
      </w:pPr>
    </w:p>
    <w:p>
      <w:pPr>
        <w:ind w:right="100" w:firstLine="449"/>
        <w:spacing w:after="0" w:line="277" w:lineRule="auto"/>
        <w:rPr>
          <w:sz w:val="20"/>
          <w:szCs w:val="20"/>
          <w:color w:val="auto"/>
        </w:rPr>
      </w:pPr>
      <w:r>
        <w:rPr>
          <w:rFonts w:ascii="Times New Roman" w:cs="Times New Roman" w:eastAsia="Times New Roman" w:hAnsi="Times New Roman"/>
          <w:sz w:val="17"/>
          <w:szCs w:val="17"/>
          <w:color w:val="auto"/>
        </w:rPr>
        <w:t>This is a multicenter, open-label, dose-escalation, dose-expansion Phase 1 clinical trial of PRT811. Enrollment into the dose escalation portion of the clinical trial includes patients with R/R solid tumors, PCNSL, and /or high-grade gliomas. Enrollment initiated in November 2019 and is being conducted across seven sites in the United States. We anticipate initiating enrollment of the dose expansion portion of the clinical trial in two patient cohorts consisting of patients with GBM and R/R PCNSL, respectively, in the first half of 2021. The total expected enrollment is approximately 60 patients.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454"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Figure 18. PRT811 Clinical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168910</wp:posOffset>
            </wp:positionV>
            <wp:extent cx="4789805" cy="15881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89805"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Interim and Preliminary Clinical Data</w:t>
      </w:r>
    </w:p>
    <w:p>
      <w:pPr>
        <w:spacing w:after="0" w:line="3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Interim and Preliminary Results: Dose Escalation</w:t>
      </w:r>
    </w:p>
    <w:p>
      <w:pPr>
        <w:spacing w:after="0" w:line="116" w:lineRule="exact"/>
        <w:rPr>
          <w:sz w:val="20"/>
          <w:szCs w:val="20"/>
          <w:color w:val="auto"/>
        </w:rPr>
      </w:pPr>
    </w:p>
    <w:p>
      <w:pPr>
        <w:jc w:val="both"/>
        <w:ind w:right="160" w:firstLine="449"/>
        <w:spacing w:after="0" w:line="263" w:lineRule="auto"/>
        <w:rPr>
          <w:sz w:val="20"/>
          <w:szCs w:val="20"/>
          <w:color w:val="auto"/>
        </w:rPr>
      </w:pPr>
      <w:r>
        <w:rPr>
          <w:rFonts w:ascii="Times New Roman" w:cs="Times New Roman" w:eastAsia="Times New Roman" w:hAnsi="Times New Roman"/>
          <w:sz w:val="18"/>
          <w:szCs w:val="18"/>
          <w:color w:val="auto"/>
        </w:rPr>
        <w:t>To date, the safety profile among 17 patients demonstrated that PRT811 has been well tolerated at the doses and schedule ranging from 15 mg to 200 mg (q.d. two weeks on/one week off). There were no deaths or study discontinuations related to PRT811. A total of five SAEs have been reported amongst five patients and of those, none were deemed related to PRT811.</w:t>
      </w:r>
    </w:p>
    <w:p>
      <w:pPr>
        <w:spacing w:after="0" w:line="17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most commonly reported adverse events, regardless of causality, include constipation (29.4%), nausea (23.5%), vomiting (11.8%) and hyponatremia (11.8%). When examining drug-related adverse events, nausea (17.6%) was most reported. It should be noted that the vast majority, 91.8%, of these adverse events were Grades 1-2 and adverse effects of this type and grade are routine amongst cancer patients and can be medically managed with relative ease.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dose limiting toxicities have been observed to date.</w:t>
      </w:r>
    </w:p>
    <w:p>
      <w:pPr>
        <w:spacing w:after="0" w:line="221" w:lineRule="exact"/>
        <w:rPr>
          <w:sz w:val="20"/>
          <w:szCs w:val="20"/>
          <w:color w:val="auto"/>
        </w:rPr>
      </w:pPr>
    </w:p>
    <w:p>
      <w:pPr>
        <w:ind w:firstLine="449"/>
        <w:spacing w:after="0" w:line="268" w:lineRule="auto"/>
        <w:rPr>
          <w:sz w:val="20"/>
          <w:szCs w:val="20"/>
          <w:color w:val="auto"/>
        </w:rPr>
      </w:pPr>
      <w:r>
        <w:rPr>
          <w:rFonts w:ascii="Times New Roman" w:cs="Times New Roman" w:eastAsia="Times New Roman" w:hAnsi="Times New Roman"/>
          <w:sz w:val="17"/>
          <w:szCs w:val="17"/>
          <w:color w:val="auto"/>
        </w:rPr>
        <w:t>Of the 17 patients including six GBM patients evaluated to date, one patient has demonstrated evidence of tumor size reduction by MRI evaluation. This patient with recurrent GBM, who was originally diagnosed and treated with surgery and chemoradiation with Temodar in July 2019, presented with progressive disease in June 2020. The patient initiated study therapy with PRT811 in July 2020 and was placed into the 200 mg (q.d. two weeks on/one week off) dose cohort. The patient’s tumor is positive for IDH1(R132H) mutation and negative for methylation of O6-methylguanine-DNA methyltransferase (MGMT) promoter. Baseline MRI scans revealed a single target lesion, per response assessment in neuro-oncology (RANO) criteria, measuring 23 mm by 10 mm. In September 2020, we were notified that at the patient’s first follow-up scan performed on week seven, the lesion measured 13 mm by 6 mm, representing a 66% decrease from baseline. T2/FLAIR (fluid-attenuated inversion recovery) sequence, measured as a standard part of GBM MRI evaluation, was stable. The patient has not been treated with steroids or Avastin and their clinical status is stable. The patient remains on study with follow-up MRI evaluations to be conducted approximately every eight weeks. Figure 18.1 below shows baseline and the first follow up MRI images of the patient’s lesion.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20"/>
          </w:cols>
          <w:pgMar w:left="320" w:top="454" w:right="3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Figure 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15875</wp:posOffset>
            </wp:positionV>
            <wp:extent cx="4008120" cy="2692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08120" cy="269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Pharmacokinetic and Pharmacodynamic Data</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data cutoff, preliminary PK data were available for 17 patients administered PRT811 at one schedule (q.d. two weeks on/one week off).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 data are shown in Table 5.</w:t>
      </w:r>
    </w:p>
    <w:p>
      <w:pPr>
        <w:spacing w:after="0" w:line="202"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We observed that PRT811 demonstrated rapid absorption with dose-proportional increases in exposure. Half-life values for different doses are similar, ranging from two to four hours, as predicted by preclinical data. The maximum plasma concentration, or Cmax, at the 120 and 200 mg doses reached the estimated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for PRMT5 inhibition. Consistent with the PK, the maximum sDMA inhibition observed, as an indicator of target engagement, was approximately 50% at the 120 and 200 mg dose levels. Based on the current PK and PD, two to three additional cohorts are anticipated, as originally planned, to reach the recommended expansion dose. Our preliminary PK data showed plasma levels at doses of 120 mg and above achieved the concentrations required to inhibit PRMT5 in our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and hence support continued clinical development.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5. Preliminary Day 1 PRT811 Pharmacokinetics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Parameter</w:t>
            </w:r>
          </w:p>
        </w:tc>
        <w:tc>
          <w:tcPr>
            <w:tcW w:w="4100" w:type="dxa"/>
            <w:vAlign w:val="bottom"/>
            <w:vMerge w:val="restart"/>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Doses</w:t>
            </w: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60" w:type="dxa"/>
            <w:vAlign w:val="bottom"/>
            <w:tcBorders>
              <w:bottom w:val="single" w:sz="8" w:color="auto"/>
            </w:tcBorders>
            <w:vMerge w:val="continue"/>
          </w:tcPr>
          <w:p>
            <w:pPr>
              <w:spacing w:after="0"/>
              <w:rPr>
                <w:sz w:val="12"/>
                <w:szCs w:val="12"/>
                <w:color w:val="auto"/>
              </w:rPr>
            </w:pPr>
          </w:p>
        </w:tc>
        <w:tc>
          <w:tcPr>
            <w:tcW w:w="4100" w:type="dxa"/>
            <w:vAlign w:val="bottom"/>
            <w:vMerge w:val="continue"/>
          </w:tcPr>
          <w:p>
            <w:pPr>
              <w:spacing w:after="0"/>
              <w:rPr>
                <w:sz w:val="12"/>
                <w:szCs w:val="12"/>
                <w:color w:val="auto"/>
              </w:rPr>
            </w:pPr>
          </w:p>
        </w:tc>
        <w:tc>
          <w:tcPr>
            <w:tcW w:w="138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15 mg (n=3)</w:t>
            </w:r>
          </w:p>
        </w:tc>
        <w:tc>
          <w:tcPr>
            <w:tcW w:w="1400" w:type="dxa"/>
            <w:vAlign w:val="bottom"/>
            <w:gridSpan w:val="2"/>
          </w:tcPr>
          <w:p>
            <w:pPr>
              <w:jc w:val="right"/>
              <w:ind w:right="660"/>
              <w:spacing w:after="0" w:line="127" w:lineRule="exact"/>
              <w:rPr>
                <w:sz w:val="20"/>
                <w:szCs w:val="20"/>
                <w:color w:val="auto"/>
              </w:rPr>
            </w:pPr>
            <w:r>
              <w:rPr>
                <w:rFonts w:ascii="Times New Roman" w:cs="Times New Roman" w:eastAsia="Times New Roman" w:hAnsi="Times New Roman"/>
                <w:sz w:val="14"/>
                <w:szCs w:val="14"/>
                <w:b w:val="1"/>
                <w:bCs w:val="1"/>
                <w:color w:val="auto"/>
              </w:rPr>
              <w:t>30 mg (n=3)</w:t>
            </w:r>
          </w:p>
        </w:tc>
        <w:tc>
          <w:tcPr>
            <w:tcW w:w="138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60 mg (n=3)</w:t>
            </w:r>
          </w:p>
        </w:tc>
        <w:tc>
          <w:tcPr>
            <w:tcW w:w="1460" w:type="dxa"/>
            <w:vAlign w:val="bottom"/>
            <w:gridSpan w:val="2"/>
          </w:tcPr>
          <w:p>
            <w:pPr>
              <w:jc w:val="right"/>
              <w:ind w:right="660"/>
              <w:spacing w:after="0" w:line="127" w:lineRule="exact"/>
              <w:rPr>
                <w:sz w:val="20"/>
                <w:szCs w:val="20"/>
                <w:color w:val="auto"/>
              </w:rPr>
            </w:pPr>
            <w:r>
              <w:rPr>
                <w:rFonts w:ascii="Times New Roman" w:cs="Times New Roman" w:eastAsia="Times New Roman" w:hAnsi="Times New Roman"/>
                <w:sz w:val="14"/>
                <w:szCs w:val="14"/>
                <w:b w:val="1"/>
                <w:bCs w:val="1"/>
                <w:color w:val="auto"/>
                <w:w w:val="98"/>
              </w:rPr>
              <w:t>120 mg (n=4)</w:t>
            </w:r>
          </w:p>
        </w:tc>
        <w:tc>
          <w:tcPr>
            <w:tcW w:w="80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w w:val="98"/>
              </w:rPr>
              <w:t>200 mg (n=4)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76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Cmax (nM)</w:t>
            </w: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34</w:t>
            </w:r>
          </w:p>
        </w:tc>
        <w:tc>
          <w:tcPr>
            <w:tcW w:w="6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58</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246</w:t>
            </w:r>
          </w:p>
        </w:tc>
        <w:tc>
          <w:tcPr>
            <w:tcW w:w="6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530</w:t>
            </w:r>
          </w:p>
        </w:tc>
        <w:tc>
          <w:tcPr>
            <w:tcW w:w="6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751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Tmax (h)</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4"/>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AUC0-t (nM·h)</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177</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498</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1573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Addressable Oncology Market for PRT811</w:t>
      </w:r>
    </w:p>
    <w:p>
      <w:pPr>
        <w:spacing w:after="0" w:line="118"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Our clinical development strategy for PRT811 is to initially focus on CNS indications where there is a patient selection strategy along with a high unmet need, no approved therapies and opportunity to utilize early clinical data to design registrational trials. Based on these criteria, the following are examples of indications where we believe we have significant opportunity. Additionally, we may explore the activity of PRT811 in CNS metastatic disease, which impacts approximately 200,000 patients annually in the United States.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454" w:right="3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Glioblastoma multiforme (GBM)</w:t>
      </w:r>
    </w:p>
    <w:p>
      <w:pPr>
        <w:spacing w:after="0" w:line="118"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Glioblastoma multiforme is the most common malignant primary brain tumor making up 54% of all gliomas and 16% of all primary brain tumors. It is the most aggressive diffuse glioma tumor of astrocytic lineage and under WHO classification is considered a grade IV glioma. Each year, there are approximately 10,000 patients diagnosed with GBM in the United States. GBM remains an incurable tumor with a median survival of only 15 months. Fewer than five percent of GBM patients live beyond five years.</w:t>
      </w:r>
    </w:p>
    <w:p>
      <w:pPr>
        <w:spacing w:after="0" w:line="180"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GBMs can be classified into primary and secondary GBMs. Primary GBM occurs de novo without evidence of a less malignant precursor, whereas secondary GBM develops from initially low-grade diffuse astrocytoma (WHO grade II diffuse astrocytoma) or anaplastic astrocytoma (Grade III). The majority of GBMs (90%) are primary and patients with primary GBM tend to be older (mean age = 55 years) than those with secondary GBM (mean age = 40 years).</w:t>
      </w:r>
    </w:p>
    <w:p>
      <w:pPr>
        <w:spacing w:after="0" w:line="180" w:lineRule="exact"/>
        <w:rPr>
          <w:sz w:val="20"/>
          <w:szCs w:val="20"/>
          <w:color w:val="auto"/>
        </w:rPr>
      </w:pPr>
    </w:p>
    <w:p>
      <w:pPr>
        <w:ind w:right="120" w:firstLine="449"/>
        <w:spacing w:after="0" w:line="263" w:lineRule="auto"/>
        <w:rPr>
          <w:sz w:val="20"/>
          <w:szCs w:val="20"/>
          <w:color w:val="auto"/>
        </w:rPr>
      </w:pPr>
      <w:r>
        <w:rPr>
          <w:rFonts w:ascii="Times New Roman" w:cs="Times New Roman" w:eastAsia="Times New Roman" w:hAnsi="Times New Roman"/>
          <w:sz w:val="18"/>
          <w:szCs w:val="18"/>
          <w:color w:val="auto"/>
        </w:rPr>
        <w:t>Treatment is mainly palliative, initially consisting of surgical resection followed by radiation therapy and concurrent chemotherapy. Current therapies include GLIADEL Wafers (carmustine implant), TEMODAR (temozolomide) and AVASTIN (bevacizumab), which show virtually no overall survival benefit for recurrent tumors.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Primary CNS Lymphoma (PCNSL)</w:t>
      </w:r>
    </w:p>
    <w:p>
      <w:pPr>
        <w:spacing w:after="0" w:line="118" w:lineRule="exact"/>
        <w:rPr>
          <w:sz w:val="20"/>
          <w:szCs w:val="20"/>
          <w:color w:val="auto"/>
        </w:rPr>
      </w:pPr>
    </w:p>
    <w:p>
      <w:pPr>
        <w:ind w:right="100" w:firstLine="449"/>
        <w:spacing w:after="0" w:line="278" w:lineRule="auto"/>
        <w:rPr>
          <w:sz w:val="20"/>
          <w:szCs w:val="20"/>
          <w:color w:val="auto"/>
        </w:rPr>
      </w:pPr>
      <w:r>
        <w:rPr>
          <w:rFonts w:ascii="Times New Roman" w:cs="Times New Roman" w:eastAsia="Times New Roman" w:hAnsi="Times New Roman"/>
          <w:sz w:val="18"/>
          <w:szCs w:val="18"/>
          <w:color w:val="auto"/>
        </w:rPr>
        <w:t>Primary central nervous system lymphoma is a type of NHL in which malignant lymphatic cells form in the brain and/or spinal cord. PCNSL can also start in the eye (ocular lymphoma) and/or can involve the cerebrospinal fluid (leptomeningeal lymphoma).</w:t>
      </w:r>
    </w:p>
    <w:p>
      <w:pPr>
        <w:spacing w:after="0" w:line="162" w:lineRule="exact"/>
        <w:rPr>
          <w:sz w:val="20"/>
          <w:szCs w:val="20"/>
          <w:color w:val="auto"/>
        </w:rPr>
      </w:pPr>
    </w:p>
    <w:p>
      <w:pPr>
        <w:ind w:right="240" w:firstLine="449"/>
        <w:spacing w:after="0" w:line="263" w:lineRule="auto"/>
        <w:rPr>
          <w:sz w:val="20"/>
          <w:szCs w:val="20"/>
          <w:color w:val="auto"/>
        </w:rPr>
      </w:pPr>
      <w:r>
        <w:rPr>
          <w:rFonts w:ascii="Times New Roman" w:cs="Times New Roman" w:eastAsia="Times New Roman" w:hAnsi="Times New Roman"/>
          <w:sz w:val="18"/>
          <w:szCs w:val="18"/>
          <w:color w:val="auto"/>
        </w:rPr>
        <w:t>PCNSL is a rare malignancy with an annual incidence rate of seven cases per 1,000,000 people in the United States. PCNSL is relatively more common in immunosuppressed populations, particularly among people with human immunodeficiency virus, or HIV, infection or in solid organ transplant recipients. The median age of diagnosis is 55; the median age of HIV-infected patients with PCNSL is 35.</w:t>
      </w:r>
    </w:p>
    <w:p>
      <w:pPr>
        <w:spacing w:after="0" w:line="175" w:lineRule="exact"/>
        <w:rPr>
          <w:sz w:val="20"/>
          <w:szCs w:val="20"/>
          <w:color w:val="auto"/>
        </w:rPr>
      </w:pPr>
    </w:p>
    <w:p>
      <w:pPr>
        <w:jc w:val="both"/>
        <w:ind w:right="220" w:firstLine="449"/>
        <w:spacing w:after="0" w:line="263" w:lineRule="auto"/>
        <w:rPr>
          <w:sz w:val="20"/>
          <w:szCs w:val="20"/>
          <w:color w:val="auto"/>
        </w:rPr>
      </w:pPr>
      <w:r>
        <w:rPr>
          <w:rFonts w:ascii="Times New Roman" w:cs="Times New Roman" w:eastAsia="Times New Roman" w:hAnsi="Times New Roman"/>
          <w:sz w:val="18"/>
          <w:szCs w:val="18"/>
          <w:color w:val="auto"/>
        </w:rPr>
        <w:t>From 1998 through 2011, survival was poor for PCNSL cases, with just 15.8% of HIV-infected cases and 28.9% of HIV-uninfected cases alive five years after diagnosis. There is no standard treatment for PCNSL, however patients often receive a combination of Rituxan (rituximab), temozolomide, and high-dose methotrexate.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MCL1 Inhibitor: PRT1419</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8"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 xml:space="preserve">PRT1419 is designed to be a potent and selective inhibitor of the anti-apoptotic protein, MCL1. PRT1419 has been optimized to have the PK properties to allow for either oral or IV administration, providing maximal coverage of the target while maintaining an adequate tolerability window. We have received FDA clearance of our IND to initiate a Phase 1 clinical trial with oral formulation of PRT1419. We are also conducting IND-enabling studies with an IV formulation and plan to advance it into clinical development in the future. We believe that pursuing two different routes of administration gives us optionality to tailor the product profile for different cancers which may have different requirements for target engagement. Based on our preclinical data, as well as published third-party data, we believe that hematological malignancies are particularly sensitive to MCL1 inhibitors.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upregulation has been noted as a mechanism of acquired resistance to venetoclax and TKIs. In addition, certain solid tumors are responsive to MCL1 inhibition, informing a potential patient selection strategy. We expect to advance PRT1419 in a Phase 1 clinical trial in high risk MDS/AML and NHL/MM patients in the second half of 2020. Based on data demonstrating that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is a primary resistance mechanism to BCL2 inhibitors like venetoclax, a combination study with azacitidine or venetoclax in MDS/AML is planned. The combination arm is expected to initiate in 2021 after an active dose of PRT1419 as monotherapy has been identified.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454" w:right="3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18" w:lineRule="exact"/>
        <w:rPr>
          <w:sz w:val="20"/>
          <w:szCs w:val="20"/>
          <w:color w:val="auto"/>
        </w:rPr>
      </w:pPr>
    </w:p>
    <w:p>
      <w:pPr>
        <w:ind w:firstLine="449"/>
        <w:spacing w:after="0" w:line="271" w:lineRule="auto"/>
        <w:rPr>
          <w:sz w:val="20"/>
          <w:szCs w:val="20"/>
          <w:color w:val="auto"/>
        </w:rPr>
      </w:pPr>
      <w:r>
        <w:rPr>
          <w:rFonts w:ascii="Times New Roman" w:cs="Times New Roman" w:eastAsia="Times New Roman" w:hAnsi="Times New Roman"/>
          <w:sz w:val="17"/>
          <w:szCs w:val="17"/>
          <w:color w:val="auto"/>
        </w:rPr>
        <w:t xml:space="preserve">The ability to evade cell death is a hallmark of cancer because it is one of the unique acquired abilities that allows malignant transformation of a normal cell. MCL1 and BCL2 are both members of a family of proteins that regulate cell survival versus cell death. Under normal circumstances, MCL1 and BCL2 exert their pro-survival function by binding to and sequestering the pro-death proteins, BAK and BAX, and prevent the activation of a downstream cascade leading to apoptosis (Figure 19). In normal cells, cellular stressors such as DNA damage disrupt this interaction and result in cell death. Cancer cells, however, frequently upregulate pro-survival proteins to prevent activation of the apoptotic pathway, thus evading death. </w:t>
      </w:r>
      <w:r>
        <w:rPr>
          <w:rFonts w:ascii="Times New Roman" w:cs="Times New Roman" w:eastAsia="Times New Roman" w:hAnsi="Times New Roman"/>
          <w:sz w:val="17"/>
          <w:szCs w:val="17"/>
          <w:i w:val="1"/>
          <w:iCs w:val="1"/>
          <w:color w:val="auto"/>
        </w:rPr>
        <w:t>MCL1</w:t>
      </w:r>
      <w:r>
        <w:rPr>
          <w:rFonts w:ascii="Times New Roman" w:cs="Times New Roman" w:eastAsia="Times New Roman" w:hAnsi="Times New Roman"/>
          <w:sz w:val="17"/>
          <w:szCs w:val="17"/>
          <w:color w:val="auto"/>
        </w:rPr>
        <w:t xml:space="preserve"> has been shown to have a critical role in promoting cancer cell survival and is frequently found to be amplified or overexpressed in both solid tumors and hematologic cancers.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Figure 19. MCL1 Promotes Tumor Cell Survival by Inhibiting Apoptosis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5443855" cy="25304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43855" cy="253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4"/>
          <w:szCs w:val="14"/>
          <w:color w:val="auto"/>
        </w:rPr>
        <w:t>Members of the BCL2 protein family control cell survival and cell death. MCL1, a member of the family, acts to suppress cell death and has emerged as a target for anti-cancer therapy and as a resistance mechanism to the BCL2 inhibitor, venetoclax.</w:t>
      </w:r>
    </w:p>
    <w:p>
      <w:pPr>
        <w:spacing w:after="0" w:line="170"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 xml:space="preserve">Inhibition of MCL1 expression and/or function is therefore of considerable therapeutic interest in cancer. The importance of blocking the protein-protein interaction between pro-survival and pro-death proteins as a therapy to promote tumor cell death has been clinically validated with the BCL2 inhibitor, venetoclax. Venetoclax was approved in 2016 for R/R patients with CLL and in 2018 for patients with AML.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is upregulated in response to BCL2 inhibition and has been implicated in mediating resistance to venetoclax, as well as to chemotherapeutic agents and other targeted therapies including TKIs. These studies have demonstrated the potentially broad clinical benefits of targeting cell survival through MCL1 inhibition in cancer.</w:t>
      </w:r>
    </w:p>
    <w:p>
      <w:pPr>
        <w:spacing w:after="0" w:line="184" w:lineRule="exact"/>
        <w:rPr>
          <w:sz w:val="20"/>
          <w:szCs w:val="20"/>
          <w:color w:val="auto"/>
        </w:rPr>
      </w:pPr>
    </w:p>
    <w:p>
      <w:pPr>
        <w:ind w:right="260" w:firstLine="449"/>
        <w:spacing w:after="0" w:line="254" w:lineRule="auto"/>
        <w:rPr>
          <w:sz w:val="20"/>
          <w:szCs w:val="20"/>
          <w:color w:val="auto"/>
        </w:rPr>
      </w:pPr>
      <w:r>
        <w:rPr>
          <w:rFonts w:ascii="Times New Roman" w:cs="Times New Roman" w:eastAsia="Times New Roman" w:hAnsi="Times New Roman"/>
          <w:sz w:val="18"/>
          <w:szCs w:val="18"/>
          <w:color w:val="auto"/>
        </w:rPr>
        <w:t xml:space="preserve">Small molecule MCL1 inhibitors have been shown to be remarkably efficacious as monotherapy in preclinical models of MM, AML and lymphoma. Treatment with these inhibitors leads to robust activation of apoptosis markers including cleaved caspase-3 and cleaved PARP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vitro</w:t>
      </w:r>
      <w:r>
        <w:rPr>
          <w:rFonts w:ascii="Times New Roman" w:cs="Times New Roman" w:eastAsia="Times New Roman" w:hAnsi="Times New Roman"/>
          <w:sz w:val="18"/>
          <w:szCs w:val="18"/>
          <w:color w:val="auto"/>
        </w:rPr>
        <w:t>. Objective clinical responses were demonstrated in a Phase 1 multiple myeloma clinical trial with AMG176, a third-party MCL1 inhibitor,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validation of the pathway. MCL1 inhibitors have also demonstrated potent synergistic activity in combination with approved standard of care therapies, including venetoclax, in preclinical models of AML. Although these inhibitors show limited efficacy as monotherapy in solid tumor models, combination with TKIs has resulted in potent anti-tumor effects in triple negative breast cancer, melanoma and non-small cell lung cancer.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454" w:right="3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right="340" w:firstLine="449"/>
        <w:spacing w:after="0" w:line="278" w:lineRule="auto"/>
        <w:rPr>
          <w:sz w:val="20"/>
          <w:szCs w:val="20"/>
          <w:color w:val="auto"/>
        </w:rPr>
      </w:pPr>
      <w:r>
        <w:rPr>
          <w:rFonts w:ascii="Times New Roman" w:cs="Times New Roman" w:eastAsia="Times New Roman" w:hAnsi="Times New Roman"/>
          <w:sz w:val="17"/>
          <w:szCs w:val="17"/>
          <w:color w:val="auto"/>
        </w:rPr>
        <w:t xml:space="preserve">Although the data on the importance of </w:t>
      </w:r>
      <w:r>
        <w:rPr>
          <w:rFonts w:ascii="Times New Roman" w:cs="Times New Roman" w:eastAsia="Times New Roman" w:hAnsi="Times New Roman"/>
          <w:sz w:val="17"/>
          <w:szCs w:val="17"/>
          <w:i w:val="1"/>
          <w:iCs w:val="1"/>
          <w:color w:val="auto"/>
        </w:rPr>
        <w:t>MCL1</w:t>
      </w:r>
      <w:r>
        <w:rPr>
          <w:rFonts w:ascii="Times New Roman" w:cs="Times New Roman" w:eastAsia="Times New Roman" w:hAnsi="Times New Roman"/>
          <w:sz w:val="17"/>
          <w:szCs w:val="17"/>
          <w:color w:val="auto"/>
        </w:rPr>
        <w:t xml:space="preserve"> in driving tumor growth and survival are compelling, complete ablation of </w:t>
      </w:r>
      <w:r>
        <w:rPr>
          <w:rFonts w:ascii="Times New Roman" w:cs="Times New Roman" w:eastAsia="Times New Roman" w:hAnsi="Times New Roman"/>
          <w:sz w:val="17"/>
          <w:szCs w:val="17"/>
          <w:i w:val="1"/>
          <w:iCs w:val="1"/>
          <w:color w:val="auto"/>
        </w:rPr>
        <w:t>Mcl1</w:t>
      </w:r>
      <w:r>
        <w:rPr>
          <w:rFonts w:ascii="Times New Roman" w:cs="Times New Roman" w:eastAsia="Times New Roman" w:hAnsi="Times New Roman"/>
          <w:sz w:val="17"/>
          <w:szCs w:val="17"/>
          <w:color w:val="auto"/>
        </w:rPr>
        <w:t xml:space="preserve"> has been shown to result in cardiomyocyte apoptosis in mice. Mice with heterozygous deletion of </w:t>
      </w:r>
      <w:r>
        <w:rPr>
          <w:rFonts w:ascii="Times New Roman" w:cs="Times New Roman" w:eastAsia="Times New Roman" w:hAnsi="Times New Roman"/>
          <w:sz w:val="17"/>
          <w:szCs w:val="17"/>
          <w:i w:val="1"/>
          <w:iCs w:val="1"/>
          <w:color w:val="auto"/>
        </w:rPr>
        <w:t>Mcl1</w:t>
      </w:r>
      <w:r>
        <w:rPr>
          <w:rFonts w:ascii="Times New Roman" w:cs="Times New Roman" w:eastAsia="Times New Roman" w:hAnsi="Times New Roman"/>
          <w:sz w:val="17"/>
          <w:szCs w:val="17"/>
          <w:color w:val="auto"/>
        </w:rPr>
        <w:t xml:space="preserve"> resulting in a 50% reduction in MCL1 protein did not demonstrate cardiac abnormalities. These results suggest that an optimized profile for a pharmacological inhibitor of MCL1 should allow for maximal but limited duration of target engagement rather than prolonged coverage to maximize the therapeutic window of </w:t>
      </w:r>
      <w:r>
        <w:rPr>
          <w:rFonts w:ascii="Times New Roman" w:cs="Times New Roman" w:eastAsia="Times New Roman" w:hAnsi="Times New Roman"/>
          <w:sz w:val="17"/>
          <w:szCs w:val="17"/>
          <w:i w:val="1"/>
          <w:iCs w:val="1"/>
          <w:color w:val="auto"/>
        </w:rPr>
        <w:t>MCL1</w:t>
      </w:r>
      <w:r>
        <w:rPr>
          <w:rFonts w:ascii="Times New Roman" w:cs="Times New Roman" w:eastAsia="Times New Roman" w:hAnsi="Times New Roman"/>
          <w:sz w:val="17"/>
          <w:szCs w:val="17"/>
          <w:color w:val="auto"/>
        </w:rPr>
        <w:t xml:space="preserve"> inhibition in clinical development.</w:t>
      </w: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Designing Optimized MCL1 Inhibitors</w:t>
      </w:r>
    </w:p>
    <w:p>
      <w:pPr>
        <w:spacing w:after="0" w:line="118" w:lineRule="exact"/>
        <w:rPr>
          <w:sz w:val="20"/>
          <w:szCs w:val="20"/>
          <w:color w:val="auto"/>
        </w:rPr>
      </w:pPr>
    </w:p>
    <w:p>
      <w:pPr>
        <w:jc w:val="both"/>
        <w:ind w:right="80" w:firstLine="449"/>
        <w:spacing w:after="0" w:line="258" w:lineRule="auto"/>
        <w:rPr>
          <w:sz w:val="20"/>
          <w:szCs w:val="20"/>
          <w:color w:val="auto"/>
        </w:rPr>
      </w:pPr>
      <w:r>
        <w:rPr>
          <w:rFonts w:ascii="Times New Roman" w:cs="Times New Roman" w:eastAsia="Times New Roman" w:hAnsi="Times New Roman"/>
          <w:sz w:val="18"/>
          <w:szCs w:val="18"/>
          <w:color w:val="auto"/>
        </w:rPr>
        <w:t>We used structure-based design to identify PRT1419 as an inhibitor of human MCL1 that is designed to induce tumor cell death by apoptosis. It has been optimized to have high permeability and adequate solubility to provide suitable PK that allows for oral and IV dosing. We believe these features have the potential to maximize the therapeutic window and overcome some of the limitations of current MCL1 inhibitors, as well as provide the convenience and flexibility associated with oral dosing both as monotherapy and potentially in combination with other oral therapies.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PRT1419</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 Vitro Potency and Selectivity</w:t>
      </w:r>
    </w:p>
    <w:p>
      <w:pPr>
        <w:spacing w:after="0" w:line="114" w:lineRule="exact"/>
        <w:rPr>
          <w:sz w:val="20"/>
          <w:szCs w:val="20"/>
          <w:color w:val="auto"/>
        </w:rPr>
      </w:pPr>
    </w:p>
    <w:p>
      <w:pPr>
        <w:ind w:right="280" w:firstLine="449"/>
        <w:spacing w:after="0" w:line="258" w:lineRule="auto"/>
        <w:rPr>
          <w:sz w:val="20"/>
          <w:szCs w:val="20"/>
          <w:color w:val="auto"/>
        </w:rPr>
      </w:pPr>
      <w:r>
        <w:rPr>
          <w:rFonts w:ascii="Times New Roman" w:cs="Times New Roman" w:eastAsia="Times New Roman" w:hAnsi="Times New Roman"/>
          <w:sz w:val="18"/>
          <w:szCs w:val="18"/>
          <w:color w:val="auto"/>
        </w:rPr>
        <w:t xml:space="preserve">We investigated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potency of PRT1419 to inhibit the protein-protein interaction of human recombinant MCL1 with the pro-death protein, BIM, by measuring its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In this assay, we observed the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of PRT1419 to be 6.6 nM. We also investigated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selectivity of PRT1419 for MCL1 as compared to related family members, BCL-2 and BCLXL. We observed that PRT1419 showed &gt;200 times weaker inhibition of BCL-2 and BCLXL compared to MCL1.</w:t>
      </w:r>
    </w:p>
    <w:p>
      <w:pPr>
        <w:spacing w:after="0" w:line="182" w:lineRule="exact"/>
        <w:rPr>
          <w:sz w:val="20"/>
          <w:szCs w:val="20"/>
          <w:color w:val="auto"/>
        </w:rPr>
      </w:pPr>
    </w:p>
    <w:p>
      <w:pPr>
        <w:ind w:firstLine="449"/>
        <w:spacing w:after="0" w:line="265" w:lineRule="auto"/>
        <w:rPr>
          <w:sz w:val="20"/>
          <w:szCs w:val="20"/>
          <w:color w:val="auto"/>
        </w:rPr>
      </w:pPr>
      <w:r>
        <w:rPr>
          <w:rFonts w:ascii="Times New Roman" w:cs="Times New Roman" w:eastAsia="Times New Roman" w:hAnsi="Times New Roman"/>
          <w:sz w:val="18"/>
          <w:szCs w:val="18"/>
          <w:color w:val="auto"/>
        </w:rPr>
        <w:t>Tumor cells undergo apoptosis in response to MCL1 inhibition. Therefore, we investigated the potency of PRT1419 to inhibit the proliferation of cell lines representing both solid tumors and hematologic malignancies. Tumor cell lines were treated with various concentrations of PRT1419 and the number of viable cells was measured after two days in culture. We observed that cell lines representing multiple myeloma, lymphomas and leukemias were particularly sensitive to PRT1419 with IC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values in the nanomolar range.</w:t>
      </w:r>
    </w:p>
    <w:p>
      <w:pPr>
        <w:spacing w:after="0" w:line="156" w:lineRule="exact"/>
        <w:rPr>
          <w:sz w:val="20"/>
          <w:szCs w:val="20"/>
          <w:color w:val="auto"/>
        </w:rPr>
      </w:pPr>
    </w:p>
    <w:p>
      <w:pPr>
        <w:ind w:right="120" w:firstLine="449"/>
        <w:spacing w:after="0" w:line="277" w:lineRule="auto"/>
        <w:rPr>
          <w:sz w:val="20"/>
          <w:szCs w:val="20"/>
          <w:color w:val="auto"/>
        </w:rPr>
      </w:pPr>
      <w:r>
        <w:rPr>
          <w:rFonts w:ascii="Times New Roman" w:cs="Times New Roman" w:eastAsia="Times New Roman" w:hAnsi="Times New Roman"/>
          <w:sz w:val="17"/>
          <w:szCs w:val="17"/>
          <w:color w:val="auto"/>
        </w:rPr>
        <w:t xml:space="preserve">Since most MCL1 inhibitors have been shown to be highly bound to proteins in the blood, which reduces their effective concentration, PRT1419 was tested in an assay in the presence of human whole blood and shown to retain its potency to activate markers of apoptosis. In this human whole blood assay, we observed that PRT1419 was significantly more potent (9 times) than other MCL1 inhibitors such as AMG176. Consistent with its improved potency, PRT1419 demonstrated anti-tumor activity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at lower doses than those required for activity with AMG176. These data are summarized in Table 6.</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20"/>
          </w:cols>
          <w:pgMar w:left="320" w:top="454" w:right="3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 xml:space="preserve">Table 6. </w:t>
      </w:r>
      <w:r>
        <w:rPr>
          <w:rFonts w:ascii="Times New Roman" w:cs="Times New Roman" w:eastAsia="Times New Roman" w:hAnsi="Times New Roman"/>
          <w:sz w:val="18"/>
          <w:szCs w:val="18"/>
          <w:i w:val="1"/>
          <w:iCs w:val="1"/>
          <w:u w:val="single" w:color="auto"/>
          <w:color w:val="auto"/>
        </w:rPr>
        <w:t>In Vitro</w:t>
      </w:r>
      <w:r>
        <w:rPr>
          <w:rFonts w:ascii="Times New Roman" w:cs="Times New Roman" w:eastAsia="Times New Roman" w:hAnsi="Times New Roman"/>
          <w:sz w:val="18"/>
          <w:szCs w:val="18"/>
          <w:u w:val="single" w:color="auto"/>
          <w:color w:val="auto"/>
        </w:rPr>
        <w:t xml:space="preserve"> Properties of PRT1419 Compared to Other MCL1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5834380" cy="2844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34380" cy="284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Inhibition of cell proliferation was determined in the OPM2 cell line. Whole blood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14"/>
          <w:szCs w:val="14"/>
          <w:color w:val="auto"/>
        </w:rPr>
        <w:t xml:space="preserve"> represents the half maximal concentration required to induce markers of apoptosis in OPM2 cells cultured in human blood. Permeability was assessed in Caco-2 cells. Intrinsic clearance was determined in human hepatocytes. All competitor compounds were obtained from commercial sources.</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Pharmacokinetics</w:t>
      </w:r>
    </w:p>
    <w:p>
      <w:pPr>
        <w:spacing w:after="0" w:line="116"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In preclinical assays, PRT1419 demonstrated favorable ADME and PK properties. PRT1419 had high oral bioavailability in mice and dogs, adequate solubility, high permeability, and high intrinsic clearance in human hepatocytes which taken together should favor an optimized PK profile for an oral MCL1 inhibitor in patients.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Anti-tumor Activity in Preclinical Models</w:t>
      </w:r>
    </w:p>
    <w:p>
      <w:pPr>
        <w:spacing w:after="0" w:line="114"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the pharmacological activity of PRT1419 to induce apoptosis in tumor tissue from the subcutaneous multiple myeloma xenograft tumor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(OPM2) was evaluated. Oral administration of a single dose of PRT1419 led to a dose-dependent activation of apoptosis markers including cleaved caspase-3 and cleaved-PARP in tumor tissue. Consistent with these effects, once weekly administration of PRT1419 demonstrated potent and dose-dependent anti-tumor activity in this model (Figure 20), resulting in tumor regressions. Similar activity was also observed with once weekly dosing of PRT1419 in subcutaneous cell line derived xenograft mouse models of AML (MV4-11) and DLBCL (OCI-Ly7).</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20"/>
          </w:cols>
          <w:pgMar w:left="320" w:top="454" w:right="3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Figure 20. Anti-Tumor Activity in Preclinical Models of Hematologic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139815" cy="13925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39815" cy="139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4"/>
          <w:szCs w:val="14"/>
          <w:color w:val="auto"/>
        </w:rPr>
        <w:t>PRT1419 was administered orally to tumor-bearing mice (n=8 animals/group). Data represents mean ± SEM (standard error of the means), QW – once weekly, p.o – oral administration, *** P value&lt;0.001 vs. Vehicle by Mann-Whitney U test</w:t>
      </w:r>
    </w:p>
    <w:p>
      <w:pPr>
        <w:spacing w:after="0" w:line="168" w:lineRule="exact"/>
        <w:rPr>
          <w:sz w:val="20"/>
          <w:szCs w:val="20"/>
          <w:color w:val="auto"/>
        </w:rPr>
      </w:pPr>
    </w:p>
    <w:p>
      <w:pPr>
        <w:ind w:firstLine="449"/>
        <w:spacing w:after="0" w:line="264" w:lineRule="auto"/>
        <w:rPr>
          <w:sz w:val="20"/>
          <w:szCs w:val="20"/>
          <w:color w:val="auto"/>
        </w:rPr>
      </w:pPr>
      <w:r>
        <w:rPr>
          <w:rFonts w:ascii="Times New Roman" w:cs="Times New Roman" w:eastAsia="Times New Roman" w:hAnsi="Times New Roman"/>
          <w:sz w:val="18"/>
          <w:szCs w:val="18"/>
          <w:color w:val="auto"/>
        </w:rPr>
        <w:t xml:space="preserve">Since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is known to be a resistance mechanism in patients treated with the BCL2 inhibitor venetoclax, PRT1419 was studied in combination with venetoclax in the MV411 model of AML. As shown in Figure 22, PRT1419 demonstrated enhanced inhibition in combination with venetoclax, resulting in tumor regression in mice.</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Figure 21. PRT1419 Demonstrates Enhanced Activity in Combination with Venetoclax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2614930</wp:posOffset>
            </wp:positionV>
            <wp:extent cx="7810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8105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168910</wp:posOffset>
            </wp:positionV>
            <wp:extent cx="2947035" cy="23609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947035" cy="236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PRT1419 and venetoclax were administered orally as single agents and in combination to tumor-bearing mice (n=8/group). Data represents mean ± SEM (standard error of the means), Venetoclax was dosed at 50 mg/kg; PRT1419 was dosed at 15 mg/kg; *** P value&lt;0.001 vs. Vehicle by Mann-Whitney U test</w:t>
      </w:r>
    </w:p>
    <w:p>
      <w:pPr>
        <w:spacing w:after="0" w:line="168" w:lineRule="exact"/>
        <w:rPr>
          <w:sz w:val="20"/>
          <w:szCs w:val="20"/>
          <w:color w:val="auto"/>
        </w:rPr>
      </w:pPr>
    </w:p>
    <w:p>
      <w:pPr>
        <w:ind w:right="240" w:firstLine="449"/>
        <w:spacing w:after="0" w:line="264" w:lineRule="auto"/>
        <w:rPr>
          <w:sz w:val="20"/>
          <w:szCs w:val="20"/>
          <w:color w:val="auto"/>
        </w:rPr>
      </w:pPr>
      <w:r>
        <w:rPr>
          <w:rFonts w:ascii="Times New Roman" w:cs="Times New Roman" w:eastAsia="Times New Roman" w:hAnsi="Times New Roman"/>
          <w:sz w:val="18"/>
          <w:szCs w:val="18"/>
          <w:color w:val="auto"/>
        </w:rPr>
        <w:t xml:space="preserve">In summary, PRT1419 demonstrated potent and selective inhibition of MCL1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that resulted in tumor regressions in preclinical models following once weekly oral dosing. PRT1419 was well-tolerated in 28-day toxicology studies in rats and dogs and showed no evidence of cardiac toxicity. Taken together, these studies support the advancement of PRT1419 into clinical trials in patients with hematologic malignancies.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Design and Study Schema</w:t>
      </w:r>
    </w:p>
    <w:p>
      <w:pPr>
        <w:spacing w:after="0" w:line="118" w:lineRule="exact"/>
        <w:rPr>
          <w:sz w:val="20"/>
          <w:szCs w:val="20"/>
          <w:color w:val="auto"/>
        </w:rPr>
      </w:pPr>
    </w:p>
    <w:p>
      <w:pPr>
        <w:ind w:right="240" w:firstLine="449"/>
        <w:spacing w:after="0" w:line="278" w:lineRule="auto"/>
        <w:rPr>
          <w:sz w:val="20"/>
          <w:szCs w:val="20"/>
          <w:color w:val="auto"/>
        </w:rPr>
      </w:pPr>
      <w:r>
        <w:rPr>
          <w:rFonts w:ascii="Times New Roman" w:cs="Times New Roman" w:eastAsia="Times New Roman" w:hAnsi="Times New Roman"/>
          <w:sz w:val="18"/>
          <w:szCs w:val="18"/>
          <w:color w:val="auto"/>
        </w:rPr>
        <w:t>We are in the process of initiating a multicenter, open-label, dose-escalation, dose-expansion Phase 1 clinical trial of PRT1419. Enrollment into the dose escalation portion of the clinical trial will be conducted across</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80"/>
          </w:cols>
          <w:pgMar w:left="320" w:top="454" w:right="39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two groups; Group A will include patients with either R/R high risk MDS or AML. Enrollment in Group B will include patients with either R/R B Cell or T cell lymphoma or MM. The trial is being conducted across seven sites across the Unites States. Enrollment is expected to initiate in the second half of 2020. A dose expansion portion of the trial will commence after completion of the dose escalation portion of the trial and will evaluate several select patient dosed with either monotherapy PRT1419 or PRT1419 given in combination with existing standards of care.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Figure 22. PRT1419 Clinical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1422400</wp:posOffset>
            </wp:positionH>
            <wp:positionV relativeFrom="paragraph">
              <wp:posOffset>168910</wp:posOffset>
            </wp:positionV>
            <wp:extent cx="4297045" cy="25901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9704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Addressable Oncology Market for PRT1419</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Acute Myeloid Leukemia (AML)</w:t>
      </w:r>
    </w:p>
    <w:p>
      <w:pPr>
        <w:spacing w:after="0" w:line="118" w:lineRule="exact"/>
        <w:rPr>
          <w:sz w:val="20"/>
          <w:szCs w:val="20"/>
          <w:color w:val="auto"/>
        </w:rPr>
      </w:pPr>
    </w:p>
    <w:p>
      <w:pPr>
        <w:ind w:right="260" w:firstLine="449"/>
        <w:spacing w:after="0" w:line="278" w:lineRule="auto"/>
        <w:rPr>
          <w:sz w:val="20"/>
          <w:szCs w:val="20"/>
          <w:color w:val="auto"/>
        </w:rPr>
      </w:pPr>
      <w:r>
        <w:rPr>
          <w:rFonts w:ascii="Times New Roman" w:cs="Times New Roman" w:eastAsia="Times New Roman" w:hAnsi="Times New Roman"/>
          <w:sz w:val="18"/>
          <w:szCs w:val="18"/>
          <w:color w:val="auto"/>
        </w:rPr>
        <w:t>AML is a blood cancer wherein myeloid stem cells proliferate and fail to properly differentiate into mature myeloid cells. AML is the second most common leukemia in adults, with the American Cancer Society estimating an annual incidence of nearly 20,000 patients in the United States.</w:t>
      </w:r>
    </w:p>
    <w:p>
      <w:pPr>
        <w:spacing w:after="0" w:line="162"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AML is particularly difficult to treat in adults older than 60 years, who account for more than 60% of patients; thus, fewer than 29% of AML patients live beyond five years. There are significant differences in the treatment of AML based on age and fitness. For younger, fit patients current first-line AML treatment typically involves aggressive chemotherapy followed by stem cell transplantation if possible. For older, unfit patients first-line AML treatment typically involves low dose cytarabine or azacytidine, potentially in combination with VENCLEXTA (venetoclax) or other agents.</w:t>
      </w:r>
    </w:p>
    <w:p>
      <w:pPr>
        <w:spacing w:after="0" w:line="180" w:lineRule="exact"/>
        <w:rPr>
          <w:sz w:val="20"/>
          <w:szCs w:val="20"/>
          <w:color w:val="auto"/>
        </w:rPr>
      </w:pPr>
    </w:p>
    <w:p>
      <w:pPr>
        <w:jc w:val="both"/>
        <w:ind w:right="300" w:firstLine="449"/>
        <w:spacing w:after="0" w:line="263" w:lineRule="auto"/>
        <w:rPr>
          <w:sz w:val="20"/>
          <w:szCs w:val="20"/>
          <w:color w:val="auto"/>
        </w:rPr>
      </w:pPr>
      <w:r>
        <w:rPr>
          <w:rFonts w:ascii="Times New Roman" w:cs="Times New Roman" w:eastAsia="Times New Roman" w:hAnsi="Times New Roman"/>
          <w:sz w:val="18"/>
          <w:szCs w:val="18"/>
          <w:color w:val="auto"/>
        </w:rPr>
        <w:t>Other approved therapies for AML include MYLOTARG (gemtuzumab ozogamicin), an antibody-drug conjugate, as well as a number of targeted therapies for subsets of patients whose tumors harbor specific alterations. These include RYDAPT (midostaurin) and XOSPATA (gilteritinib) for FLT3-mutated AML, IDHIFA (enasidenib) for IDH2-mutated AML, and TIBSOVO (ivosidenib) for IDH-1 mutated AML.</w:t>
      </w:r>
    </w:p>
    <w:p>
      <w:pPr>
        <w:spacing w:after="0" w:line="17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Despite these recent advances, we believe there remains a need for a well-tolerated and effective therapy that can broadly address AML patients, especially those progressing on front-line therapies and/or venetoclax. In the registrational study for venetoclax in combination with azacitidine or decitabine, a composite complete remission, or CRc, of 67% was observed, with a response duration of 11.3 months and a median overall survival, or OS, of 17.5 months.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80"/>
          </w:cols>
          <w:pgMar w:left="320" w:top="454" w:right="39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Non-Hodgkin Lymphoma (NHL)</w:t>
      </w:r>
    </w:p>
    <w:p>
      <w:pPr>
        <w:spacing w:after="0" w:line="118" w:lineRule="exact"/>
        <w:rPr>
          <w:sz w:val="20"/>
          <w:szCs w:val="20"/>
          <w:color w:val="auto"/>
        </w:rPr>
      </w:pPr>
    </w:p>
    <w:p>
      <w:pPr>
        <w:ind w:right="580" w:firstLine="449"/>
        <w:spacing w:after="0" w:line="278" w:lineRule="auto"/>
        <w:rPr>
          <w:sz w:val="20"/>
          <w:szCs w:val="20"/>
          <w:color w:val="auto"/>
        </w:rPr>
      </w:pPr>
      <w:r>
        <w:rPr>
          <w:rFonts w:ascii="Times New Roman" w:cs="Times New Roman" w:eastAsia="Times New Roman" w:hAnsi="Times New Roman"/>
          <w:sz w:val="18"/>
          <w:szCs w:val="18"/>
          <w:color w:val="auto"/>
        </w:rPr>
        <w:t>NHL is a group of blood cancers originating in either B-cells (approximately 85% of all NHL) or T-cells (approximately 15% of all NHL). The American Cancer Society estimates the incidence of NHL to be over 77,000 patients annually in the United States.</w:t>
      </w:r>
    </w:p>
    <w:p>
      <w:pPr>
        <w:spacing w:after="0" w:line="16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NHL is characterized into subtypes according to the natural course of disease progression. Aggressive lymphomas, which account for 60% of all NHL cases, progress rapidly. Diffuse large B-cell lymphoma, or DLBCL, is the most common of these aggressive subtypes. Indolent lymphomas, which account for 40% of all NHL cases, progress more slowly with fewer symptoms upon diagnosis. Follicular lymphoma, or FL, is the most common of these indolent subtypes.</w:t>
      </w:r>
    </w:p>
    <w:p>
      <w:pPr>
        <w:spacing w:after="0" w:line="180" w:lineRule="exact"/>
        <w:rPr>
          <w:sz w:val="20"/>
          <w:szCs w:val="20"/>
          <w:color w:val="auto"/>
        </w:rPr>
      </w:pPr>
    </w:p>
    <w:p>
      <w:pPr>
        <w:jc w:val="both"/>
        <w:ind w:right="80" w:firstLine="449"/>
        <w:spacing w:after="0" w:line="255" w:lineRule="auto"/>
        <w:rPr>
          <w:sz w:val="20"/>
          <w:szCs w:val="20"/>
          <w:color w:val="auto"/>
        </w:rPr>
      </w:pPr>
      <w:r>
        <w:rPr>
          <w:rFonts w:ascii="Times New Roman" w:cs="Times New Roman" w:eastAsia="Times New Roman" w:hAnsi="Times New Roman"/>
          <w:sz w:val="18"/>
          <w:szCs w:val="18"/>
          <w:color w:val="auto"/>
        </w:rPr>
        <w:t>The treatment of NHL varies by subtype and can include one of more of the following modalities: chemotherapy, immunotherapy, radiation therapy, stem cell transplantation, targeted therapy, and cell therapy, or CAR-T. Despite recent therapeutic advances and approvals, there remains a high unmet need for new NHL treatments, particularly for more aggressive subtypes and for patients who have progressed on standard therapies. For example, approximately 50% of patients with DLBCL will be refractory to or relapse on standard therapy. The prognosis for patients with DLBCL who relapse is poor, with median survival of less than one year.</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Multiple Myeloma (MM)</w:t>
      </w:r>
    </w:p>
    <w:p>
      <w:pPr>
        <w:spacing w:after="0" w:line="118" w:lineRule="exact"/>
        <w:rPr>
          <w:sz w:val="20"/>
          <w:szCs w:val="20"/>
          <w:color w:val="auto"/>
        </w:rPr>
      </w:pPr>
    </w:p>
    <w:p>
      <w:pPr>
        <w:ind w:right="60" w:firstLine="456"/>
        <w:spacing w:after="0" w:line="263" w:lineRule="auto"/>
        <w:tabs>
          <w:tab w:leader="none" w:pos="81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blood cancer originating in the bone marrow that is characterized by excess proliferation of aberrant antibody-producing plasma cells. MM is the third most common blood cancer, and the American Cancer Society estimates an incidence of over 32,000 patients annually in the United States. MM is primarily a disease of the elderly and has a five-year survival rate of 54%.</w:t>
      </w:r>
    </w:p>
    <w:p>
      <w:pPr>
        <w:spacing w:after="0" w:line="175"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The treatment of MM depends on the aggressiveness of disease and patient fitness. For patients in good health and with active disease, first-line treatment typically involves high-dose chemotherapy followed by stem cell transplantation if possible. For patients who do not achieve a CR or who are not candidates for stem cell transplantation, systemic chemotherapy is indicated. The past two decades have seen significant advances in systemic treatment for MM, including the introduction of immunomodulatory agents, such as REVLIMID (lenalidomide); monoclonal antibodies, such as DARZALEX (daratumumab); and proteasome inhibitors, including VELCADE (bortezomib) and KYPROLIS (carfilzomib). MM therapies generated approximately $19.4 billion in world-wide sales in 2019.</w:t>
      </w:r>
    </w:p>
    <w:p>
      <w:pPr>
        <w:spacing w:after="0" w:line="184" w:lineRule="exact"/>
        <w:rPr>
          <w:sz w:val="20"/>
          <w:szCs w:val="20"/>
          <w:color w:val="auto"/>
        </w:rPr>
      </w:pPr>
    </w:p>
    <w:p>
      <w:pPr>
        <w:ind w:firstLine="449"/>
        <w:spacing w:after="0" w:line="278" w:lineRule="auto"/>
        <w:rPr>
          <w:sz w:val="20"/>
          <w:szCs w:val="20"/>
          <w:color w:val="auto"/>
        </w:rPr>
      </w:pPr>
      <w:r>
        <w:rPr>
          <w:rFonts w:ascii="Times New Roman" w:cs="Times New Roman" w:eastAsia="Times New Roman" w:hAnsi="Times New Roman"/>
          <w:sz w:val="18"/>
          <w:szCs w:val="18"/>
          <w:color w:val="auto"/>
        </w:rPr>
        <w:t>Despite these therapeutic advances, MM remains incurable. Patients typically receive multiple lines of therapy but ultimately progress. The median OS for patients who are refractory to both an immunomodulatory drug and proteasome inhibitor is only 13 months.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CDK9 Program</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6"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 xml:space="preserve">CDK9 has emerged as an essential regulator of cancer-promoting transcriptional programs, including those driven by </w:t>
      </w:r>
      <w:r>
        <w:rPr>
          <w:rFonts w:ascii="Times New Roman" w:cs="Times New Roman" w:eastAsia="Times New Roman" w:hAnsi="Times New Roman"/>
          <w:sz w:val="18"/>
          <w:szCs w:val="18"/>
          <w:i w:val="1"/>
          <w:iCs w:val="1"/>
          <w:color w:val="auto"/>
        </w:rPr>
        <w:t>MCL1, MYC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Inhibition of CDK9 is thus an attractive therapeutic approach to produce synthetic lethality in genomically selected cancers. We have applied our internal expertise to design PRT2527 as a potent inhibitor of CDK9 that exhibits high kinome selectivity, PK properties and solubility that we believe may broaden the therapeutic window of CDK9 inhibition. PRT2527 has entered IND-enabling studies, with IND submission expected in 2021.</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18" w:lineRule="exact"/>
        <w:rPr>
          <w:sz w:val="20"/>
          <w:szCs w:val="20"/>
          <w:color w:val="auto"/>
        </w:rPr>
      </w:pPr>
    </w:p>
    <w:p>
      <w:pPr>
        <w:ind w:right="220" w:firstLine="449"/>
        <w:spacing w:after="0" w:line="278" w:lineRule="auto"/>
        <w:rPr>
          <w:sz w:val="20"/>
          <w:szCs w:val="20"/>
          <w:color w:val="auto"/>
        </w:rPr>
      </w:pPr>
      <w:r>
        <w:rPr>
          <w:rFonts w:ascii="Times New Roman" w:cs="Times New Roman" w:eastAsia="Times New Roman" w:hAnsi="Times New Roman"/>
          <w:sz w:val="18"/>
          <w:szCs w:val="18"/>
          <w:color w:val="auto"/>
        </w:rPr>
        <w:t>Cyclin dependent kinases, or CDKs, are a family of closely related serine/threonine kinases that have demonstrated activity in multiple cancers. The first inhibitors of two of the family members, CDK4 and CDK6,</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454"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gained FDA approval for HR+ metastatic breast cancer in 2015 and are now broadly used. In contrast to CDK4 and CDK6, which regulate cell cycle progression and proliferation, it is now appreciated that other members of the CDK family play important roles in regulating transcription. CDK9 specifically phosphorylates RNA polymerase II to generate mature mRNA. Given its fundamental role in transcription, CDK9 has emerged as a central node in the transcriptional addiction of cancer.</w:t>
      </w:r>
    </w:p>
    <w:p>
      <w:pPr>
        <w:spacing w:after="0" w:line="180"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 xml:space="preserve">Importantly, inhibition of CDK9 in cancer has been shown to preferentially deplete short-lived transcripts including key anti-apoptotic genes such as </w:t>
      </w:r>
      <w:r>
        <w:rPr>
          <w:rFonts w:ascii="Times New Roman" w:cs="Times New Roman" w:eastAsia="Times New Roman" w:hAnsi="Times New Roman"/>
          <w:sz w:val="18"/>
          <w:szCs w:val="18"/>
          <w:i w:val="1"/>
          <w:iCs w:val="1"/>
          <w:color w:val="auto"/>
        </w:rPr>
        <w:t xml:space="preserve">MCL1 </w:t>
      </w:r>
      <w:r>
        <w:rPr>
          <w:rFonts w:ascii="Times New Roman" w:cs="Times New Roman" w:eastAsia="Times New Roman" w:hAnsi="Times New Roman"/>
          <w:sz w:val="18"/>
          <w:szCs w:val="18"/>
          <w:color w:val="auto"/>
        </w:rPr>
        <w:t>and oncogenic transcription factors such as</w:t>
      </w:r>
      <w:r>
        <w:rPr>
          <w:rFonts w:ascii="Times New Roman" w:cs="Times New Roman" w:eastAsia="Times New Roman" w:hAnsi="Times New Roman"/>
          <w:sz w:val="18"/>
          <w:szCs w:val="18"/>
          <w:i w:val="1"/>
          <w:iCs w:val="1"/>
          <w:color w:val="auto"/>
        </w:rPr>
        <w:t xml:space="preserve"> MYC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MYB</w:t>
      </w:r>
      <w:r>
        <w:rPr>
          <w:rFonts w:ascii="Times New Roman" w:cs="Times New Roman" w:eastAsia="Times New Roman" w:hAnsi="Times New Roman"/>
          <w:sz w:val="18"/>
          <w:szCs w:val="18"/>
          <w:color w:val="auto"/>
        </w:rPr>
        <w:t>. Preclinical evidence demonstrates that CDK9 inhibition represses</w:t>
      </w:r>
      <w:r>
        <w:rPr>
          <w:rFonts w:ascii="Times New Roman" w:cs="Times New Roman" w:eastAsia="Times New Roman" w:hAnsi="Times New Roman"/>
          <w:sz w:val="18"/>
          <w:szCs w:val="18"/>
          <w:i w:val="1"/>
          <w:iCs w:val="1"/>
          <w:color w:val="auto"/>
        </w:rPr>
        <w:t xml:space="preserve"> MCL1 </w:t>
      </w:r>
      <w:r>
        <w:rPr>
          <w:rFonts w:ascii="Times New Roman" w:cs="Times New Roman" w:eastAsia="Times New Roman" w:hAnsi="Times New Roman"/>
          <w:sz w:val="18"/>
          <w:szCs w:val="18"/>
          <w:color w:val="auto"/>
        </w:rPr>
        <w:t>and thereby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overcomes resistance to the BCL2 inhibitor venetoclax. Additionally, preclinical studies suggest that CDK9 inhibition perturbs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 xml:space="preserve">-mediated signaling and produces synthetic lethality in nuclear protein of the testis midline carcinoma, hepatocellular carcinoma and additional solid tumors. Our patient selection strategy in clinical trials would strive to exploit these synthetic lethality relationships by identifying cancers with molecular evidence of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 xml:space="preserve"> dysregulation.</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CDK9 Inhibitor: PRT2527</w:t>
      </w:r>
    </w:p>
    <w:p>
      <w:pPr>
        <w:spacing w:after="0" w:line="118"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Although various non-selective CDK9 inhibitors have progressed through clinical development, they have been significantly limited by narrow therapeutic windows due to adverse effects, including bone marrow suppression, nausea and GI effects. We have utilized structure-based design to identify a novel, structurally differentiated series of CDK9 inhibitors. Iterative synthesis and testing of over 600 compounds allowed the identification of PRT2527, which has improved potency and kinase selectivity compared to AZ4573, the most advanced CDK9-selective inhibitor currently in development. The PK and physical properties of PRT2527 are suitable for IV or SC dosing.</w:t>
      </w:r>
    </w:p>
    <w:p>
      <w:pPr>
        <w:spacing w:after="0" w:line="182" w:lineRule="exact"/>
        <w:rPr>
          <w:sz w:val="20"/>
          <w:szCs w:val="20"/>
          <w:color w:val="auto"/>
        </w:rPr>
      </w:pPr>
    </w:p>
    <w:p>
      <w:pPr>
        <w:ind w:right="400" w:firstLine="449"/>
        <w:spacing w:after="0" w:line="264" w:lineRule="auto"/>
        <w:rPr>
          <w:sz w:val="20"/>
          <w:szCs w:val="20"/>
          <w:color w:val="auto"/>
        </w:rPr>
      </w:pPr>
      <w:r>
        <w:rPr>
          <w:rFonts w:ascii="Times New Roman" w:cs="Times New Roman" w:eastAsia="Times New Roman" w:hAnsi="Times New Roman"/>
          <w:sz w:val="18"/>
          <w:szCs w:val="18"/>
          <w:color w:val="auto"/>
        </w:rPr>
        <w:t xml:space="preserve">In preclinical models, PRT2527 reduced MCL1 and MYC protein levels and was highly active in the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-amplified MV4-11 xenograft model at well-tolerated doses. Our preclinical studies suggest that PRT2527 demonstrates high selectivity and high potency, providing opportunity for a wider therapeutic index compared to less selective CDK9 inhibitors.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SMARCA2 targeted degrader program</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1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SMARCA2 (also known as BRM) and its related family member, SMARCA4 (also known as BRG1), are the enzymatic subunits of the SWI/SNF complex that regulates gene expression by allowing the DNA to be accessible for transcription to mature RNA, a process known as chromatin remodeling. </w:t>
      </w:r>
      <w:r>
        <w:rPr>
          <w:rFonts w:ascii="Times New Roman" w:cs="Times New Roman" w:eastAsia="Times New Roman" w:hAnsi="Times New Roman"/>
          <w:sz w:val="18"/>
          <w:szCs w:val="18"/>
          <w:i w:val="1"/>
          <w:iCs w:val="1"/>
          <w:color w:val="auto"/>
        </w:rPr>
        <w:t xml:space="preserve">SMARCA4 </w:t>
      </w:r>
      <w:r>
        <w:rPr>
          <w:rFonts w:ascii="Times New Roman" w:cs="Times New Roman" w:eastAsia="Times New Roman" w:hAnsi="Times New Roman"/>
          <w:sz w:val="18"/>
          <w:szCs w:val="18"/>
          <w:color w:val="auto"/>
        </w:rPr>
        <w:t>is mutated in multiple cancers, including 10-12% of NSCLC, resulting in loss of SMARCA4 protein. Because the activity of either SMARCA2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SMARCA4 is required for chromatin remodeling to occur, the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-deficient cancer cells become highly dependent on SMARCA2 for their survival. Therefore, we believe targeting SMARCA2 in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-deficient cancers will produce a strong synthetic lethality, resulting in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 mutant tumor cell death while sparing normal cells that express SMARCA4 protein.</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SMARCA2 Degrader Program</w:t>
      </w:r>
    </w:p>
    <w:p>
      <w:pPr>
        <w:spacing w:after="0" w:line="11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Due to the high homology between SMARCA2 and SMARCA4, there are few structural differences in the binding sites between the two proteins and thus selective SMARCA2 degradation has been a challenge for medicinal chemistry. Targeted protein degradation is a relatively new approach to degrade oncogenic proteins and has been shown to provide selective degradation of highly homologous proteins. A molecule capable of targeting a protein for degradation (degrader) typically contains a binding element to a targeted protein of interest (SMARCA2), a chemical linker and an E3 ligase binding element which allows for the formation of a ternary complex between the target, the degrader and the E3 ligase that induces ubiquitination and subsequent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454"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880"/>
        <w:spacing w:after="0" w:line="278" w:lineRule="auto"/>
        <w:rPr>
          <w:sz w:val="20"/>
          <w:szCs w:val="20"/>
          <w:color w:val="auto"/>
        </w:rPr>
      </w:pPr>
      <w:r>
        <w:rPr>
          <w:rFonts w:ascii="Times New Roman" w:cs="Times New Roman" w:eastAsia="Times New Roman" w:hAnsi="Times New Roman"/>
          <w:sz w:val="18"/>
          <w:szCs w:val="18"/>
          <w:color w:val="auto"/>
        </w:rPr>
        <w:t>degradation of the targeted protein. Selectivity can be achieved, not only by the selective binding to the target (SMARCA2), but also through the optimization of the unique ternary complexes formed by the target (SMARCA2) versus its homologous protein (SMARCA4).</w:t>
      </w:r>
    </w:p>
    <w:p>
      <w:pPr>
        <w:spacing w:after="0" w:line="162"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We used structure-based drug design to identify a novel series of potent SMARCA2 degraders that are outside the typical drug-like chemical space, being significantly larger and structurally more complex. Extensive structure activity relationships generated by the iterative synthesis and testing of &gt;250 compounds to date has allowed the identification of specific structural motifs that provide &gt;20-fold selectivity for SMARCA2 degradation over SMARCA4 while maintaining potent SMARCA2 degradation, DC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&lt; 10 nM. DC</w:t>
      </w:r>
      <w:r>
        <w:rPr>
          <w:rFonts w:ascii="Times New Roman" w:cs="Times New Roman" w:eastAsia="Times New Roman" w:hAnsi="Times New Roman"/>
          <w:sz w:val="15"/>
          <w:szCs w:val="15"/>
          <w:color w:val="auto"/>
        </w:rPr>
        <w:t>50</w:t>
      </w:r>
      <w:r>
        <w:rPr>
          <w:rFonts w:ascii="Times New Roman" w:cs="Times New Roman" w:eastAsia="Times New Roman" w:hAnsi="Times New Roman"/>
          <w:sz w:val="18"/>
          <w:szCs w:val="18"/>
          <w:color w:val="auto"/>
        </w:rPr>
        <w:t xml:space="preserve"> is a quantitative measure of how much of a compound is needed to inhibit the degradation of a protein by 50%. We have designed our SMARCA2 degraders to be potent and selective to specifically inhibit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deficient human NSCLC cell lines and primary patient derived samples. Optimization of the PK and physical properties suitable for oral, IV or SC dosing is on-going with the goal of initiating IND-enabling studies in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Kinase Program in Solid Tumors</w:t>
      </w:r>
    </w:p>
    <w:p>
      <w:pPr>
        <w:spacing w:after="0" w:line="118"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are evaluating a kinase that has been shown in preclinical studies to be an oncogenic driver in cancer. Genomic alterations in this kinase have been identified in multiple tumor types and these tumors are sensitive inhibitors of this kinase in preclinical models. Current inhibitors of this kinase in development lack optimal PK and biodistribution properties. Our goal is to identify novel, potent, selective, oral inhibitors of this kinase that have an optimized PK profile for clinical development in patients with solid tumors. Optimization of our lead kinase inhibitor, PRT-K4, is ongoing with the goal of initiating IND-enabling studies in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8" w:lineRule="exact"/>
        <w:rPr>
          <w:sz w:val="20"/>
          <w:szCs w:val="20"/>
          <w:color w:val="auto"/>
        </w:rPr>
      </w:pPr>
    </w:p>
    <w:p>
      <w:pPr>
        <w:ind w:right="180" w:firstLine="449"/>
        <w:spacing w:after="0" w:line="263" w:lineRule="auto"/>
        <w:rPr>
          <w:sz w:val="20"/>
          <w:szCs w:val="20"/>
          <w:color w:val="auto"/>
        </w:rPr>
      </w:pPr>
      <w:r>
        <w:rPr>
          <w:rFonts w:ascii="Times New Roman" w:cs="Times New Roman" w:eastAsia="Times New Roman" w:hAnsi="Times New Roman"/>
          <w:sz w:val="18"/>
          <w:szCs w:val="18"/>
          <w:color w:val="auto"/>
        </w:rPr>
        <w:t>We strive to protect the proprietary technologies that we believe are important to our business, including seeking and maintaining patent protection intended to cover the compositions of matter of our product candidates, their methods of use, related technology, and other inventions that are important to our business.</w:t>
      </w:r>
    </w:p>
    <w:p>
      <w:pPr>
        <w:spacing w:after="0" w:line="17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valid and enforceable patents and other proprietary rights of third parties. We also rely on know-how and continuing technological innovation to develop, strengthen, and maintain our proprietary position in the field of precision oncology.</w:t>
      </w:r>
    </w:p>
    <w:p>
      <w:pPr>
        <w:spacing w:after="0" w:line="180" w:lineRule="exact"/>
        <w:rPr>
          <w:sz w:val="20"/>
          <w:szCs w:val="20"/>
          <w:color w:val="auto"/>
        </w:rPr>
      </w:pPr>
    </w:p>
    <w:p>
      <w:pPr>
        <w:jc w:val="both"/>
        <w:ind w:firstLine="449"/>
        <w:spacing w:after="0" w:line="285" w:lineRule="auto"/>
        <w:rPr>
          <w:sz w:val="20"/>
          <w:szCs w:val="20"/>
          <w:color w:val="auto"/>
        </w:rPr>
      </w:pPr>
      <w:r>
        <w:rPr>
          <w:rFonts w:ascii="Times New Roman" w:cs="Times New Roman" w:eastAsia="Times New Roman" w:hAnsi="Times New Roman"/>
          <w:sz w:val="17"/>
          <w:szCs w:val="17"/>
          <w:color w:val="auto"/>
        </w:rPr>
        <w:t>As more fully described below, our patent portfolio includes patent families with claims directed to compositions of matter for, and methods of using, compounds PRT543, PRT811 PRT1419, PRT2527, and compounds that degrade SMARCA2. A U.S. patent directed to PRT543 has issued and is expected to expire no earlier than August 9, 2038. In addition, a U.S. patent directed to PRT811 has issued and is expected to expire no earlier than March 14, 2039.</w:t>
      </w:r>
    </w:p>
    <w:p>
      <w:pPr>
        <w:spacing w:after="0" w:line="16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In addition to our filings in the United States, we own patent applications that are pending in Australia, Brazil, Canada, China, Eurasia, Europe, Israel, India, Japan, Korea, Mexico, New Zealand, Ukraine, and South Africa. Included in these applications are claims directed to the PRT543 composition and methods of using the same therapeutically. The patents from these applications, if issued, are expected to expire in August 2038, subject to any disclaimers or extensions.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patent portfolios for our most advanced programs are summarized below.</w:t>
      </w:r>
    </w:p>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PRT543</w:t>
      </w:r>
    </w:p>
    <w:p>
      <w:pPr>
        <w:spacing w:after="0" w:line="118" w:lineRule="exact"/>
        <w:rPr>
          <w:sz w:val="20"/>
          <w:szCs w:val="20"/>
          <w:color w:val="auto"/>
        </w:rPr>
      </w:pPr>
    </w:p>
    <w:p>
      <w:pPr>
        <w:ind w:right="540" w:firstLine="449"/>
        <w:spacing w:after="0" w:line="278" w:lineRule="auto"/>
        <w:rPr>
          <w:sz w:val="20"/>
          <w:szCs w:val="20"/>
          <w:color w:val="auto"/>
        </w:rPr>
      </w:pPr>
      <w:r>
        <w:rPr>
          <w:rFonts w:ascii="Times New Roman" w:cs="Times New Roman" w:eastAsia="Times New Roman" w:hAnsi="Times New Roman"/>
          <w:sz w:val="18"/>
          <w:szCs w:val="18"/>
          <w:color w:val="auto"/>
        </w:rPr>
        <w:t>Our PRT543 patent portfolio is wholly owned by us. The portfolio includes one issued U.S. patent, which claims, among other things, PRT543, pharmaceutical compositions comprising PRT543, methods of inhibiting</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320" w:top="454" w:right="3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PRMT5 using PRT543, and methods of treating certain cancers, including breast and ovarian cancers, using PRT543. This U.S. patent is expected to expire no earlier than August 9, 2038, subject to any disclaimers or extensions available under the Hatch-Waxman Act. Corresponding patent applications are pending in several other countries and regions, including Australia, Brazil, Canada, China, Eurasia, Europe, Israel, India, Japan, Korea, Mexico, New Zealand, Ukraine, and South Africa. Any patents resulting from these patent applications, if issued, are also expected to expire no earlier than August 9, 2038, subject to any disclaimers or extensions.</w:t>
      </w:r>
    </w:p>
    <w:p>
      <w:pPr>
        <w:spacing w:after="0" w:line="184"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PRT543 patent portfolio also includes two pending U.S. and two pending PCT patent applications, which claim, among other things, a genus of compounds that encompass PRT543, PRT543 salts and crystalline forms, and additional methods of treatment using PRT543. Any patents issuing from these U.S. patent applications would be expected to expire no earlier than August 9, 2038, February 13, 2040, and April 3, 2040, respectively, subject to any disclaimers or extensions.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PRT811</w:t>
      </w:r>
    </w:p>
    <w:p>
      <w:pPr>
        <w:spacing w:after="0" w:line="11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PRT811 patent portfolio is wholly owned by us. The portfolio includes one issued U.S. patent, which claims, among other things, PRT811, pharmaceutical compositions comprising PRT811, methods of inhibiting PRMT5 using PRT811, and methods of treating certain cancers, including glioblastoma, using PRT811. The patent is expected to expire no earlier than March 14, 2039, subject to any disclaimers or extensions available under the Hatch-Waxman Act. A related PCT application was filed, and corresponding national phase applications were filed in Australia, Brazil, Canada, India, Israel, Japan, Mexico, New Zealand, and South Africa. Moreover, national phase applications from this PCT application are also planned for filing during the fourth quarter of 2020, in China, Eurasia, Europe, Korea, and Ukraine. Any patents resulting from these national patent applications, if issued, are expected to expire no earlier than March 14, 2039, subject to any disclaimers or extensions.</w:t>
      </w:r>
    </w:p>
    <w:p>
      <w:pPr>
        <w:spacing w:after="0" w:line="184" w:lineRule="exact"/>
        <w:rPr>
          <w:sz w:val="20"/>
          <w:szCs w:val="20"/>
          <w:color w:val="auto"/>
        </w:rPr>
      </w:pPr>
    </w:p>
    <w:p>
      <w:pPr>
        <w:ind w:right="100" w:firstLine="449"/>
        <w:spacing w:after="0" w:line="263" w:lineRule="auto"/>
        <w:rPr>
          <w:sz w:val="20"/>
          <w:szCs w:val="20"/>
          <w:color w:val="auto"/>
        </w:rPr>
      </w:pPr>
      <w:r>
        <w:rPr>
          <w:rFonts w:ascii="Times New Roman" w:cs="Times New Roman" w:eastAsia="Times New Roman" w:hAnsi="Times New Roman"/>
          <w:sz w:val="18"/>
          <w:szCs w:val="18"/>
          <w:color w:val="auto"/>
        </w:rPr>
        <w:t>The PRT811 patent portfolio also includes two pending U.S. non-provisional applications, a pending U.S. provisional application that claims compositions of matter, and a PCT application that claims methods of treatment. Any patents issuing from these applications would be expected to expire in 2040, subject to any disclaimers or extensions.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PRT1419</w:t>
      </w:r>
    </w:p>
    <w:p>
      <w:pPr>
        <w:spacing w:after="0" w:line="118" w:lineRule="exact"/>
        <w:rPr>
          <w:sz w:val="20"/>
          <w:szCs w:val="20"/>
          <w:color w:val="auto"/>
        </w:rPr>
      </w:pPr>
    </w:p>
    <w:p>
      <w:pPr>
        <w:ind w:right="220" w:firstLine="449"/>
        <w:spacing w:after="0" w:line="255" w:lineRule="auto"/>
        <w:rPr>
          <w:sz w:val="20"/>
          <w:szCs w:val="20"/>
          <w:color w:val="auto"/>
        </w:rPr>
      </w:pPr>
      <w:r>
        <w:rPr>
          <w:rFonts w:ascii="Times New Roman" w:cs="Times New Roman" w:eastAsia="Times New Roman" w:hAnsi="Times New Roman"/>
          <w:sz w:val="18"/>
          <w:szCs w:val="18"/>
          <w:color w:val="auto"/>
        </w:rPr>
        <w:t>Our PRT1419 patent portfolio, which is wholly owned by us, includes pending U.S. patent applications claiming, among other things, PRT1419 and other compounds, pharmaceutical compositions comprising PRT1419, and methods of using PRT1419. Any patents issued from this application would be expected to expire no earlier than November 8, 2039, subject to any disclaimers or extensions. A related PCT application was filed and national patent applications based on that application are planned for filing in non-U.S. countries in May and June 2021. Any patents resulting from these national patent applications, if issued, would expire no earlier than November 8, 2039, subject to any disclaimers or extensions.</w:t>
      </w:r>
    </w:p>
    <w:p>
      <w:pPr>
        <w:spacing w:after="0" w:line="184" w:lineRule="exact"/>
        <w:rPr>
          <w:sz w:val="20"/>
          <w:szCs w:val="20"/>
          <w:color w:val="auto"/>
        </w:rPr>
      </w:pPr>
    </w:p>
    <w:p>
      <w:pPr>
        <w:ind w:right="100" w:firstLine="449"/>
        <w:spacing w:after="0" w:line="278" w:lineRule="auto"/>
        <w:rPr>
          <w:sz w:val="20"/>
          <w:szCs w:val="20"/>
          <w:color w:val="auto"/>
        </w:rPr>
      </w:pPr>
      <w:r>
        <w:rPr>
          <w:rFonts w:ascii="Times New Roman" w:cs="Times New Roman" w:eastAsia="Times New Roman" w:hAnsi="Times New Roman"/>
          <w:sz w:val="18"/>
          <w:szCs w:val="18"/>
          <w:color w:val="auto"/>
        </w:rPr>
        <w:t>The PRT1419 patent portfolio also includes a pending U.S. provisional application that claims additional compositions of matter. Any patents granted that claim priority to this provisional application could expire as late as 2041.</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PRT2527</w:t>
      </w:r>
    </w:p>
    <w:p>
      <w:pPr>
        <w:spacing w:after="0" w:line="118" w:lineRule="exact"/>
        <w:rPr>
          <w:sz w:val="20"/>
          <w:szCs w:val="20"/>
          <w:color w:val="auto"/>
        </w:rPr>
      </w:pPr>
    </w:p>
    <w:p>
      <w:pPr>
        <w:ind w:firstLine="449"/>
        <w:spacing w:after="0" w:line="285" w:lineRule="auto"/>
        <w:rPr>
          <w:sz w:val="20"/>
          <w:szCs w:val="20"/>
          <w:color w:val="auto"/>
        </w:rPr>
      </w:pPr>
      <w:r>
        <w:rPr>
          <w:rFonts w:ascii="Times New Roman" w:cs="Times New Roman" w:eastAsia="Times New Roman" w:hAnsi="Times New Roman"/>
          <w:sz w:val="17"/>
          <w:szCs w:val="17"/>
          <w:color w:val="auto"/>
        </w:rPr>
        <w:t>Our PRT2527 patent portfolio, which is wholly owned by us, includes one U.S. non-provisional patent application and one PCT application claiming, among other things, PRT2527 and other compounds, pharmaceutical compositions comprising PRT2527, and methods of using PRT2527. Any patents that issue based upon these U.S. non-provisional and PCT applications would be expected to expire no earlier than 2040, subject to any disclaimers or extensions.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454"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SMARCA2 Degraders</w:t>
      </w:r>
    </w:p>
    <w:p>
      <w:pPr>
        <w:spacing w:after="0" w:line="118" w:lineRule="exact"/>
        <w:rPr>
          <w:sz w:val="20"/>
          <w:szCs w:val="20"/>
          <w:color w:val="auto"/>
        </w:rPr>
      </w:pPr>
    </w:p>
    <w:p>
      <w:pPr>
        <w:ind w:right="560" w:firstLine="449"/>
        <w:spacing w:after="0" w:line="263" w:lineRule="auto"/>
        <w:rPr>
          <w:sz w:val="20"/>
          <w:szCs w:val="20"/>
          <w:color w:val="auto"/>
        </w:rPr>
      </w:pPr>
      <w:r>
        <w:rPr>
          <w:rFonts w:ascii="Times New Roman" w:cs="Times New Roman" w:eastAsia="Times New Roman" w:hAnsi="Times New Roman"/>
          <w:sz w:val="18"/>
          <w:szCs w:val="18"/>
          <w:color w:val="auto"/>
        </w:rPr>
        <w:t>The SMARCA2 degrader patent portfolio includes three provisional applications which claim, among other things, genera of compounds that encompass SMARCA2 and/or related inhibitors, pharmaceutical compositions comprising those inhibitors, and methods of treating cancer with those inhibitors.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5"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In addition, we have patent portfolios that are directed to a number of different compounds other than PRT543, PRT811, PRT1419, PRT2527, and SMARCA2 degraders. We have patent applications directed to compounds that target resistance mechanisms in cancer. We expect to maintain some of these applications in the United States and to also file in foreign countries. In addition to the applications described above, we wholly-own eleven applications including U.S. provisional patent applications, U.S. non-provisional patent applications, foreign applications, and PCT applications, covering compositions and methods of making and using those compounds to treat cancer and other diseases.</w:t>
      </w:r>
    </w:p>
    <w:p>
      <w:pPr>
        <w:spacing w:after="0" w:line="184" w:lineRule="exact"/>
        <w:rPr>
          <w:sz w:val="20"/>
          <w:szCs w:val="20"/>
          <w:color w:val="auto"/>
        </w:rPr>
      </w:pPr>
    </w:p>
    <w:p>
      <w:pPr>
        <w:jc w:val="both"/>
        <w:ind w:firstLine="449"/>
        <w:spacing w:after="0" w:line="285" w:lineRule="auto"/>
        <w:rPr>
          <w:sz w:val="20"/>
          <w:szCs w:val="20"/>
          <w:color w:val="auto"/>
        </w:rPr>
      </w:pPr>
      <w:r>
        <w:rPr>
          <w:rFonts w:ascii="Times New Roman" w:cs="Times New Roman" w:eastAsia="Times New Roman" w:hAnsi="Times New Roman"/>
          <w:sz w:val="17"/>
          <w:szCs w:val="17"/>
          <w:color w:val="auto"/>
        </w:rPr>
        <w:t>The term of individual patents depends upon the legal term of the patents in the countries in which they are obtained. In the countries in which we file, the patent term is 20 years from the earliest non-provisional filing date, subject to any disclaimers or extensions. The term of a patent in the United States can be adjusted due to any failure of the United States Patent and Trademark Office following certain statutory and regulation deadlines for issuing a patent.</w:t>
      </w:r>
    </w:p>
    <w:p>
      <w:pPr>
        <w:spacing w:after="0" w:line="16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also be eligible for patent term extension, which permits patent term restoration as compensation for a portion of the patent term lost during the FDA regulatory review process. The Hatch-Waxman Act permits a patent term extension of up to five years beyond the original expiration of the patent. The protection provided by a patent varies from country to country, and is dependent on the type of patent granted, the scope of the patent claims, and the legal remedies available in a given country.</w:t>
      </w:r>
    </w:p>
    <w:p>
      <w:pPr>
        <w:spacing w:after="0" w:line="180"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Obtaining patent protection is not the only method that we employ to protect our propriety rights. We also utilize other forms of intellectual property protection, including trademark, copyright, and trade secrets, when those other forms are better suited to protect a particular aspect of our intellectual property. Our belief is that our propriety rights are strengthened by our comprehensive approach to intellectual property protection.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18"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for the foreseeable future, on third parties for the manufacture of our product candidates for preclinical and clinical testing, including pharmaceutical ingredients and clinical drug supply, as well as for commercial manufacture of any drugs that we may commercialize. We obtain our supplies from these manufacturers on a purchase order basis and do not have long-term supply arrangements in place. We do not own in-house warehouse facilities. We rely on third parties for storage and distribution of drug substance and drug product. We do not currently have arrangements in place for redundant supply for active pharmaceutical ingredients and drug product. As our development programs progress and we build new process efficiencies, we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454" w:right="3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700"/>
        <w:spacing w:after="0" w:line="278" w:lineRule="auto"/>
        <w:rPr>
          <w:sz w:val="20"/>
          <w:szCs w:val="20"/>
          <w:color w:val="auto"/>
        </w:rPr>
      </w:pPr>
      <w:r>
        <w:rPr>
          <w:rFonts w:ascii="Times New Roman" w:cs="Times New Roman" w:eastAsia="Times New Roman" w:hAnsi="Times New Roman"/>
          <w:sz w:val="18"/>
          <w:szCs w:val="18"/>
          <w:color w:val="auto"/>
        </w:rPr>
        <w:t>expect to continually evaluate this strategy with the objective of satisfying demand for registration trials and, if approved, the manufacture, sale and distribution of commercial products.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8" w:lineRule="exact"/>
        <w:rPr>
          <w:sz w:val="20"/>
          <w:szCs w:val="20"/>
          <w:color w:val="auto"/>
        </w:rPr>
      </w:pPr>
    </w:p>
    <w:p>
      <w:pPr>
        <w:ind w:right="180" w:firstLine="449"/>
        <w:spacing w:after="0" w:line="263"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If we are successful in obtaining necessary regulatory approval, we may pursue commercialization on our own or seek to collaborate with a third party for commercialization, particularly outside the United States.</w:t>
      </w:r>
    </w:p>
    <w:p>
      <w:pPr>
        <w:spacing w:after="0" w:line="175"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7"/>
          <w:szCs w:val="17"/>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the development of precision oncology therapies optimized to target the key driver mechanisms in cancers with high unmet need. Several biopharmaceutical companies, including Black Diamond Therapeutics, Inc., Constellation Pharmaceuticals, Inc., Repare Therapeutics Inc., Revolution Medicines, Inc., Relay Therapeutics, Inc., and Zentalis Pharmaceuticals, Inc., are developing precision oncology medicines. In addition, we may face competition from companies developing product candidates that are based on targeting pathways of adaptive resistance, including Amgen, AbbVie, AstraZeneca, GlaxoSmithKline, Johnson &amp; Johnson, Pfizer, Bayer and Novartis.</w:t>
      </w:r>
    </w:p>
    <w:p>
      <w:pPr>
        <w:spacing w:after="0" w:line="184"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89" w:lineRule="exact"/>
        <w:rPr>
          <w:sz w:val="20"/>
          <w:szCs w:val="20"/>
          <w:color w:val="auto"/>
        </w:rPr>
      </w:pPr>
    </w:p>
    <w:p>
      <w:pPr>
        <w:ind w:right="640" w:firstLine="449"/>
        <w:spacing w:after="0" w:line="278" w:lineRule="auto"/>
        <w:rPr>
          <w:sz w:val="20"/>
          <w:szCs w:val="20"/>
          <w:color w:val="auto"/>
        </w:rPr>
      </w:pPr>
      <w:r>
        <w:rPr>
          <w:rFonts w:ascii="Times New Roman" w:cs="Times New Roman" w:eastAsia="Times New Roman" w:hAnsi="Times New Roman"/>
          <w:sz w:val="18"/>
          <w:szCs w:val="18"/>
          <w:color w:val="auto"/>
        </w:rPr>
        <w:t>With respect to our PRMT5 programs, PRT543 and PRT811, several companies are developing PRMT5 inhibitors with clinical trials ongoing, including GlaxoSmithKline (GSK3326595), Johnson &amp; Johnson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454" w:right="3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(JNJ-64619178) and Pfizer (PF-06939999). For our product candidate PRT1419, other companies are developing MCL1 inhibitors with monotherapy and/or combination trials ongoing, including Amgen (AMG176), AstraZeneca (AZD5991) and Novartis (MIK665). For our preclinical CDK9 program, both AstraZeneca and Bayer have CDK9 programs in Phase 1 clinical trials.</w:t>
      </w:r>
    </w:p>
    <w:p>
      <w:pPr>
        <w:spacing w:after="0" w:line="175"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more favorable labeling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18"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Food and Drug Administration, or FDA, The Federal Food, Drug, and Cosmetic Act, or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NDAs, warning or untitled letters, product recalls, product seizures, total or partial suspension of production or distribution, injunctions, fines, civil penalties and criminal prosecution.</w:t>
      </w:r>
    </w:p>
    <w:p>
      <w:pPr>
        <w:spacing w:after="0" w:line="184"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Pharmaceutical product development for a new product or certain changes to an approved product in the U.S. typically involves preclinical laboratory and animal tests, the submission to FDA of an investigational new drug application, or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4"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 A 30-day waiting period after the submission of each IND is required prior to the commencement of clinical testing in humans. If FDA has neither commented on nor questioned the IND within this 30-day period, the clinical trial proposed in the IND may begin. Clinical trials involve the administration 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454"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FDA as part of the IND.</w:t>
      </w:r>
    </w:p>
    <w:p>
      <w:pPr>
        <w:spacing w:after="0" w:line="184"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Imposition of a clinical hold may be full or partial. The study protocol and informed consent information for patients in clinical trials must also be submitted to an institutional review board, or IRB, and ethics committee for approval. The IRB will also monitor the clinical trial until completed. An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87"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FDA to evaluate the overall benefit-risk relationship of the drug and to provide adequate information for the labeling of the drug. In most cases FDA requires two adequate and well-controlled Phase 3 clinical trials to demonstrate the efficacy of the drug. A single Phase 3 trial with other confirmatory evidence may be sufficient in rare instances, such as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87" w:lineRule="exact"/>
        <w:rPr>
          <w:sz w:val="20"/>
          <w:szCs w:val="20"/>
          <w:color w:val="auto"/>
        </w:rPr>
      </w:pPr>
    </w:p>
    <w:p>
      <w:pPr>
        <w:ind w:right="40" w:firstLine="449"/>
        <w:spacing w:after="0" w:line="263" w:lineRule="auto"/>
        <w:rPr>
          <w:sz w:val="20"/>
          <w:szCs w:val="20"/>
          <w:color w:val="auto"/>
        </w:rPr>
      </w:pPr>
      <w:r>
        <w:rPr>
          <w:rFonts w:ascii="Times New Roman" w:cs="Times New Roman" w:eastAsia="Times New Roman" w:hAnsi="Times New Roman"/>
          <w:sz w:val="18"/>
          <w:szCs w:val="18"/>
          <w:color w:val="auto"/>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17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pivotal trial may be sufficient in rare instances to provide substantial evidence of effectiveness (generally subject to the requirement of additional post-approval studies).</w:t>
      </w:r>
    </w:p>
    <w:p>
      <w:pPr>
        <w:spacing w:after="0" w:line="180" w:lineRule="exact"/>
        <w:rPr>
          <w:sz w:val="20"/>
          <w:szCs w:val="20"/>
          <w:color w:val="auto"/>
        </w:rPr>
      </w:pPr>
    </w:p>
    <w:p>
      <w:pPr>
        <w:ind w:right="180" w:firstLine="449"/>
        <w:spacing w:after="0" w:line="278" w:lineRule="auto"/>
        <w:rPr>
          <w:sz w:val="20"/>
          <w:szCs w:val="20"/>
          <w:color w:val="auto"/>
        </w:rPr>
      </w:pPr>
      <w:r>
        <w:rPr>
          <w:rFonts w:ascii="Times New Roman" w:cs="Times New Roman" w:eastAsia="Times New Roman" w:hAnsi="Times New Roman"/>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62" w:lineRule="exact"/>
        <w:rPr>
          <w:sz w:val="20"/>
          <w:szCs w:val="20"/>
          <w:color w:val="auto"/>
        </w:rPr>
      </w:pPr>
    </w:p>
    <w:p>
      <w:pPr>
        <w:ind w:right="160" w:firstLine="449"/>
        <w:spacing w:after="0" w:line="278"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FDA. FDA approval of the NDA is required before marketing of the product may begin in the U.S. The NDA must include the results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454" w:right="3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preclinical, clinical and other testing and a compilation of data relating to the product’s pharmacology, chemistry, manufacture and controls.</w:t>
      </w:r>
    </w:p>
    <w:p>
      <w:pPr>
        <w:spacing w:after="0" w:line="2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cost of preparing and submitting an NDA is substantial. The submission of most NDAs is additionally subject to a substantial application user fee.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are also subject to annual program fees. The FDA adjusts the user fees on an annual basis, and the fees typically increase annually.</w:t>
      </w:r>
    </w:p>
    <w:p>
      <w:pPr>
        <w:spacing w:after="0" w:line="184"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FDA reviews each submitted NDA before it determines whether to file it and may request additional information. The FDA must make a decision on whether to file an NDA within 60 days of receipt, and such decision could include a refusal to file by the FDA. Once the submission is filed, FDA begins an in-depth review of the NDA. FDA has agreed to certain performance goals in the review of NDAs. Most applications for standard review drug products are reviewed within ten to twelve months; most applications for priority review drugs are reviewed in six to eight months. Priority review can be applied to drugs that FDA determines offer major advances in treatment or provide a treatment where no adequate therapy exists. The review process for both standard and priority review may be extended by FDA for three additional months to consider certain late-submitted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187"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FDA may also refer applications for novel drug products, or drug products that present difficult questions of safety or efficacy, to an outside advisory committee — typically a panel that includes clinicians and other experts — for review, evaluation and a recommendation as to whether the application should be approved and under what conditions, if any. FDA is not bound by the recommendation of an advisory committee, but it generally follows such recommendations.</w:t>
      </w:r>
    </w:p>
    <w:p>
      <w:pPr>
        <w:spacing w:after="0" w:line="18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Before approving an NDA, FDA will conduct a pre-approval inspection of the manufacturing facilities for the new product to determine whether they comply with cGMP requirements. FDA will not approve the product unless it determines that the manufacturing processes and facilities are in compliance with cGMP requirements and adequate to assure consistent production of the product within required specifications. The FDA also typically inspects ore or more clinical trial sites to ensure compliance with GCP requirements and the integrity of the data supporting safety and efficacy.</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After FDA evaluates the NDA and the manufacturing facilities, it issues either an approval letter or a complete response letter. A complete response letter, or CRL, generally outlines the deficiencies in the submission and may require substantial additional testing, or information, in order for FDA to reconsider the application, such as additional clinical data, additional pivotal clinical trial(s), and/or other significant and time-consuming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FDA has committed to reviewing resubmissions in two or six months depending on the type of information included. Even if such data and information are submitted, the FDA may decide that the NDA does not satisfy the criteria for approval.</w:t>
      </w:r>
    </w:p>
    <w:p>
      <w:pPr>
        <w:spacing w:after="0" w:line="184"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If, or when, the deficiencies identified in the CRL have been addressed to FDA’s satisfaction in a resubmission of the NDA, FDA will issue an approval letter. An approval letter authorizes commercial marketing of the drug with specific prescribing information for specific indications. As a condition of NDA approval,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20"/>
          </w:cols>
          <w:pgMar w:left="320" w:top="454" w:right="3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right="420"/>
        <w:spacing w:after="0" w:line="263" w:lineRule="auto"/>
        <w:rPr>
          <w:sz w:val="20"/>
          <w:szCs w:val="20"/>
          <w:color w:val="auto"/>
        </w:rPr>
      </w:pPr>
      <w:r>
        <w:rPr>
          <w:rFonts w:ascii="Times New Roman" w:cs="Times New Roman" w:eastAsia="Times New Roman" w:hAnsi="Times New Roman"/>
          <w:sz w:val="18"/>
          <w:szCs w:val="18"/>
          <w:color w:val="auto"/>
        </w:rPr>
        <w:t>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75"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FDA uses the same procedures and actions in reviewing NDA supplements as it does in reviewing NDAs.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118"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Sponsors of clinical trials of FDA regulated products, including drugs, are required to register and disclose certain clinical trial information.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116"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Fast track designation may be granted for a product that is intended to treat a serious or life-threatening disease or condition for which there is no effective treatment and preclinical or clinical data demonstrate the potential to address unmet medical needs for the condition. The sponsor of an investigational drug product may request that FDA designate the product candidate for a specific indication as a fast track drug concurrent with, or after, the submission of the IND for the product candidate. FDA must determine if the product candidate qualifies for fast 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NDA filing, the FDA will determine whether to grant priority review designation. FDA will grant such designation if the proposed drug would be a significant improvement in the safety or effectiveness of the treatment, prevention, or diagnosis of a serious condition. Additionally, fast track designation may be withdrawn if FDA believes that the designation is no longer supported by data emerging in the clinical trial process.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116"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454" w:right="3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Breakthrough Therapy Designation</w:t>
      </w:r>
    </w:p>
    <w:p>
      <w:pPr>
        <w:spacing w:after="0" w:line="116"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FDA designate the product candidate for a specific indication as a breakthrough therapy concurrent with, or after, the filing of the IND for the product candidate. FDA must determine if the product candidate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18"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Under the Orphan Drug Act,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80" w:lineRule="exact"/>
        <w:rPr>
          <w:sz w:val="20"/>
          <w:szCs w:val="20"/>
          <w:color w:val="auto"/>
        </w:rPr>
      </w:pPr>
    </w:p>
    <w:p>
      <w:pPr>
        <w:ind w:right="260" w:firstLine="449"/>
        <w:spacing w:after="0" w:line="263"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FDA grants orphan drug designation, the identity of the drug and its potential orphan use are disclosed publicly by FDA. Orphan drug designation does not convey any advantage in, or shorten the duration of, the regulatory review and approval process.</w:t>
      </w:r>
    </w:p>
    <w:p>
      <w:pPr>
        <w:spacing w:after="0" w:line="175"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first NDA applicant to receive FDA approval for a particular active moiety to treat a rare disease for which it has such designation is entitled to a seven-year exclusive marketing period in the U.S. for that product, for that indication. During the seven-year exclusivity period,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18" w:lineRule="exact"/>
        <w:rPr>
          <w:sz w:val="20"/>
          <w:szCs w:val="20"/>
          <w:color w:val="auto"/>
        </w:rPr>
      </w:pPr>
    </w:p>
    <w:p>
      <w:pPr>
        <w:ind w:right="360" w:firstLine="449"/>
        <w:spacing w:after="0" w:line="278" w:lineRule="auto"/>
        <w:rPr>
          <w:sz w:val="20"/>
          <w:szCs w:val="20"/>
          <w:color w:val="auto"/>
        </w:rPr>
      </w:pPr>
      <w:r>
        <w:rPr>
          <w:rFonts w:ascii="Times New Roman" w:cs="Times New Roman" w:eastAsia="Times New Roman" w:hAnsi="Times New Roman"/>
          <w:sz w:val="18"/>
          <w:szCs w:val="18"/>
          <w:color w:val="auto"/>
        </w:rPr>
        <w:t>Under the Pediatric Research Equity Act, or PREA, NDAs or supplements to NDAs must contain data to assess the safety and effectiveness of the drug for the claimed indications in all relevant pediatric subpopulations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454" w:right="3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and to support dosing and administration for each pediatric subpopulation for which the drug is safe and effective. FDA may grant full or partial waivers, or deferrals, for submission of data. Unless otherwise required by regulation, PREA does not apply to any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84"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The Best Pharmaceuticals for Children Act, or BPCA, provides NDA holders a six-month extension of any exclusivity — patent or nonpatent — 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18"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Once an NDA is approved, a product will be subject to certain post-approval requirements. For instance,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180"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FDA also may require post-marketing testing, known as Phase 4 testing, risk evaluation and mitigation strategies, or REMS, and surveillance to monitor the effects of an approved product, or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FDA and certain state agencies. Registration with FDA subjects entities to periodic unannounced inspections by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116" w:lineRule="exact"/>
        <w:rPr>
          <w:sz w:val="20"/>
          <w:szCs w:val="20"/>
          <w:color w:val="auto"/>
        </w:rPr>
      </w:pPr>
    </w:p>
    <w:p>
      <w:pPr>
        <w:ind w:right="280" w:firstLine="449"/>
        <w:spacing w:after="0" w:line="258"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180"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Drugs listed in the Orange Book can, in turn, be cited by potential generic competitors in support of approval of an abbreviated new drug application, or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454" w:right="3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175" w:lineRule="exact"/>
        <w:rPr>
          <w:sz w:val="20"/>
          <w:szCs w:val="20"/>
          <w:color w:val="auto"/>
        </w:rPr>
      </w:pPr>
    </w:p>
    <w:p>
      <w:pPr>
        <w:jc w:val="both"/>
        <w:ind w:firstLine="449"/>
        <w:spacing w:after="0" w:line="274" w:lineRule="auto"/>
        <w:rPr>
          <w:sz w:val="20"/>
          <w:szCs w:val="20"/>
          <w:color w:val="auto"/>
        </w:rPr>
      </w:pPr>
      <w:r>
        <w:rPr>
          <w:rFonts w:ascii="Times New Roman" w:cs="Times New Roman" w:eastAsia="Times New Roman" w:hAnsi="Times New Roman"/>
          <w:sz w:val="17"/>
          <w:szCs w:val="17"/>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w:t>
      </w:r>
    </w:p>
    <w:p>
      <w:pPr>
        <w:ind w:firstLine="7"/>
        <w:spacing w:after="0" w:line="248" w:lineRule="auto"/>
        <w:tabs>
          <w:tab w:leader="none" w:pos="31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96" w:lineRule="exact"/>
        <w:rPr>
          <w:sz w:val="20"/>
          <w:szCs w:val="20"/>
          <w:color w:val="auto"/>
        </w:rPr>
      </w:pPr>
    </w:p>
    <w:p>
      <w:pPr>
        <w:ind w:right="80" w:firstLine="449"/>
        <w:spacing w:after="0" w:line="263"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11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184"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Certain changes to an approved drug, such as the approval of a new indication, the approval of a new strength, and the approval of a new condition of use, are associated with a three-year period of exclusivity from the date of approval during which FDA cannot approve an ANDA for a generic drug that includes the change. In some instances, an ANDA applicant may receive approval prior to expiration of the three-year exclusivity if the applicant seeks, and FDA permits, the omission of such exclusivity-protected information from the ANDA package insert.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116" w:lineRule="exact"/>
        <w:rPr>
          <w:sz w:val="20"/>
          <w:szCs w:val="20"/>
          <w:color w:val="auto"/>
        </w:rPr>
      </w:pPr>
    </w:p>
    <w:p>
      <w:pPr>
        <w:ind w:right="380" w:firstLine="449"/>
        <w:spacing w:after="0" w:line="263" w:lineRule="auto"/>
        <w:rPr>
          <w:sz w:val="20"/>
          <w:szCs w:val="20"/>
          <w:color w:val="auto"/>
        </w:rPr>
      </w:pPr>
      <w:r>
        <w:rPr>
          <w:rFonts w:ascii="Times New Roman" w:cs="Times New Roman" w:eastAsia="Times New Roman" w:hAnsi="Times New Roman"/>
          <w:sz w:val="18"/>
          <w:szCs w:val="18"/>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00"/>
          </w:cols>
          <w:pgMar w:left="320" w:top="454" w:right="3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drug patents may apply for the extension. The allowable patent term extension is calculated as half of the drug’s testing phase (the time between IND application and NDA submission) and all of the review phase (the time between NDA submission and approval) up to a maximum of five years. The time can be reduced for any time FDA determines that the applicant did not pursue approval with due diligence.</w:t>
      </w:r>
    </w:p>
    <w:p>
      <w:pPr>
        <w:spacing w:after="0" w:line="175"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United States Patent and Trademark Office, or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80" w:lineRule="exact"/>
        <w:rPr>
          <w:sz w:val="20"/>
          <w:szCs w:val="20"/>
          <w:color w:val="auto"/>
        </w:rPr>
      </w:pPr>
    </w:p>
    <w:p>
      <w:pPr>
        <w:ind w:right="40" w:firstLine="449"/>
        <w:spacing w:after="0" w:line="274" w:lineRule="auto"/>
        <w:rPr>
          <w:sz w:val="20"/>
          <w:szCs w:val="20"/>
          <w:color w:val="auto"/>
        </w:rPr>
      </w:pPr>
      <w:r>
        <w:rPr>
          <w:rFonts w:ascii="Times New Roman" w:cs="Times New Roman" w:eastAsia="Times New Roman" w:hAnsi="Times New Roman"/>
          <w:sz w:val="17"/>
          <w:szCs w:val="17"/>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116"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If use of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is essential to safe and effective use of a drug product, then the FDA generally will require approval or clearance of the diagnostic, known as a companion diagnostic, at the same time that the FDA approves the drug product. FDA has generally required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intended to select the patients who will respond to cancer treatment to obtain a pre-market approval, or PMA, for that diagnostic simultaneously with approval of the drug. The review of these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 conjunction with the review of a cancer therapeutic involves coordination of review by the FDA’s Center for Drug Evaluation and Research and by the FDA’s Center for Devices and Radiological Health. Approval and clearance of a companion diagnostic also requires a high level of coordination between the drug manufacturer and device manufacturer, if different companies.</w:t>
      </w:r>
    </w:p>
    <w:p>
      <w:pPr>
        <w:spacing w:after="0" w:line="186"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 substantial application fee, which is typically increased annually. 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92"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454" w:right="3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color w:val="auto"/>
        </w:rPr>
        <w:t>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2"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including payment of an annual establishment registration fee, and list their device(s)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18" w:lineRule="exact"/>
        <w:rPr>
          <w:sz w:val="20"/>
          <w:szCs w:val="20"/>
          <w:color w:val="auto"/>
        </w:rPr>
      </w:pPr>
    </w:p>
    <w:p>
      <w:pPr>
        <w:jc w:val="both"/>
        <w:ind w:right="360" w:firstLine="449"/>
        <w:spacing w:after="0" w:line="263"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false claims, transparency and health information privacy laws and other healthcare laws and regulations.</w:t>
      </w:r>
    </w:p>
    <w:p>
      <w:pPr>
        <w:spacing w:after="0" w:line="175"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the ACA amended the federal Anti-Kickback Statute such that a violation of that statute can serve as a basis for liability under the federal civil False Claims Act.</w:t>
      </w:r>
    </w:p>
    <w:p>
      <w:pPr>
        <w:spacing w:after="0" w:line="189"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92" w:lineRule="exact"/>
        <w:rPr>
          <w:sz w:val="20"/>
          <w:szCs w:val="20"/>
          <w:color w:val="auto"/>
        </w:rPr>
      </w:pPr>
    </w:p>
    <w:p>
      <w:pPr>
        <w:ind w:right="280" w:firstLine="449"/>
        <w:spacing w:after="0" w:line="278"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454"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that the offerer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84"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In addition, HIPAA, as amended by the Health Information Technology for Economic and Clinical Health Act of 2009, or HITECH, and their respective implementing regulations, including the Final Omnibus Rule published on January 25, 2013, impose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w:t>
      </w:r>
    </w:p>
    <w:p>
      <w:pPr>
        <w:spacing w:after="0" w:line="189" w:lineRule="exact"/>
        <w:rPr>
          <w:sz w:val="20"/>
          <w:szCs w:val="20"/>
          <w:color w:val="auto"/>
        </w:rPr>
      </w:pPr>
    </w:p>
    <w:p>
      <w:pPr>
        <w:ind w:right="180" w:firstLine="449"/>
        <w:spacing w:after="0" w:line="254" w:lineRule="auto"/>
        <w:rPr>
          <w:sz w:val="20"/>
          <w:szCs w:val="20"/>
          <w:color w:val="auto"/>
        </w:rPr>
      </w:pPr>
      <w:r>
        <w:rPr>
          <w:rFonts w:ascii="Times New Roman" w:cs="Times New Roman" w:eastAsia="Times New Roman" w:hAnsi="Times New Roman"/>
          <w:sz w:val="18"/>
          <w:szCs w:val="18"/>
          <w:color w:val="auto"/>
        </w:rPr>
        <w:t>Further, pursuant to the ACA, the Centers for Medicare &amp; Medicaid Services, or CMS, has issued a final rule that requires certain manufacturers of prescription drugs to collect and annually report information on certain payments or transfers of value to physicians, as defined by such law, and teaching hospitals, as well as ownership and investment interests held by physicians and their immediate family members. The reported data is made available in searchable form on a public website on an annual basis. Failure to submit required information may result in civil monetary penalties. Effective January 1, 2022, reporting on transfers of value provided and ownership and investment interests held during the previous year to physician assistants, nurse practitioners or clinical nurse specialists, certified registered nurse anesthetists, and certified nurse-midwives will also be required.</w:t>
      </w:r>
    </w:p>
    <w:p>
      <w:pPr>
        <w:spacing w:after="0" w:line="184"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We may also be subject to analogous state and foreign anti-kickback and false claims laws that may apply to sales or marketing arrangements and claims involving healthcare items or services reimbursed by non-governmental third party payors, including private insurers, or that apply regardless of payor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right="200" w:firstLine="449"/>
        <w:spacing w:after="0" w:line="263"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00"/>
          </w:cols>
          <w:pgMar w:left="320" w:top="454" w:right="3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18" w:lineRule="exact"/>
        <w:rPr>
          <w:sz w:val="20"/>
          <w:szCs w:val="20"/>
          <w:color w:val="auto"/>
        </w:rPr>
      </w:pPr>
    </w:p>
    <w:p>
      <w:pPr>
        <w:ind w:firstLine="449"/>
        <w:spacing w:after="0" w:line="265" w:lineRule="auto"/>
        <w:rPr>
          <w:sz w:val="20"/>
          <w:szCs w:val="20"/>
          <w:color w:val="auto"/>
        </w:rPr>
      </w:pPr>
      <w:r>
        <w:rPr>
          <w:rFonts w:ascii="Times New Roman" w:cs="Times New Roman" w:eastAsia="Times New Roman" w:hAnsi="Times New Roman"/>
          <w:sz w:val="17"/>
          <w:szCs w:val="17"/>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and Medicaid Innovation at CMS to test innovative payment and service delivery models to lower Medicare and Medicaid spending, potentially including prescription drug spending.</w:t>
      </w:r>
    </w:p>
    <w:p>
      <w:pPr>
        <w:spacing w:after="0" w:line="393"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The current U.S. presidential administration and Congress have, and we expect they will continue to, seek to modify, repeal, or otherwise invalidate all, or certain provisions of, the ACA. Since January 2017, the current U.S. presidential administration has issued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been signed into law. The Tax Cuts and Jobs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or the BBA, among other things,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454" w:right="3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amended the ACA, effective January 1, 2019, to increase from 50% to 70%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There is still uncertainty with respect to the impact the current U.S. presidential administration and the Congress may have, if any, and any changes will likely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w:t>
      </w:r>
    </w:p>
    <w:p>
      <w:pPr>
        <w:spacing w:after="0" w:line="187" w:lineRule="exact"/>
        <w:rPr>
          <w:sz w:val="20"/>
          <w:szCs w:val="20"/>
          <w:color w:val="auto"/>
        </w:rPr>
      </w:pPr>
    </w:p>
    <w:p>
      <w:pPr>
        <w:ind w:right="20" w:firstLine="449"/>
        <w:spacing w:after="0" w:line="265"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unless additional Congressional action is taken.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86" w:lineRule="exact"/>
        <w:rPr>
          <w:sz w:val="20"/>
          <w:szCs w:val="20"/>
          <w:color w:val="auto"/>
        </w:rPr>
      </w:pPr>
    </w:p>
    <w:p>
      <w:pPr>
        <w:ind w:right="120" w:firstLine="449"/>
        <w:spacing w:after="0" w:line="268" w:lineRule="auto"/>
        <w:rPr>
          <w:sz w:val="20"/>
          <w:szCs w:val="20"/>
          <w:color w:val="auto"/>
        </w:rPr>
      </w:pPr>
      <w:r>
        <w:rPr>
          <w:rFonts w:ascii="Times New Roman" w:cs="Times New Roman" w:eastAsia="Times New Roman" w:hAnsi="Times New Roman"/>
          <w:sz w:val="17"/>
          <w:szCs w:val="17"/>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current U.S. presidential administration’s budget proposal for fiscal year 2021 includes a</w:t>
      </w:r>
    </w:p>
    <w:p>
      <w:pPr>
        <w:spacing w:after="0" w:line="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$135 billion allowance to support legislative proposals seeking to reduce drug prices, increase competition, lower out-of-pocket drug costs for patients, and increase patient access to lower-cost generic and biosimilar drugs. On March 10, 2020, the U.S. presidential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on May 11, 2018, the current U.S. presidential administration laid out the administration’s “Blueprint” to reduce the cost of prescription medications while preserving innovation and cures. The Department of Health and Human Services, or HHS, has solicited feedback on some of these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20"/>
          </w:cols>
          <w:pgMar w:left="320" w:top="454"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measures and has implemented others under existing authority. Although a number of these and other measures may require additional authorization to become effective, Congress and the current U.S. presidential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8" w:lineRule="exact"/>
        <w:rPr>
          <w:sz w:val="20"/>
          <w:szCs w:val="20"/>
          <w:color w:val="auto"/>
        </w:rPr>
      </w:pPr>
    </w:p>
    <w:p>
      <w:pPr>
        <w:ind w:right="160" w:firstLine="449"/>
        <w:spacing w:after="0" w:line="263" w:lineRule="auto"/>
        <w:rPr>
          <w:sz w:val="20"/>
          <w:szCs w:val="20"/>
          <w:color w:val="auto"/>
        </w:rPr>
      </w:pPr>
      <w:r>
        <w:rPr>
          <w:rFonts w:ascii="Times New Roman" w:cs="Times New Roman" w:eastAsia="Times New Roman" w:hAnsi="Times New Roman"/>
          <w:sz w:val="18"/>
          <w:szCs w:val="18"/>
          <w:color w:val="auto"/>
        </w:rPr>
        <w:t>It is possible that additional governmental action is taken to address the COVID-19 pandemic.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7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18" w:lineRule="exact"/>
        <w:rPr>
          <w:sz w:val="20"/>
          <w:szCs w:val="20"/>
          <w:color w:val="auto"/>
        </w:rPr>
      </w:pPr>
    </w:p>
    <w:p>
      <w:pPr>
        <w:jc w:val="both"/>
        <w:ind w:right="100" w:firstLine="449"/>
        <w:spacing w:after="0" w:line="253" w:lineRule="auto"/>
        <w:rPr>
          <w:sz w:val="20"/>
          <w:szCs w:val="20"/>
          <w:color w:val="auto"/>
        </w:rPr>
      </w:pPr>
      <w:r>
        <w:rPr>
          <w:rFonts w:ascii="Times New Roman" w:cs="Times New Roman" w:eastAsia="Times New Roman" w:hAnsi="Times New Roman"/>
          <w:sz w:val="18"/>
          <w:szCs w:val="18"/>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when more established or lower-cost therapeutic alternatives are already available. Patients are unlikely to use our products unless reimbursement is adequate to cover all or a significant portion of the cost of our drug products.</w:t>
      </w:r>
    </w:p>
    <w:p>
      <w:pPr>
        <w:spacing w:after="0" w:line="184"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w:t>
      </w:r>
    </w:p>
    <w:p>
      <w:pPr>
        <w:spacing w:after="0" w:line="187" w:lineRule="exact"/>
        <w:rPr>
          <w:sz w:val="20"/>
          <w:szCs w:val="20"/>
          <w:color w:val="auto"/>
        </w:rPr>
      </w:pPr>
    </w:p>
    <w:p>
      <w:pPr>
        <w:ind w:right="280" w:firstLine="449"/>
        <w:spacing w:after="0" w:line="258" w:lineRule="auto"/>
        <w:rPr>
          <w:sz w:val="20"/>
          <w:szCs w:val="20"/>
          <w:color w:val="auto"/>
        </w:rPr>
      </w:pPr>
      <w:r>
        <w:rPr>
          <w:rFonts w:ascii="Times New Roman" w:cs="Times New Roman" w:eastAsia="Times New Roman" w:hAnsi="Times New Roman"/>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third-party payors may refuse to include a particular reference listed drug in their formularies or otherwise restrict patient access to a reference listed drug when a less costly generic equivalent or other alternative is available.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20"/>
          </w:cols>
          <w:pgMar w:left="320" w:top="454" w:right="3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drugs products from coverage and limit payments for pharmaceuticals.</w:t>
      </w:r>
    </w:p>
    <w:p>
      <w:pPr>
        <w:spacing w:after="0" w:line="180"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In addition, we expect that the increased emphasis on managed care and cost containment measures in the United States by third-party payors and government authorities to continue and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18" w:lineRule="exact"/>
        <w:rPr>
          <w:sz w:val="20"/>
          <w:szCs w:val="20"/>
          <w:color w:val="auto"/>
        </w:rPr>
      </w:pPr>
    </w:p>
    <w:p>
      <w:pPr>
        <w:ind w:right="140" w:firstLine="449"/>
        <w:spacing w:after="0" w:line="263" w:lineRule="auto"/>
        <w:rPr>
          <w:sz w:val="20"/>
          <w:szCs w:val="20"/>
          <w:color w:val="auto"/>
        </w:rPr>
      </w:pPr>
      <w:r>
        <w:rPr>
          <w:rFonts w:ascii="Times New Roman" w:cs="Times New Roman" w:eastAsia="Times New Roman" w:hAnsi="Times New Roman"/>
          <w:sz w:val="18"/>
          <w:szCs w:val="18"/>
          <w:color w:val="auto"/>
        </w:rPr>
        <w:t>As of June 30, 2020, we had 51 full-time employees. Of these employees, 28 have an M.D. or a Ph.D.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 and Facilities</w:t>
      </w:r>
    </w:p>
    <w:p>
      <w:pPr>
        <w:spacing w:after="0" w:line="118" w:lineRule="exact"/>
        <w:rPr>
          <w:sz w:val="20"/>
          <w:szCs w:val="20"/>
          <w:color w:val="auto"/>
        </w:rPr>
      </w:pPr>
    </w:p>
    <w:p>
      <w:pPr>
        <w:ind w:right="40" w:firstLine="449"/>
        <w:spacing w:after="0" w:line="274" w:lineRule="auto"/>
        <w:rPr>
          <w:sz w:val="20"/>
          <w:szCs w:val="20"/>
          <w:color w:val="auto"/>
        </w:rPr>
      </w:pPr>
      <w:r>
        <w:rPr>
          <w:rFonts w:ascii="Times New Roman" w:cs="Times New Roman" w:eastAsia="Times New Roman" w:hAnsi="Times New Roman"/>
          <w:sz w:val="17"/>
          <w:szCs w:val="17"/>
          <w:color w:val="auto"/>
        </w:rPr>
        <w:t>Our principal executive office is located in Wilmington, Delaware where we license a total of approximately 11,000 square feet of office and laboratory space that we use for our administrative, research and development and other activities. We have the option to license an additional 8,000 square feet of space in this building and the license under this building expires on December 31, 2021. We also have a development and operations office located in Wilmington, Delaware where we lease a total of approximately 5,000 square feet of office space. The lease under this building expires on March 31, 2021. We believe that our facilities are sufficient to meet our current needs and that suitable additional space will be available as and when needed.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8"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00"/>
          </w:cols>
          <w:pgMar w:left="320" w:top="454" w:right="37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including ages as of August 21, 2020, regarding our executive officers and directors: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6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r>
      <w:tr>
        <w:trPr>
          <w:trHeight w:val="281"/>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 Vaddi, Ph.D.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66"/>
        </w:trPr>
        <w:tc>
          <w:tcPr>
            <w:tcW w:w="3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320" w:type="dxa"/>
            <w:vAlign w:val="bottom"/>
          </w:tcPr>
          <w:p>
            <w:pPr>
              <w:spacing w:after="0"/>
              <w:rPr>
                <w:sz w:val="5"/>
                <w:szCs w:val="5"/>
                <w:color w:val="auto"/>
              </w:rPr>
            </w:pPr>
          </w:p>
        </w:tc>
      </w:tr>
      <w:tr>
        <w:trPr>
          <w:trHeight w:val="214"/>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Piper, M.B.A.</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81"/>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Mauro, M.D., Ph.D.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66"/>
        </w:trPr>
        <w:tc>
          <w:tcPr>
            <w:tcW w:w="3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320" w:type="dxa"/>
            <w:vAlign w:val="bottom"/>
          </w:tcPr>
          <w:p>
            <w:pPr>
              <w:spacing w:after="0"/>
              <w:rPr>
                <w:sz w:val="5"/>
                <w:szCs w:val="5"/>
                <w:color w:val="auto"/>
              </w:rPr>
            </w:pPr>
          </w:p>
        </w:tc>
      </w:tr>
      <w:tr>
        <w:trPr>
          <w:trHeight w:val="214"/>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Peggy A. Scherle, Ph.D.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81"/>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 Combs, Ph.D.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Head of Chemistry</w:t>
            </w:r>
          </w:p>
        </w:tc>
      </w:tr>
      <w:tr>
        <w:trPr>
          <w:trHeight w:val="66"/>
        </w:trPr>
        <w:tc>
          <w:tcPr>
            <w:tcW w:w="3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320" w:type="dxa"/>
            <w:vAlign w:val="bottom"/>
          </w:tcPr>
          <w:p>
            <w:pPr>
              <w:spacing w:after="0"/>
              <w:rPr>
                <w:sz w:val="5"/>
                <w:szCs w:val="5"/>
                <w:color w:val="auto"/>
              </w:rPr>
            </w:pPr>
          </w:p>
        </w:tc>
      </w:tr>
      <w:tr>
        <w:trPr>
          <w:trHeight w:val="214"/>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Deborah Morosini, M.D.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Chief of Clinical Affairs</w:t>
            </w:r>
          </w:p>
        </w:tc>
      </w:tr>
      <w:tr>
        <w:trPr>
          <w:trHeight w:val="281"/>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Pierce, M.B.A.</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of Business Operations</w:t>
            </w:r>
          </w:p>
        </w:tc>
      </w:tr>
      <w:tr>
        <w:trPr>
          <w:trHeight w:val="106"/>
        </w:trPr>
        <w:tc>
          <w:tcPr>
            <w:tcW w:w="3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320" w:type="dxa"/>
            <w:vAlign w:val="bottom"/>
          </w:tcPr>
          <w:p>
            <w:pPr>
              <w:spacing w:after="0"/>
              <w:rPr>
                <w:sz w:val="9"/>
                <w:szCs w:val="9"/>
                <w:color w:val="auto"/>
              </w:rPr>
            </w:pPr>
          </w:p>
        </w:tc>
      </w:tr>
      <w:tr>
        <w:trPr>
          <w:trHeight w:val="214"/>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r>
      <w:tr>
        <w:trPr>
          <w:trHeight w:val="281"/>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Friedman, M.D.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Director</w:t>
            </w:r>
          </w:p>
        </w:tc>
      </w:tr>
      <w:tr>
        <w:trPr>
          <w:trHeight w:val="66"/>
        </w:trPr>
        <w:tc>
          <w:tcPr>
            <w:tcW w:w="3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320" w:type="dxa"/>
            <w:vAlign w:val="bottom"/>
          </w:tcPr>
          <w:p>
            <w:pPr>
              <w:spacing w:after="0"/>
              <w:rPr>
                <w:sz w:val="5"/>
                <w:szCs w:val="5"/>
                <w:color w:val="auto"/>
              </w:rPr>
            </w:pPr>
          </w:p>
        </w:tc>
      </w:tr>
      <w:tr>
        <w:trPr>
          <w:trHeight w:val="214"/>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Bonita, M.D.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1"/>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Mardi C. Dier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6"/>
        </w:trPr>
        <w:tc>
          <w:tcPr>
            <w:tcW w:w="3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320" w:type="dxa"/>
            <w:vAlign w:val="bottom"/>
          </w:tcPr>
          <w:p>
            <w:pPr>
              <w:spacing w:after="0"/>
              <w:rPr>
                <w:sz w:val="5"/>
                <w:szCs w:val="5"/>
                <w:color w:val="auto"/>
              </w:rPr>
            </w:pPr>
          </w:p>
        </w:tc>
      </w:tr>
      <w:tr>
        <w:trPr>
          <w:trHeight w:val="214"/>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Kelvin Neu, M.D.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1"/>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 Sandor, M.D.C.M.</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4" w:lineRule="exact"/>
        <w:rPr>
          <w:sz w:val="20"/>
          <w:szCs w:val="20"/>
          <w:color w:val="auto"/>
        </w:rPr>
      </w:pPr>
    </w:p>
    <w:p>
      <w:pPr>
        <w:jc w:val="both"/>
        <w:ind w:right="80" w:firstLine="4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Krishna (“Kris”) Vaddi, Ph.D. </w:t>
      </w:r>
      <w:r>
        <w:rPr>
          <w:rFonts w:ascii="Times New Roman" w:cs="Times New Roman" w:eastAsia="Times New Roman" w:hAnsi="Times New Roman"/>
          <w:sz w:val="18"/>
          <w:szCs w:val="18"/>
          <w:color w:val="auto"/>
        </w:rPr>
        <w:t>has served as our Chief Executive Officer and a member of our board of directors since February 2016. From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2014 to June 2016, Dr. Vaddi also served as Chief Executive Officer of Orsenix, LLC, a clinical stage biotechnology company. Dr. Vaddi previously held several roles at Incyte Corporation, most recently as Senior Advisor from June 2015 to June 2016 and Group Vice President from March 2010 to June 2015. Dr. Vaddi received a BVSc in Veterinary Medicine from Acharya N.G. Ranga Agricultural University in India and a Ph.D. in Pharmacology and Toxicology from the University of Florida. We believe that Dr. Vaddi’s experience as our founder and Chief Executive Officer and history in the biopharmaceutical field qualifies him to serve on our board of directors.</w:t>
      </w:r>
    </w:p>
    <w:p>
      <w:pPr>
        <w:spacing w:after="0" w:line="17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Brian Piper, M.B.A. </w:t>
      </w:r>
      <w:r>
        <w:rPr>
          <w:rFonts w:ascii="Times New Roman" w:cs="Times New Roman" w:eastAsia="Times New Roman" w:hAnsi="Times New Roman"/>
          <w:sz w:val="18"/>
          <w:szCs w:val="18"/>
          <w:color w:val="auto"/>
        </w:rPr>
        <w:t>has served as our Chief Financial Officer since July 2019. Mr. Piper previously served as Chief Financial Officer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at Aevi Genomic Medicine, Inc., a biopharmaceutical company (later acquired by Cerecor, Inc.), from February 2016 until May 2019. Prior to his time at Aevi, Mr. Piper served as Vice President Finance &amp; Investor Relations at Medgenics, Inc., a biotechnology company from April 2014 until January 2016. Prior to that, Mr. Piper served in several roles at Shire Pharmaceuticals plc (later acquired by Takeda Pharmaceutical Company Limited), most recently in Business Development from January 2010 until March 2014. Mr. Piper received a B.B.A. in Finance from the University of Notre Dame and an M.B.A. from the Robert H. Smith School of Business at the University of Maryland.</w:t>
      </w:r>
    </w:p>
    <w:p>
      <w:pPr>
        <w:spacing w:after="0" w:line="178"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b w:val="1"/>
          <w:bCs w:val="1"/>
          <w:color w:val="auto"/>
        </w:rPr>
        <w:t>David Mauro, M.D.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Ph.D. </w:t>
      </w:r>
      <w:r>
        <w:rPr>
          <w:rFonts w:ascii="Times New Roman" w:cs="Times New Roman" w:eastAsia="Times New Roman" w:hAnsi="Times New Roman"/>
          <w:sz w:val="18"/>
          <w:szCs w:val="18"/>
          <w:color w:val="auto"/>
        </w:rPr>
        <w:t>has served as our Chief Medical Officer since May 2019. Dr. Mauro previously served as Chief Medical Officer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Checkmate Pharmaceuticals Inc., a biopharmaceutical company, from February 2016 until April 2019. Prior to that, Dr. Mauro served as Chief Medical Officer at Advaxis, Inc. from October 2014 until February 2016. Dr. Mauro served as Executive Director at Merck from 2007-2014 and prior to that he was Director at Bristol Myers Squibb. Dr. Mauro received a B.S. in Biochemistry from Cornell University and an M.D. and Ph.D. from Temple University School of Medicine.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454"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Peggy A. Scherle, Ph.D. </w:t>
      </w:r>
      <w:r>
        <w:rPr>
          <w:rFonts w:ascii="Times New Roman" w:cs="Times New Roman" w:eastAsia="Times New Roman" w:hAnsi="Times New Roman"/>
          <w:sz w:val="18"/>
          <w:szCs w:val="18"/>
          <w:color w:val="auto"/>
        </w:rPr>
        <w:t>has served as our Chief Scientific Officer since April 2018. Dr. Scherle previously held several roles at Incyte Corporation,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company, most recently as Group Vice President, Discovery Biology and Preclinical Pharmacology from March 2017 until March 2018. Her prior roles at Incyte included Vice President, Preclinical Pharmacology from 2014 until 2017 and as Executive Director, In Vitro Biology from 2011 until 2014. Earlier in her career, Dr. Scherle held scientific research positions with DuPont Pharmaceuticals and Bristol-Myers Squibb. Dr. Scherle received a B.S. degree in Biochemistry from Michigan State University and a Ph.D. in Immunology from the University of Pennsylvania. She completed her postdoctoral training at the National Institutes of Health.</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Andrew P. Combs, Ph.D. </w:t>
      </w:r>
      <w:r>
        <w:rPr>
          <w:rFonts w:ascii="Times New Roman" w:cs="Times New Roman" w:eastAsia="Times New Roman" w:hAnsi="Times New Roman"/>
          <w:sz w:val="18"/>
          <w:szCs w:val="18"/>
          <w:color w:val="auto"/>
        </w:rPr>
        <w:t>has served as our Executive Vice President and Head of Chemistry since April 2019. Dr. Combs previously held several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roles at Incyte Corporation, a pharmaceutical company, most recently as Vice President of Discovery Chemistry where he led teams in medicinal chemistry,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analytical chemistry, enabling technologies, computational design and informatics from January 2003 until February 2019. His prior roles at Incyte included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Senior Director from 2003 until 2006 and as Executive Director from 2006 until 2015 and Vice President from 2015 until 2019. Earlier in his career,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Combs held positions of increasing responsibility, starting as a Senior Research Scientist and advancing to a Director of medicinal chemistry at DuPont-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Merck, DuPont Pharmaceuticals and Bristol-Myers Squibb. Dr. Combs received B.S. degrees in Chemistry and Molecular Biology from the University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Wisconsin-Madison, a Ph.D. in Organic Chemistry from the University of California, Los Angeles, and completed his training as a Howard Hughes Medical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Institute post-doctoral fellow at Harvard University.</w:t>
      </w:r>
    </w:p>
    <w:p>
      <w:pPr>
        <w:spacing w:after="0" w:line="198"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Deborah Morosini, M.D. </w:t>
      </w:r>
      <w:r>
        <w:rPr>
          <w:rFonts w:ascii="Times New Roman" w:cs="Times New Roman" w:eastAsia="Times New Roman" w:hAnsi="Times New Roman"/>
          <w:sz w:val="18"/>
          <w:szCs w:val="18"/>
          <w:color w:val="auto"/>
        </w:rPr>
        <w:t>has served as our Executive Vice President and Chief of Clinical Affairs since July 2020 and was an independent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us and various other oncology companies from July 2019 to July 2020. Dr. Morosini previously served as Vice President of Clinical Affairs and Patient Engagement at Loxo Oncology, Inc., a biopharmaceutical company, from April 2016 to April 2019. Dr. Morosini served as Vice President of Clinical Affairs and Patient Engagement from August 2013 to April 2016 at Foundation Medicine, Inc., a molecular information company. Dr. Morosini received a B.A. degree in English from Mount Holyoke College, an M.S.W. degree from New York University’s Graduate School of Social Work and an M.D. from Boston University School of Medicine.</w:t>
      </w:r>
    </w:p>
    <w:p>
      <w:pPr>
        <w:spacing w:after="0" w:line="17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b w:val="1"/>
          <w:bCs w:val="1"/>
          <w:color w:val="auto"/>
        </w:rPr>
        <w:t>Christopher Pierce, M.B.A</w:t>
      </w:r>
      <w:r>
        <w:rPr>
          <w:rFonts w:ascii="Times New Roman" w:cs="Times New Roman" w:eastAsia="Times New Roman" w:hAnsi="Times New Roman"/>
          <w:sz w:val="18"/>
          <w:szCs w:val="18"/>
          <w:color w:val="auto"/>
        </w:rPr>
        <w:t>. has served as our Executive Vice President and Chief of Business Operations since July 2020. Mr. Pierce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Principal and Founder of Scout Advisers, LLC, a life sciences consultancy, from August 2019 to July 2020. Prior to that, Mr. Pierce served as Vice President, Head of Commercial from January 2018 to May 2019, and as Executive Director, Commercial from April 2017 to December 2017, at Loxo Oncology, Inc., a biopharmaceutical company. Mr. Pierce held several roles at Pfizer Inc., a biopharmaceutical company, including as Senior Director/Global Commercial Lead, Hematologic Malignancies Portfolio from July 2016 to March 2017, and as Portfolio Lead, US Marketing from March 2015 to July 2016. Mr. Pierce received an A.B. degree in Biochemical Sciences from Harvard College, and an M.B.A. from the Harvard Business School.</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4"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Paul A. Friedman, M.D. </w:t>
      </w:r>
      <w:r>
        <w:rPr>
          <w:rFonts w:ascii="Times New Roman" w:cs="Times New Roman" w:eastAsia="Times New Roman" w:hAnsi="Times New Roman"/>
          <w:sz w:val="18"/>
          <w:szCs w:val="18"/>
          <w:color w:val="auto"/>
        </w:rPr>
        <w:t>has served as a member of our board of directors since July 2016. Dr. Friedman has served as Chief Executive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the board of directors of Madrigal Pharmaceuticals, Inc., a biopharmaceutical company, since July 2016. Dr. Friedman previously served as the Chief Executive Officer of Incyte Corporation from November 2001 to January 2014. Dr. Friedman currently serves on the boards of directors of Incyte Corporation, Alexion Pharmaceuticals, Inc. and Madrigal Pharmaceuticals, Inc. He has previously served on the boards of directors of Cerulean Pharma Inc. and Verastem, Inc. Dr. Friedman received an A.B. in Biology from Princeton University and an M.D. from Harvard Medical School. We believe that Dr. Friedman’s extensive experience in our business and on public company boards qualifies him to serve on our board of directors.</w:t>
      </w:r>
    </w:p>
    <w:p>
      <w:pPr>
        <w:spacing w:after="0" w:line="1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20"/>
          </w:cols>
          <w:pgMar w:left="320" w:top="454" w:right="3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David Bonita, M.D. </w:t>
      </w:r>
      <w:r>
        <w:rPr>
          <w:rFonts w:ascii="Times New Roman" w:cs="Times New Roman" w:eastAsia="Times New Roman" w:hAnsi="Times New Roman"/>
          <w:sz w:val="18"/>
          <w:szCs w:val="18"/>
          <w:color w:val="auto"/>
        </w:rPr>
        <w:t>has served as a member of our board of directors since July 2016. Dr. Bonita is a member of OrbiMed Advisors LLC,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firm. Dr. Bonita currently serves on the boards of directors of Tricida, Inc., IMARA Inc., Repare Therapeutics Inc., as well as several private companies. Dr. Bonita also previously served on the boards of directors of Ambit Biosciences Corporation, Clementia Pharmaceuticals Inc., Loxo Oncology, Inc., SI-BONE, Inc., and ViewRay Inc. Prior to OrbiMed, Dr. Bonita worked as a corporate finance analyst in the healthcare investment banking groups of Morgan Stanley and UBS. He has published scientific articles in peer-reviewed journals based on signal transduction research performed at Harvard Medical School. He received a B.A. in biology from Harvard University and a joint M.D./M.B.A. from Columbia University. We believe that Dr. Bonita is qualified to serve on our board of directors based on his roles on several public and private boards of directors as well as his extensive experience in investing in healthcare companies.</w:t>
      </w:r>
    </w:p>
    <w:p>
      <w:pPr>
        <w:spacing w:after="0" w:line="180"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Mardi C. Dier </w:t>
      </w:r>
      <w:r>
        <w:rPr>
          <w:rFonts w:ascii="Times New Roman" w:cs="Times New Roman" w:eastAsia="Times New Roman" w:hAnsi="Times New Roman"/>
          <w:sz w:val="18"/>
          <w:szCs w:val="18"/>
          <w:color w:val="auto"/>
        </w:rPr>
        <w:t>has served as a member of our board of directors since August 2020. Ms. Dier most recently served as Executive Vice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and also as Chief Business Officer, of Portola Pharmaceuticals, Inc., a biopharmaceutical company, from November 2013 and October 2018, respectively, until its acquisition by Alexion Pharmaceuticals in July 2020, and as a Senior Vice President and Chief Financial Officer from August 2006 to November 2013. From 2003 to 2006, Ms. Dier served as Vice President of Investor Relations at Chiron Corporation, a biopharmaceutical company. From 1994 to 2001, Ms. Dier served as a Director, Investment Banking at Prudential Securities, Inc., a securities firm. Ms. Dier previously served as a supervising senior accountant at the audit department of KPMG Peat Marwick, an accounting firm, from 1986 to 1990. Ms. Dier currently serves as a director, and member of the audit committee, of Adamas Pharmaceuticals, Inc., a biopharmaceutical company, and as a director of ORIC Pharmaceuticals, Inc. Ms. Dier received a B.S. in Biology from Stanford University and an M.B.A. from the Anderson Graduate School of Management at the University of California, Los Angeles. We believe Ms. Dier is qualified to serve on our board of directors because of her experience in the biotechnology industry and her extensive experience in finance and accounting.</w:t>
      </w:r>
    </w:p>
    <w:p>
      <w:pPr>
        <w:spacing w:after="0" w:line="18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Kelvin Neu, M.D. </w:t>
      </w:r>
      <w:r>
        <w:rPr>
          <w:rFonts w:ascii="Times New Roman" w:cs="Times New Roman" w:eastAsia="Times New Roman" w:hAnsi="Times New Roman"/>
          <w:sz w:val="18"/>
          <w:szCs w:val="18"/>
          <w:color w:val="auto"/>
        </w:rPr>
        <w:t>is a Partner at Baker Bros. Advisors LP, a registered investment adviser. Dr. Neu has served on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Zymeworks Inc., a biotechnology company, since March 2020, and IGM Biosciences, Inc., a biopharmaceutical company, since July 2019, and is also on IGM’s research and clinical development committee. Dr. Neu previously served on the board of directors of Idera Pharmaceuticals, Aquinox Pharmaceuticals and XOMA Corporation. Dr. Neu received an A.B. (summa cum laude) from Princeton University, where he was awarded the Khoury Prize for graduating first in his department of Molecular Biology. Prior to attending Princeton, Dr. Neu served for two and a half years in the military of his native Singapore. Dr. Neu received an M.D. from the Harvard Medical School-MIT Health Sciences and Technology program and spent three years in the Immunology Ph.D. program at Stanford University as a Howard Hughes Medical Institute Fellow. We believe Dr. Neu is qualified to serve on our board of directors because of his extensive investment and leadership experience, knowledge of our industry, and educational background in biology and biotechnology.</w:t>
      </w:r>
    </w:p>
    <w:p>
      <w:pPr>
        <w:spacing w:after="0" w:line="184"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Victor Sandor, M.D.C.M. </w:t>
      </w:r>
      <w:r>
        <w:rPr>
          <w:rFonts w:ascii="Times New Roman" w:cs="Times New Roman" w:eastAsia="Times New Roman" w:hAnsi="Times New Roman"/>
          <w:sz w:val="18"/>
          <w:szCs w:val="18"/>
          <w:color w:val="auto"/>
        </w:rPr>
        <w:t>has served as a member of our board of directors since May 2020. From September 2014 to December 2019, Dr. Sandor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Chief Medical Officer at Array BioPharma Inc., a pharmaceutical company. From September 2014 to June 2019, he served as the Senior Vice President for Global Clinical Development at Incyte Corporation, a pharmaceutical company. From February 2010 to September 2014, Dr. Sandor served as the Vice President and Chief Medical Officer for oncology at Biogen Idec and, from October 2009 to February 2010, held positions of increasing responsibility in oncology product development at AstraZeneca. Dr. Sandor has served on the board of directors of ADC Therapeutics SA since April 2020 and Merus N.V. since June 2019. Dr. Sandor received a M.D.C.M. from McGill University in Montreal, Canada, and completed his Fellowship in Medical Oncology at the National Institutes of Health in Bethesda, Maryland. We believe that Dr. Sandor is qualified to serve on our board of directors due to his experience in the field of medicine, clinical drug development and scientific experience.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18" w:lineRule="exact"/>
        <w:rPr>
          <w:sz w:val="20"/>
          <w:szCs w:val="20"/>
          <w:color w:val="auto"/>
        </w:rPr>
      </w:pPr>
    </w:p>
    <w:p>
      <w:pPr>
        <w:ind w:right="380" w:firstLine="449"/>
        <w:spacing w:after="0" w:line="278"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 There are no family relationships among any of our directors or executive officers.</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00"/>
          </w:cols>
          <w:pgMar w:left="320" w:top="454" w:right="37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18"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Our board of directors currently consists of six members. Five of our directors are independent within the meaning of the independent director guidelines of the Nasdaq Global Market, or Nasdaq. Pursuant to our current voting agreement and certificate of incorporation, Kris Vaddi, Kelvin Neu, David Bonita, Mardi Dier, Victor Sandor and Paul A. Friedman have been designated to serve as members of our board. The voting agreement and the provisions of our current certificate of incorporation that govern the election and designation of our directors will terminate in connection with this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18"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In accordance with the terms of our restated certificate of incorporation and restated bylaws that will become effective upon the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86" w:lineRule="exact"/>
        <w:rPr>
          <w:sz w:val="20"/>
          <w:szCs w:val="20"/>
          <w:color w:val="auto"/>
        </w:rPr>
      </w:pPr>
    </w:p>
    <w:p>
      <w:pPr>
        <w:ind w:left="1000" w:right="320" w:hanging="552"/>
        <w:spacing w:after="0" w:line="278"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Paul A. Friedman and David Bonita and their terms will expire at the first annual meeting of stockholders held following the completion of the offering;</w:t>
      </w:r>
    </w:p>
    <w:p>
      <w:pPr>
        <w:spacing w:after="0" w:line="68" w:lineRule="exact"/>
        <w:rPr>
          <w:rFonts w:ascii="Times New Roman" w:cs="Times New Roman" w:eastAsia="Times New Roman" w:hAnsi="Times New Roman"/>
          <w:sz w:val="18"/>
          <w:szCs w:val="18"/>
          <w:color w:val="auto"/>
        </w:rPr>
      </w:pPr>
    </w:p>
    <w:p>
      <w:pPr>
        <w:ind w:left="1000" w:right="440" w:hanging="552"/>
        <w:spacing w:after="0" w:line="278"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Kelvin Neu and Victor Sandor and their terms will expire at the second annual meeting of stockholders held following the completion of the offering; and</w:t>
      </w:r>
    </w:p>
    <w:p>
      <w:pPr>
        <w:spacing w:after="0" w:line="68" w:lineRule="exact"/>
        <w:rPr>
          <w:rFonts w:ascii="Times New Roman" w:cs="Times New Roman" w:eastAsia="Times New Roman" w:hAnsi="Times New Roman"/>
          <w:sz w:val="18"/>
          <w:szCs w:val="18"/>
          <w:color w:val="auto"/>
        </w:rPr>
      </w:pPr>
    </w:p>
    <w:p>
      <w:pPr>
        <w:ind w:left="1000" w:right="600" w:hanging="552"/>
        <w:spacing w:after="0" w:line="278"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Kris Vaddi and Mardi C. Dier and their terms will expire at the third annual meeting of stockholders held following the completion of the offering.</w:t>
      </w:r>
    </w:p>
    <w:p>
      <w:pPr>
        <w:spacing w:after="0" w:line="162"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completion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entitled “Description of Capital Stock — Anti-Takeover Provisions — Restated Certificate of Incorporation and Restated Bylaw Provisions.”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8"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have applied to list our common stock on Nasdaq. Under the rules of Nasdaq, independent directors must comprise a majority of a listed company’s board of directors within a specified period following the completion of this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4"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00"/>
          </w:cols>
          <w:pgMar w:left="320" w:top="454" w:right="3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8"/>
          <w:szCs w:val="18"/>
          <w:color w:val="auto"/>
        </w:rPr>
        <w:t>the audit committee independence requirements of Rule 10A-3 as of the completion of this offering. Additionally, compensation committee members must not have a relationship with us that is material to the director’s ability to be independent from management in connection with the duties of a compensation committee member.</w:t>
      </w:r>
    </w:p>
    <w:p>
      <w:pPr>
        <w:spacing w:after="0" w:line="175"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Kris Vaddi,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“Certain Relationships and Related Party Transactions.”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18"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Our board of directors will establish prior to the completion of this offering an audit committee, a compensation committee and a nominating and governance committee, each of which will have the composition and responsibilities described below as of the completion of this offering. Each of the below committees will have a written charter approved by our board of directors. Upon completion of this offering, copies of each charter will be posted on the investor relations section of our website. Members serve on these committees will serve until their resignation or until otherwise determined by our board of directors.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Effective upon the effectiveness of the registration of which this prospectus is a part, our audit committee will comprise Mardi C. Dier, Paul A. Friedman and David Bonita, with Mardi C. Dier as the chairperson of our audit committee. Our board of directors has determined that the composition of our audit committee meets the requirements for independence under the current Nasdaq and SEC rules and regulations, and that each member of our audit committee is financially literate. In addition, our board of directors has determined that Mardi C. Dier is an “audit committee financial expert” as defined in Item 407(d)(5)(ii) of Regulation S-K promulgated under the Securities Act. This designation does not impose on her any duties, obligations or liabilities that are greater than are generally imposed on members of our audit committee and our board of directors. Our audit committee is directly responsible for, among other things:</w:t>
      </w:r>
    </w:p>
    <w:p>
      <w:pPr>
        <w:spacing w:after="0" w:line="91" w:lineRule="exact"/>
        <w:rPr>
          <w:sz w:val="20"/>
          <w:szCs w:val="20"/>
          <w:color w:val="auto"/>
        </w:rPr>
      </w:pPr>
    </w:p>
    <w:p>
      <w:pPr>
        <w:ind w:left="1000" w:hanging="552"/>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independent registered public accounting firm;</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our independent auditors;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audit committee report to be included in our annual proxy statement;</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including our financial statement audits and the integrity of our financial statements;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related-person transactions.</w:t>
      </w:r>
    </w:p>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8" w:lineRule="exact"/>
        <w:rPr>
          <w:sz w:val="20"/>
          <w:szCs w:val="20"/>
          <w:color w:val="auto"/>
        </w:rPr>
      </w:pPr>
    </w:p>
    <w:p>
      <w:pPr>
        <w:jc w:val="both"/>
        <w:ind w:right="40" w:firstLine="449"/>
        <w:spacing w:after="0" w:line="263" w:lineRule="auto"/>
        <w:rPr>
          <w:sz w:val="20"/>
          <w:szCs w:val="20"/>
          <w:color w:val="auto"/>
        </w:rPr>
      </w:pPr>
      <w:r>
        <w:rPr>
          <w:rFonts w:ascii="Times New Roman" w:cs="Times New Roman" w:eastAsia="Times New Roman" w:hAnsi="Times New Roman"/>
          <w:sz w:val="18"/>
          <w:szCs w:val="18"/>
          <w:color w:val="auto"/>
        </w:rPr>
        <w:t>Effective upon the effectiveness of the registration of which this prospectus is a part, our compensation committee will comprise David Bonita, Kelvin Neu and Mardi C. Dier, with David Bonita as the chairman of our compensation committee. Our board of directors has determined that each member of our compensation committee is a non-employee director, as defined by Rule 16b-3 promulgated under the Exchange Act, and meets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454" w:right="3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requirements for independence under the current Nasdaq listing standards and SEC rules and regulations. Our compensation committee is responsible for, among other things:</w:t>
      </w:r>
    </w:p>
    <w:p>
      <w:pPr>
        <w:spacing w:after="0" w:line="69" w:lineRule="exact"/>
        <w:rPr>
          <w:sz w:val="20"/>
          <w:szCs w:val="20"/>
          <w:color w:val="auto"/>
        </w:rPr>
      </w:pPr>
    </w:p>
    <w:p>
      <w:pPr>
        <w:ind w:left="1000" w:hanging="552"/>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approving and reviewing executive officer compensation arrangements, plans, policies and programs;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recommending non-employee director compensation arrangements for determination by our board of directors;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cash-based and equity-based compensation plans;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regulatory requirements associated with the compensation of directors, officers and employees.</w:t>
      </w:r>
    </w:p>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18"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Effective upon the effectiveness of the registration of which this prospectus is a part, our nominating and governance committee will comprise Kelvin Neu, Victor Sandor and Paul Friedman, with Kelvin Neu as the chairman of our nominating and governance committee. Our board of directors has determined that each member of our nominating and governance committee meets the requirements for independence under the current Nasdaq listing standards. Our nominating and governance committee is responsible for, among other things:</w:t>
      </w:r>
    </w:p>
    <w:p>
      <w:pPr>
        <w:spacing w:after="0" w:line="86" w:lineRule="exact"/>
        <w:rPr>
          <w:sz w:val="20"/>
          <w:szCs w:val="20"/>
          <w:color w:val="auto"/>
        </w:rPr>
      </w:pPr>
    </w:p>
    <w:p>
      <w:pPr>
        <w:ind w:left="1000" w:hanging="552"/>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and recommending candidates for membership on our board of directors;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of directors;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of directors on other corporate governance matters.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8"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None of the current members of our compensation committee has at any time been one of our officers or employees. None of our executive officers has served as a member of the board of directors, or as a member of the compensation or similar committee, of any entity that has one or more executive officers who served on our board of directors or compensation committee during the year ended December 31, 2019. Prior to establishing the compensation committee, our full board of directors made decisions relating to the compensation of our officers.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18"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will adopt a code of business conduct and ethics that applies to all of our employees, officers and directors, including our President and Chief Executive Officer and other executive and senior officers. The full text of our code of business conduct and ethics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business conduct and ethics, or waivers of these provisions, on our website or in public filings to the extent required by the applicable rules.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8" w:lineRule="exact"/>
        <w:rPr>
          <w:sz w:val="20"/>
          <w:szCs w:val="20"/>
          <w:color w:val="auto"/>
        </w:rPr>
      </w:pPr>
    </w:p>
    <w:p>
      <w:pPr>
        <w:ind w:right="320" w:firstLine="44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2019, none of our non-employee directors received any fees or reimbursement of any expenses (other than customary expenses in connection with the attendance of meetings of our board of directors) or any equity or non-equity awards. Our Chief Executive Officer, Dr. Vaddi, received no compensation for his service as a director. Dr. Vaddi’s compensation as a named executive officer is set forth below under “Executive Compensation—Summary Compensation Table.”</w:t>
      </w:r>
    </w:p>
    <w:p>
      <w:pPr>
        <w:spacing w:after="0" w:line="180" w:lineRule="exact"/>
        <w:rPr>
          <w:sz w:val="20"/>
          <w:szCs w:val="20"/>
          <w:color w:val="auto"/>
        </w:rPr>
      </w:pPr>
    </w:p>
    <w:p>
      <w:pPr>
        <w:ind w:right="220" w:firstLine="449"/>
        <w:spacing w:after="0" w:line="278" w:lineRule="auto"/>
        <w:rPr>
          <w:sz w:val="20"/>
          <w:szCs w:val="20"/>
          <w:color w:val="auto"/>
        </w:rPr>
      </w:pPr>
      <w:r>
        <w:rPr>
          <w:rFonts w:ascii="Times New Roman" w:cs="Times New Roman" w:eastAsia="Times New Roman" w:hAnsi="Times New Roman"/>
          <w:sz w:val="18"/>
          <w:szCs w:val="18"/>
          <w:color w:val="auto"/>
        </w:rPr>
        <w:t>Prior to this offering, we did not have a formal policy to provide any cash or equity compensation to our non-employee directors for their service on our board of directors or committees of our board of directors.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454" w:right="3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Cash Compensation</w:t>
      </w:r>
    </w:p>
    <w:p>
      <w:pPr>
        <w:spacing w:after="0" w:line="225" w:lineRule="exact"/>
        <w:rPr>
          <w:sz w:val="20"/>
          <w:szCs w:val="20"/>
          <w:color w:val="auto"/>
        </w:rPr>
      </w:pPr>
    </w:p>
    <w:p>
      <w:pPr>
        <w:ind w:right="160" w:firstLine="1011"/>
        <w:spacing w:after="0" w:line="263" w:lineRule="auto"/>
        <w:rPr>
          <w:sz w:val="20"/>
          <w:szCs w:val="20"/>
          <w:color w:val="auto"/>
        </w:rPr>
      </w:pPr>
      <w:r>
        <w:rPr>
          <w:rFonts w:ascii="Times New Roman" w:cs="Times New Roman" w:eastAsia="Times New Roman" w:hAnsi="Times New Roman"/>
          <w:sz w:val="18"/>
          <w:szCs w:val="18"/>
          <w:color w:val="auto"/>
        </w:rPr>
        <w:t>Beginning after this offering, our non-employee directors will receive annual cash compensation of $35,000 for service on the board, and additional cash compensation for the chairperson and committee members as set forth below. All cash payments will be made quarterly in arrears, and pro-rated for any partial quarters of service.</w:t>
      </w:r>
    </w:p>
    <w:p>
      <w:pPr>
        <w:spacing w:after="0" w:line="82" w:lineRule="exact"/>
        <w:rPr>
          <w:sz w:val="20"/>
          <w:szCs w:val="20"/>
          <w:color w:val="auto"/>
        </w:rPr>
      </w:pPr>
    </w:p>
    <w:p>
      <w:pPr>
        <w:ind w:left="1000" w:hanging="55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Board: $30,000</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 (in lieu of membership fee): $15,000</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(Non-Chair): $7,500</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 (in lieu of membership fee): $10,000</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(Non-Chair): $5,000</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Chair (in lieu of membership fee): $8,000</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(Non-Chair): $4,000</w:t>
      </w:r>
    </w:p>
    <w:p>
      <w:pPr>
        <w:spacing w:after="0" w:line="2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Beginning after this offering, each non-employee director who is elected or appointed to our board of directors will be granted an option to purchase 54,000 shares of our common stock upon the director’s initial appointment to our board of directors, referred to as an Initial Grant. The Initial Grant will vest in 36 annual installments on each monthly anniversary of the date of grant, such that the Initial Grant will become fully vested and exercisable on the third anniversary of the date of grant, subject to the directors continued service on each applicable vesting date or an earlier change of control of Prelude. If the non-employee director’s service ends on the date of vesting, then the vesting will be deemed to have occurred.</w:t>
      </w:r>
    </w:p>
    <w:p>
      <w:pPr>
        <w:spacing w:after="0" w:line="184"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addition, each non-employee director who is serving on our board of directors immediately prior to and will continue to serve on our board of directors following our annual meeting of stockholders will be granted an option to purchase 27,000 shares of our common stock on the date of such annual meeting of stockholders, referred to as an Annual Grant. Each Annual Grant will vest on the earlier of (a) the next annual meeting of the Company’s stockholders and (b) the one-year anniversary of the grant date of the Annual Grant, subject to the director’s continued service on the applicable vesting date or an earlier change in control of Prelude. If the non-employee director’s service ends on the date of vesting, then the vesting will be deemed to have occurred.</w:t>
      </w:r>
    </w:p>
    <w:p>
      <w:pPr>
        <w:spacing w:after="0" w:line="184" w:lineRule="exact"/>
        <w:rPr>
          <w:sz w:val="20"/>
          <w:szCs w:val="20"/>
          <w:color w:val="auto"/>
        </w:rPr>
      </w:pPr>
    </w:p>
    <w:p>
      <w:pPr>
        <w:ind w:right="260" w:firstLine="449"/>
        <w:spacing w:after="0" w:line="263" w:lineRule="auto"/>
        <w:rPr>
          <w:sz w:val="20"/>
          <w:szCs w:val="20"/>
          <w:color w:val="auto"/>
        </w:rPr>
      </w:pPr>
      <w:r>
        <w:rPr>
          <w:rFonts w:ascii="Times New Roman" w:cs="Times New Roman" w:eastAsia="Times New Roman" w:hAnsi="Times New Roman"/>
          <w:sz w:val="18"/>
          <w:szCs w:val="18"/>
          <w:color w:val="auto"/>
        </w:rPr>
        <w:t>In September 2020, our board of directors approved an option to purchase 54,000 shares of our common stock to each of Messrs. Friedman, Bonita and Neu and an option to purchase 50,000 shares of our common stock to Ms. Dier, in each case pursuant to the 2016 Plan and subject to the terms and conditions set forth in the applicable stock option agreements under such plan.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20"/>
          </w:cols>
          <w:pgMar w:left="320" w:top="454" w:right="3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both"/>
        <w:ind w:right="360" w:firstLine="449"/>
        <w:spacing w:after="0" w:line="263" w:lineRule="auto"/>
        <w:rPr>
          <w:sz w:val="20"/>
          <w:szCs w:val="20"/>
          <w:color w:val="auto"/>
        </w:rPr>
      </w:pPr>
      <w:r>
        <w:rPr>
          <w:rFonts w:ascii="Times New Roman" w:cs="Times New Roman" w:eastAsia="Times New Roman" w:hAnsi="Times New Roman"/>
          <w:sz w:val="18"/>
          <w:szCs w:val="18"/>
          <w:color w:val="auto"/>
        </w:rPr>
        <w:t>The following tables and accompanying narrative disclosure set forth information about the compensation earned by our named executive officers during the year ended December 31, 2019. Our named executive officers, who are our principal executive officer and the two most highly compensated executive officers (other than our principal executive officer) serving as executive officers as of December 31, 2019, were:</w:t>
      </w:r>
    </w:p>
    <w:p>
      <w:pPr>
        <w:spacing w:after="0" w:line="82" w:lineRule="exact"/>
        <w:rPr>
          <w:sz w:val="20"/>
          <w:szCs w:val="20"/>
          <w:color w:val="auto"/>
        </w:rPr>
      </w:pPr>
    </w:p>
    <w:p>
      <w:pPr>
        <w:ind w:left="1000" w:hanging="552"/>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 Vaddi, Ph.D., Chief Executive Officer;</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Mauro, M.D., Ph.D., Chief Medical Officer; and</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P. Combs, Ph.D., Executive Vice President and Head of Chemistry.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8" w:lineRule="exact"/>
        <w:rPr>
          <w:sz w:val="20"/>
          <w:szCs w:val="20"/>
          <w:color w:val="auto"/>
        </w:rPr>
      </w:pPr>
    </w:p>
    <w:p>
      <w:pPr>
        <w:ind w:right="320" w:firstLine="449"/>
        <w:spacing w:after="0" w:line="278"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services rendered in all capacities that was awarded to and earned by our named executive officers during the year ended December 31,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7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2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5"/>
                <w:szCs w:val="15"/>
                <w:color w:val="auto"/>
              </w:rPr>
            </w:pPr>
          </w:p>
        </w:tc>
        <w:tc>
          <w:tcPr>
            <w:tcW w:w="7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260" w:type="dxa"/>
            <w:vAlign w:val="bottom"/>
          </w:tcPr>
          <w:p>
            <w:pPr>
              <w:spacing w:after="0"/>
              <w:rPr>
                <w:sz w:val="15"/>
                <w:szCs w:val="15"/>
                <w:color w:val="auto"/>
              </w:rPr>
            </w:pPr>
          </w:p>
        </w:tc>
        <w:tc>
          <w:tcPr>
            <w:tcW w:w="9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(2)</w:t>
            </w:r>
          </w:p>
        </w:tc>
        <w:tc>
          <w:tcPr>
            <w:tcW w:w="2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96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Kris Vaddi, Ph.D.</w:t>
            </w:r>
            <w:r>
              <w:rPr>
                <w:rFonts w:ascii="Times New Roman" w:cs="Times New Roman" w:eastAsia="Times New Roman" w:hAnsi="Times New Roman"/>
                <w:sz w:val="15"/>
                <w:szCs w:val="15"/>
                <w:color w:val="auto"/>
              </w:rPr>
              <w:t>(3)</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w w:val="95"/>
              </w:rPr>
              <w:t>315,000</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815,000</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828,125</w:t>
            </w: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121,275</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2,079,400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David Mauro, M.D., Ph.D.</w:t>
            </w:r>
          </w:p>
        </w:tc>
        <w:tc>
          <w:tcPr>
            <w:tcW w:w="1180" w:type="dxa"/>
            <w:vAlign w:val="bottom"/>
            <w:gridSpan w:val="3"/>
          </w:tcPr>
          <w:p>
            <w:pPr>
              <w:ind w:left="320"/>
              <w:spacing w:after="0" w:line="194" w:lineRule="exact"/>
              <w:rPr>
                <w:sz w:val="20"/>
                <w:szCs w:val="20"/>
                <w:color w:val="auto"/>
              </w:rPr>
            </w:pPr>
            <w:r>
              <w:rPr>
                <w:rFonts w:ascii="Times New Roman" w:cs="Times New Roman" w:eastAsia="Times New Roman" w:hAnsi="Times New Roman"/>
                <w:sz w:val="18"/>
                <w:szCs w:val="18"/>
                <w:color w:val="auto"/>
              </w:rPr>
              <w:t>250,000</w:t>
            </w:r>
          </w:p>
        </w:tc>
        <w:tc>
          <w:tcPr>
            <w:tcW w:w="96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color w:val="auto"/>
              </w:rPr>
              <w:t>437,500</w:t>
            </w:r>
          </w:p>
        </w:tc>
        <w:tc>
          <w:tcPr>
            <w:tcW w:w="124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color w:val="auto"/>
              </w:rPr>
              <w:t>96,731</w:t>
            </w:r>
          </w:p>
        </w:tc>
        <w:tc>
          <w:tcPr>
            <w:tcW w:w="94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784,231</w:t>
            </w:r>
          </w:p>
        </w:tc>
        <w:tc>
          <w:tcPr>
            <w:tcW w:w="0" w:type="dxa"/>
            <w:vAlign w:val="bottom"/>
          </w:tcPr>
          <w:p>
            <w:pPr>
              <w:spacing w:after="0"/>
              <w:rPr>
                <w:sz w:val="1"/>
                <w:szCs w:val="1"/>
                <w:color w:val="auto"/>
              </w:rPr>
            </w:pPr>
          </w:p>
        </w:tc>
      </w:tr>
      <w:tr>
        <w:trPr>
          <w:trHeight w:val="234"/>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P. Combs, Ph.D.</w:t>
            </w:r>
          </w:p>
        </w:tc>
        <w:tc>
          <w:tcPr>
            <w:tcW w:w="11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187,000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489,000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96,250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772,750</w:t>
            </w:r>
          </w:p>
        </w:tc>
        <w:tc>
          <w:tcPr>
            <w:tcW w:w="0" w:type="dxa"/>
            <w:vAlign w:val="bottom"/>
          </w:tcPr>
          <w:p>
            <w:pPr>
              <w:spacing w:after="0"/>
              <w:rPr>
                <w:sz w:val="1"/>
                <w:szCs w:val="1"/>
                <w:color w:val="auto"/>
              </w:rPr>
            </w:pPr>
          </w:p>
        </w:tc>
      </w:tr>
      <w:tr>
        <w:trPr>
          <w:trHeight w:val="214"/>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Executive Vice President and Head of Chemistry</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810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149" w:lineRule="exact"/>
        <w:rPr>
          <w:sz w:val="20"/>
          <w:szCs w:val="20"/>
          <w:color w:val="auto"/>
        </w:rPr>
      </w:pPr>
    </w:p>
    <w:p>
      <w:pPr>
        <w:ind w:left="440" w:hanging="433"/>
        <w:spacing w:after="0" w:line="251" w:lineRule="auto"/>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and Option Awards columns represent the aggregate grant date fair value of the awards granted under our 2016 Stock Incentive Plan, or the 2016 Plan, to the named executive officers during the year ended December 31, 2019 as computed in accordance with FASB ASC Topic 718, or ASC 718. The assumptions used in calculating the grant date fair value of the awards reported in the Stock Awards and Option Awards columns are set forth in Note 9 to our audited financial statements included elsewhere in this prospectus. Note that the amounts reported in this column reflect the aggregate accounting cost for these awards, and do not necessarily correspond to the actual economic value that may be received by the named executive officer from the awards.</w:t>
      </w:r>
    </w:p>
    <w:p>
      <w:pPr>
        <w:spacing w:after="0" w:line="3"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the non-equity incentive plan compensation, see “— Non-Equity Incentive Plan Awards.”</w:t>
      </w:r>
    </w:p>
    <w:p>
      <w:pPr>
        <w:spacing w:after="0" w:line="6"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Vaddi is also a member of our board of directors but does not receive any additional compensation in his capacity as a director.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454" w:right="3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Year-End Table</w:t>
      </w:r>
    </w:p>
    <w:p>
      <w:pPr>
        <w:spacing w:after="0" w:line="118" w:lineRule="exact"/>
        <w:rPr>
          <w:sz w:val="20"/>
          <w:szCs w:val="20"/>
          <w:color w:val="auto"/>
        </w:rPr>
      </w:pPr>
    </w:p>
    <w:p>
      <w:pPr>
        <w:ind w:right="60" w:firstLine="449"/>
        <w:spacing w:after="0" w:line="278" w:lineRule="auto"/>
        <w:rPr>
          <w:sz w:val="20"/>
          <w:szCs w:val="20"/>
          <w:color w:val="auto"/>
        </w:rPr>
      </w:pPr>
      <w:r>
        <w:rPr>
          <w:rFonts w:ascii="Times New Roman" w:cs="Times New Roman" w:eastAsia="Times New Roman" w:hAnsi="Times New Roman"/>
          <w:sz w:val="18"/>
          <w:szCs w:val="18"/>
          <w:color w:val="auto"/>
        </w:rPr>
        <w:t>The following table provides information regarding each unexercised stock option and share of restricted common stock held by our named executive officers as of December 31, 2019:</w:t>
      </w:r>
    </w:p>
    <w:p>
      <w:pPr>
        <w:sectPr>
          <w:pgSz w:w="11900" w:h="16838" w:orient="portrait"/>
          <w:cols w:equalWidth="0" w:num="1">
            <w:col w:w="11200"/>
          </w:cols>
          <w:pgMar w:left="320" w:top="454" w:right="37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0"/>
        </w:trPr>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24"/>
              <w:spacing w:after="0" w:line="14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8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24"/>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8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6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60" w:type="dxa"/>
            <w:vAlign w:val="bottom"/>
            <w:gridSpan w:val="2"/>
          </w:tcPr>
          <w:p>
            <w:pPr>
              <w:jc w:val="center"/>
              <w:ind w:right="344"/>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8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6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vMerge w:val="continue"/>
          </w:tcPr>
          <w:p>
            <w:pPr>
              <w:spacing w:after="0"/>
              <w:rPr>
                <w:sz w:val="12"/>
                <w:szCs w:val="12"/>
                <w:color w:val="auto"/>
              </w:rPr>
            </w:pPr>
          </w:p>
        </w:tc>
        <w:tc>
          <w:tcPr>
            <w:tcW w:w="1160" w:type="dxa"/>
            <w:vAlign w:val="bottom"/>
            <w:gridSpan w:val="2"/>
          </w:tcPr>
          <w:p>
            <w:pPr>
              <w:jc w:val="center"/>
              <w:ind w:right="324"/>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8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6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80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8"/>
        </w:trPr>
        <w:tc>
          <w:tcPr>
            <w:tcW w:w="3880" w:type="dxa"/>
            <w:vAlign w:val="bottom"/>
            <w:gridSpan w:val="2"/>
            <w:vMerge w:val="continue"/>
          </w:tcPr>
          <w:p>
            <w:pPr>
              <w:spacing w:after="0"/>
              <w:rPr>
                <w:sz w:val="15"/>
                <w:szCs w:val="15"/>
                <w:color w:val="auto"/>
              </w:rPr>
            </w:pPr>
          </w:p>
        </w:tc>
        <w:tc>
          <w:tcPr>
            <w:tcW w:w="1020" w:type="dxa"/>
            <w:vAlign w:val="bottom"/>
            <w:gridSpan w:val="2"/>
          </w:tcPr>
          <w:p>
            <w:pPr>
              <w:jc w:val="right"/>
              <w:ind w:right="420"/>
              <w:spacing w:after="0" w:line="159" w:lineRule="exact"/>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2"/>
                <w:szCs w:val="12"/>
                <w:b w:val="1"/>
                <w:bCs w:val="1"/>
                <w:color w:val="auto"/>
              </w:rPr>
              <w:t>(1)</w:t>
            </w:r>
          </w:p>
        </w:tc>
        <w:tc>
          <w:tcPr>
            <w:tcW w:w="1160" w:type="dxa"/>
            <w:vAlign w:val="bottom"/>
            <w:gridSpan w:val="2"/>
          </w:tcPr>
          <w:p>
            <w:pPr>
              <w:jc w:val="center"/>
              <w:ind w:right="344"/>
              <w:spacing w:after="0" w:line="15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80" w:type="dxa"/>
            <w:vAlign w:val="bottom"/>
            <w:gridSpan w:val="2"/>
          </w:tcPr>
          <w:p>
            <w:pPr>
              <w:jc w:val="center"/>
              <w:ind w:right="420"/>
              <w:spacing w:after="0" w:line="15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8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2"/>
        </w:trPr>
        <w:tc>
          <w:tcPr>
            <w:tcW w:w="36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Kris</w:t>
            </w:r>
          </w:p>
        </w:tc>
        <w:tc>
          <w:tcPr>
            <w:tcW w:w="35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Vaddi, Ph.D.</w:t>
            </w:r>
          </w:p>
        </w:tc>
        <w:tc>
          <w:tcPr>
            <w:tcW w:w="7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2/28/2017</w:t>
            </w:r>
          </w:p>
        </w:tc>
        <w:tc>
          <w:tcPr>
            <w:tcW w:w="240" w:type="dxa"/>
            <w:vAlign w:val="bottom"/>
          </w:tcPr>
          <w:p>
            <w:pPr>
              <w:spacing w:after="0"/>
              <w:rPr>
                <w:sz w:val="15"/>
                <w:szCs w:val="15"/>
                <w:color w:val="auto"/>
              </w:rPr>
            </w:pPr>
          </w:p>
        </w:tc>
        <w:tc>
          <w:tcPr>
            <w:tcW w:w="7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15,000</w:t>
            </w:r>
          </w:p>
        </w:tc>
        <w:tc>
          <w:tcPr>
            <w:tcW w:w="400" w:type="dxa"/>
            <w:vAlign w:val="bottom"/>
          </w:tcPr>
          <w:p>
            <w:pPr>
              <w:jc w:val="right"/>
              <w:ind w:right="164"/>
              <w:spacing w:after="0" w:line="167" w:lineRule="exact"/>
              <w:rPr>
                <w:sz w:val="20"/>
                <w:szCs w:val="20"/>
                <w:color w:val="auto"/>
              </w:rPr>
            </w:pPr>
            <w:r>
              <w:rPr>
                <w:rFonts w:ascii="Times New Roman" w:cs="Times New Roman" w:eastAsia="Times New Roman" w:hAnsi="Times New Roman"/>
                <w:sz w:val="15"/>
                <w:szCs w:val="15"/>
                <w:color w:val="auto"/>
                <w:w w:val="79"/>
              </w:rPr>
              <w:t>(3)</w:t>
            </w:r>
          </w:p>
        </w:tc>
        <w:tc>
          <w:tcPr>
            <w:tcW w:w="8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5"/>
                <w:szCs w:val="15"/>
                <w:color w:val="auto"/>
              </w:rPr>
            </w:pPr>
          </w:p>
        </w:tc>
        <w:tc>
          <w:tcPr>
            <w:tcW w:w="5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0.26</w:t>
            </w:r>
          </w:p>
        </w:tc>
        <w:tc>
          <w:tcPr>
            <w:tcW w:w="240" w:type="dxa"/>
            <w:vAlign w:val="bottom"/>
          </w:tcPr>
          <w:p>
            <w:pPr>
              <w:spacing w:after="0"/>
              <w:rPr>
                <w:sz w:val="15"/>
                <w:szCs w:val="15"/>
                <w:color w:val="auto"/>
              </w:rPr>
            </w:pPr>
          </w:p>
        </w:tc>
        <w:tc>
          <w:tcPr>
            <w:tcW w:w="7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2/27/2027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6/17/2019</w:t>
            </w:r>
          </w:p>
        </w:tc>
        <w:tc>
          <w:tcPr>
            <w:tcW w:w="11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662,500</w:t>
            </w:r>
            <w:r>
              <w:rPr>
                <w:rFonts w:ascii="Times New Roman" w:cs="Times New Roman" w:eastAsia="Times New Roman" w:hAnsi="Times New Roman"/>
                <w:sz w:val="15"/>
                <w:szCs w:val="15"/>
                <w:color w:val="auto"/>
              </w:rPr>
              <w:t>(4)</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6/16/2029</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10/5/2017</w:t>
            </w:r>
          </w:p>
        </w:tc>
        <w:tc>
          <w:tcPr>
            <w:tcW w:w="11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8/3/2018</w:t>
            </w:r>
          </w:p>
        </w:tc>
        <w:tc>
          <w:tcPr>
            <w:tcW w:w="11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6/17/2019</w:t>
            </w:r>
          </w:p>
        </w:tc>
        <w:tc>
          <w:tcPr>
            <w:tcW w:w="11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Mauro, M.D., Ph.D.</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6/17/2019</w:t>
            </w:r>
          </w:p>
        </w:tc>
        <w:tc>
          <w:tcPr>
            <w:tcW w:w="11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350,000</w:t>
            </w:r>
            <w:r>
              <w:rPr>
                <w:rFonts w:ascii="Times New Roman" w:cs="Times New Roman" w:eastAsia="Times New Roman" w:hAnsi="Times New Roman"/>
                <w:sz w:val="15"/>
                <w:szCs w:val="15"/>
                <w:color w:val="auto"/>
              </w:rPr>
              <w:t>(4)</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6/16/2029</w:t>
            </w:r>
          </w:p>
        </w:tc>
        <w:tc>
          <w:tcPr>
            <w:tcW w:w="0" w:type="dxa"/>
            <w:vAlign w:val="bottom"/>
          </w:tcPr>
          <w:p>
            <w:pPr>
              <w:spacing w:after="0"/>
              <w:rPr>
                <w:sz w:val="1"/>
                <w:szCs w:val="1"/>
                <w:color w:val="auto"/>
              </w:rPr>
            </w:pPr>
          </w:p>
        </w:tc>
      </w:tr>
      <w:tr>
        <w:trPr>
          <w:trHeight w:val="23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 Combs, Ph.D.</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6/17/2019</w:t>
            </w:r>
          </w:p>
        </w:tc>
        <w:tc>
          <w:tcPr>
            <w:tcW w:w="11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-1808480</wp:posOffset>
            </wp:positionV>
            <wp:extent cx="7133590" cy="19024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3590" cy="1902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Stock Awards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1100" w:type="dxa"/>
            <w:vAlign w:val="bottom"/>
            <w:tcBorders>
              <w:top w:val="single" w:sz="8" w:color="auto"/>
            </w:tcBorders>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Market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00" w:type="dxa"/>
            <w:vAlign w:val="bottom"/>
            <w:gridSpan w:val="2"/>
            <w:vMerge w:val="continue"/>
          </w:tcPr>
          <w:p>
            <w:pPr>
              <w:spacing w:after="0"/>
              <w:rPr>
                <w:sz w:val="12"/>
                <w:szCs w:val="12"/>
                <w:color w:val="auto"/>
              </w:rPr>
            </w:pPr>
          </w:p>
        </w:tc>
        <w:tc>
          <w:tcPr>
            <w:tcW w:w="6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6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6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6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8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72"/>
        </w:trPr>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6"/>
                <w:szCs w:val="16"/>
                <w:color w:val="auto"/>
              </w:rPr>
            </w:pPr>
          </w:p>
        </w:tc>
        <w:tc>
          <w:tcPr>
            <w:tcW w:w="6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231,545</w:t>
            </w:r>
            <w:r>
              <w:rPr>
                <w:rFonts w:ascii="Times New Roman" w:cs="Times New Roman" w:eastAsia="Times New Roman" w:hAnsi="Times New Roman"/>
                <w:sz w:val="15"/>
                <w:szCs w:val="15"/>
                <w:color w:val="auto"/>
              </w:rPr>
              <w:t>(5)</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377,418</w:t>
            </w:r>
          </w:p>
        </w:tc>
        <w:tc>
          <w:tcPr>
            <w:tcW w:w="0" w:type="dxa"/>
            <w:vAlign w:val="bottom"/>
          </w:tcPr>
          <w:p>
            <w:pPr>
              <w:spacing w:after="0"/>
              <w:rPr>
                <w:sz w:val="1"/>
                <w:szCs w:val="1"/>
                <w:color w:val="auto"/>
              </w:rPr>
            </w:pPr>
          </w:p>
        </w:tc>
      </w:tr>
      <w:tr>
        <w:trPr>
          <w:trHeight w:val="214"/>
        </w:trPr>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262,922</w:t>
            </w:r>
            <w:r>
              <w:rPr>
                <w:rFonts w:ascii="Times New Roman" w:cs="Times New Roman" w:eastAsia="Times New Roman" w:hAnsi="Times New Roman"/>
                <w:sz w:val="15"/>
                <w:szCs w:val="15"/>
                <w:color w:val="auto"/>
              </w:rPr>
              <w:t>(5)</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428,562</w:t>
            </w:r>
          </w:p>
        </w:tc>
        <w:tc>
          <w:tcPr>
            <w:tcW w:w="0" w:type="dxa"/>
            <w:vAlign w:val="bottom"/>
          </w:tcPr>
          <w:p>
            <w:pPr>
              <w:spacing w:after="0"/>
              <w:rPr>
                <w:sz w:val="1"/>
                <w:szCs w:val="1"/>
                <w:color w:val="auto"/>
              </w:rPr>
            </w:pPr>
          </w:p>
        </w:tc>
      </w:tr>
      <w:tr>
        <w:trPr>
          <w:trHeight w:val="214"/>
        </w:trPr>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500,000</w:t>
            </w:r>
            <w:r>
              <w:rPr>
                <w:rFonts w:ascii="Times New Roman" w:cs="Times New Roman" w:eastAsia="Times New Roman" w:hAnsi="Times New Roman"/>
                <w:sz w:val="15"/>
                <w:szCs w:val="15"/>
                <w:color w:val="auto"/>
              </w:rPr>
              <w:t>(5)</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815,000</w:t>
            </w:r>
          </w:p>
        </w:tc>
        <w:tc>
          <w:tcPr>
            <w:tcW w:w="0" w:type="dxa"/>
            <w:vAlign w:val="bottom"/>
          </w:tcPr>
          <w:p>
            <w:pPr>
              <w:spacing w:after="0"/>
              <w:rPr>
                <w:sz w:val="1"/>
                <w:szCs w:val="1"/>
                <w:color w:val="auto"/>
              </w:rPr>
            </w:pPr>
          </w:p>
        </w:tc>
      </w:tr>
      <w:tr>
        <w:trPr>
          <w:trHeight w:val="214"/>
        </w:trPr>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r>
              <w:rPr>
                <w:rFonts w:ascii="Times New Roman" w:cs="Times New Roman" w:eastAsia="Times New Roman" w:hAnsi="Times New Roman"/>
                <w:sz w:val="15"/>
                <w:szCs w:val="15"/>
                <w:color w:val="auto"/>
              </w:rPr>
              <w:t>(5)</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489,000</w:t>
            </w:r>
          </w:p>
        </w:tc>
        <w:tc>
          <w:tcPr>
            <w:tcW w:w="0" w:type="dxa"/>
            <w:vAlign w:val="bottom"/>
          </w:tcPr>
          <w:p>
            <w:pPr>
              <w:spacing w:after="0"/>
              <w:rPr>
                <w:sz w:val="1"/>
                <w:szCs w:val="1"/>
                <w:color w:val="auto"/>
              </w:rPr>
            </w:pPr>
          </w:p>
        </w:tc>
      </w:tr>
    </w:tbl>
    <w:p>
      <w:pPr>
        <w:spacing w:after="0" w:line="168" w:lineRule="exact"/>
        <w:rPr>
          <w:sz w:val="20"/>
          <w:szCs w:val="20"/>
          <w:color w:val="auto"/>
        </w:rPr>
      </w:pPr>
    </w:p>
    <w:p>
      <w:pPr>
        <w:sectPr>
          <w:pgSz w:w="11900" w:h="16838" w:orient="portrait"/>
          <w:cols w:equalWidth="0" w:num="2">
            <w:col w:w="8880" w:space="540"/>
            <w:col w:w="1780"/>
          </w:cols>
          <w:pgMar w:left="320" w:top="454" w:right="379" w:bottom="1440" w:gutter="0" w:footer="0" w:header="0"/>
          <w:type w:val="continuous"/>
        </w:sectPr>
      </w:pPr>
    </w:p>
    <w:p>
      <w:pPr>
        <w:ind w:left="440" w:hanging="433"/>
        <w:spacing w:after="0"/>
        <w:tabs>
          <w:tab w:leader="none" w:pos="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awards were granted under the 2016 Plan.</w:t>
      </w:r>
    </w:p>
    <w:p>
      <w:pPr>
        <w:spacing w:after="0" w:line="25" w:lineRule="exact"/>
        <w:rPr>
          <w:rFonts w:ascii="Times New Roman" w:cs="Times New Roman" w:eastAsia="Times New Roman" w:hAnsi="Times New Roman"/>
          <w:sz w:val="18"/>
          <w:szCs w:val="18"/>
          <w:color w:val="auto"/>
        </w:rPr>
      </w:pPr>
    </w:p>
    <w:p>
      <w:pPr>
        <w:ind w:left="440" w:right="40" w:hanging="433"/>
        <w:spacing w:after="0" w:line="248" w:lineRule="auto"/>
        <w:tabs>
          <w:tab w:leader="none" w:pos="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public market for our common stock as of December 31, 2019. The fair market value of our common stock as of December 31, 2019, as determined by an independent valuation, was $1.63 per share.</w:t>
      </w:r>
    </w:p>
    <w:p>
      <w:pPr>
        <w:ind w:left="440" w:hanging="433"/>
        <w:spacing w:after="0"/>
        <w:tabs>
          <w:tab w:leader="none" w:pos="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100% vested on the grant date.</w:t>
      </w:r>
    </w:p>
    <w:p>
      <w:pPr>
        <w:spacing w:after="0" w:line="6" w:lineRule="exact"/>
        <w:rPr>
          <w:rFonts w:ascii="Times New Roman" w:cs="Times New Roman" w:eastAsia="Times New Roman" w:hAnsi="Times New Roman"/>
          <w:sz w:val="18"/>
          <w:szCs w:val="18"/>
          <w:color w:val="auto"/>
        </w:rPr>
      </w:pPr>
    </w:p>
    <w:p>
      <w:pPr>
        <w:ind w:left="440" w:right="160" w:hanging="433"/>
        <w:spacing w:after="0" w:line="248" w:lineRule="auto"/>
        <w:tabs>
          <w:tab w:leader="none" w:pos="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1/4th of the option vests on the one-year anniversary of the vesting commencement date and an additional 1/48th vests monthly thereafter, subject to the executive’s continued service to us. The options are also subject to acceleration of vesting upon a qualifying termination of employment, as described in greater detail in the “Employment Arrangements with our Named Executive Officers” section below.</w:t>
      </w:r>
    </w:p>
    <w:p>
      <w:pPr>
        <w:ind w:left="440" w:right="680" w:hanging="433"/>
        <w:spacing w:after="0" w:line="252" w:lineRule="auto"/>
        <w:tabs>
          <w:tab w:leader="none" w:pos="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restricted stock vests on the one-year anniversary of the vesting commencement date, and an additional 1/48th vests monthly thereafter for 36 months, subject to the executive’s continued service to us. These shares would vest in full upon a qualifying termination of employment, as described in the “Employment Arrangements with our Named Executive Officers” section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Non-Equity Incentive Plan Awards</w:t>
      </w:r>
    </w:p>
    <w:p>
      <w:pPr>
        <w:spacing w:after="0" w:line="118" w:lineRule="exact"/>
        <w:rPr>
          <w:sz w:val="20"/>
          <w:szCs w:val="20"/>
          <w:color w:val="auto"/>
        </w:rPr>
      </w:pPr>
    </w:p>
    <w:p>
      <w:pPr>
        <w:ind w:right="20" w:firstLine="449"/>
        <w:spacing w:after="0" w:line="274" w:lineRule="auto"/>
        <w:rPr>
          <w:sz w:val="20"/>
          <w:szCs w:val="20"/>
          <w:color w:val="auto"/>
        </w:rPr>
      </w:pPr>
      <w:r>
        <w:rPr>
          <w:rFonts w:ascii="Times New Roman" w:cs="Times New Roman" w:eastAsia="Times New Roman" w:hAnsi="Times New Roman"/>
          <w:sz w:val="17"/>
          <w:szCs w:val="17"/>
          <w:color w:val="auto"/>
        </w:rPr>
        <w:t>Annual bonuses for our executive officers are based on the achievement of corporate and, for all of the executive officers other than our Chief Executive Officer, individual performance objectives, as determined by our board of directors. For the 2019 bonuses, the corporate performance objectives included the IND submission of PRT811, advancing our product candidates in pre-clinical and clinical development and the establishment of development infrastructure capable of supporting advancement of the development candidates into the clinic. In March 2020, based on the achievement of these corporate performance objectives and satisfaction of individual performance goals, our board of directors determined to award bonuses equal to 110% of target.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our Named Executive Officers</w:t>
      </w:r>
    </w:p>
    <w:p>
      <w:pPr>
        <w:spacing w:after="0" w:line="11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have entered into written offer letters with each of our named executive officers, setting forth the terms and conditions of employment of each named executive officer, including his initial base salary, target bonus, equity awards and employee benefit plan participation. In September 2020, our board of directors approved increases to the base salaries and target bonus opportunities for certain of our officers, to be effective as of the effectiveness of the registration statement of which this prospectus is a part, including the following base salaries and target bonus opportunities for each of our named executive officers: Kris Vaddi: $495,000 base salary and target bonus of 50% of base salary; David Mauro: $404,300 base salary and target bonus of 40% of base salary; Andrew Combs: $375,000 base salary and target bonus of 40% of base salary.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00"/>
          </w:cols>
          <w:pgMar w:left="320" w:top="454" w:right="379" w:bottom="1440" w:gutter="0" w:footer="0" w:header="0"/>
          <w:type w:val="continuous"/>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18"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In September 2020, our board of directors also approved certain guidelines for our officers and other employees pursuant to which these individuals would become entitled to severance payments and benefits in the event of a qualifying termination of service, including in connection with a change of control of the company. We intend to enter into new employment agreements with each of our named executive officers to set forth the following the terms following the consummation of this offering and subject to approval by our board of directors.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the event the named executive officer is terminated by the Company without “cause” (as will be defined in the new employment agreement), he will be entitled to receive his base salary and we will directly pay or reimburse the named executive officer for the cost of continued healthcare coverage, in each case for 12 months in the case of Dr. Vaddi and for nine months in the case of Dr. Mauro and Dr. Combs. In addition, Dr. Vaddi will continue to be entitled to acceleration of his currently outstanding restricted shares.</w:t>
      </w:r>
    </w:p>
    <w:p>
      <w:pPr>
        <w:spacing w:after="0" w:line="180"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In the event that the named executive officer is terminated without “cause” or he resigns for “good reason” (as will be defined in the new employment agreement) within 12 months following a change in control of the company, in lieu of the foregoing, he will be entitled to receive (i) his base salary and we will directly pay or reimburse the named executive officer for the cost of continued healthcare coverage, in each case for 18 months in the case of Dr. Vaddi and for 12 months in the case of Dr. Mauro and Dr. Combs, (ii) a multiple of his annual target bonus opportunity equal to 150% for Dr. Vaddi and 100% for Dr. Mauro and Dr. Combs, and (iii) his equity awards will become fully vested and exercisable, as applicable. In addition, the vesting of any outstanding equity award that is not assumed by a successor company following a change in control of the company will automatically accelerate in full without regard to the named executive officer’s termination of service.</w:t>
      </w:r>
    </w:p>
    <w:p>
      <w:pPr>
        <w:spacing w:after="0" w:line="184"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The severance payments and benefits would be subject to the named executive officer’s execution of a general release of claims against us, and his agreement to certain non-competition and non-solicitation provisions. To the extent such severance payments and benefits are payable in connection with a change in control and would result in excise taxes imposed by Section 4999 of the Internal Revenue Code of 1986, as amended, then each of the named executive officers would be entitled to receive (i) the full payment of such payments and benefits or (ii) such lesser amount as would result in no portion of those payments and benefits being subject to the excise tax, whichever results in the greater net after-tax position for the executive.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18"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plans are summarized below. These summaries are qualified in their entirety by reference to the actual text of the plans, which are filed as exhibits to the registration statement of which this prospectus is a part.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118"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Our 2016 Plan was initially adopted by our board of directors and approved by our stockholders in June 2016. The 2016 Plan has been amended from time to time, and was amended and restated in March 2020 to, among other things, expand the types of awards available for grant and make certain changes to the treatment of equity awards in connection with a change in control transaction. The 2016 Plan was most recently amended in September 2020 to increase the number of shares of common stock reserved for issuance under the plan as described below. The 2016 Plan provides for the grant of options to purchase shares of our common stock, as well as for the award of restricted stock, or RSAs, restricted stock units, or RSUs, and stock appreciation rights, or SARs.</w:t>
      </w:r>
    </w:p>
    <w:p>
      <w:pPr>
        <w:spacing w:after="0" w:line="184" w:lineRule="exact"/>
        <w:rPr>
          <w:sz w:val="20"/>
          <w:szCs w:val="20"/>
          <w:color w:val="auto"/>
        </w:rPr>
      </w:pPr>
    </w:p>
    <w:p>
      <w:pPr>
        <w:ind w:right="220" w:firstLine="449"/>
        <w:spacing w:after="0" w:line="278" w:lineRule="auto"/>
        <w:rPr>
          <w:sz w:val="20"/>
          <w:szCs w:val="20"/>
          <w:color w:val="auto"/>
        </w:rPr>
      </w:pPr>
      <w:r>
        <w:rPr>
          <w:rFonts w:ascii="Times New Roman" w:cs="Times New Roman" w:eastAsia="Times New Roman" w:hAnsi="Times New Roman"/>
          <w:sz w:val="18"/>
          <w:szCs w:val="18"/>
          <w:color w:val="auto"/>
        </w:rPr>
        <w:t>As of June 30, 2020, we had 5,165,510 shares of our common stock reserved for issuance pursuant to grants under our 2016 Plan, of which 269,345 remained available for grant. As of June 30, 2020, options to purchase 46,250</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20"/>
          </w:cols>
          <w:pgMar w:left="320" w:top="454" w:right="3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shares had been exercised and options to purchase 4,139,344 shares remained outstanding, with a weighted-average exercise price of $1.53 per share. In September 2020, our board of directors adopted, and our stockholders approved, an amendment to the 2016 Plan to increase the number of shares of common stock reserved for issuance under the 2016 Plan by 3,350,786 shares of common stock. As of June 30, 2020, 2,614,571 shares of restricted stock were granted, of which all shares remained outstanding. No other types of awards have been granted under the 2016 Plan. The 2016 Plan will terminate on the date that the 2020 Plan becomes effective (as described below) and no additional grants will be made pursuant to the 2016 Plan following its termination. However, any outstanding options and shares of restricted stock will remain outstanding until they are exercised, as applicable, or are terminated in accordance with the terms of the 2016 Plan and the applicable award agreements evidencing such awards.</w:t>
      </w:r>
    </w:p>
    <w:p>
      <w:pPr>
        <w:spacing w:after="0" w:line="18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2016 Plan is administered by our board of directors, and following our initial public offering, will be administered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referred to as the administrator. Subject to the terms of the 2016 Plan, the administrator has the authority to, among other things, select the persons to whom awards will be granted, construe and interpret our 2016 Plan as well as to prescribe, amend, expand, modify and rescind rules and regulations relating to the 2016 Plan.</w:t>
      </w:r>
    </w:p>
    <w:p>
      <w:pPr>
        <w:spacing w:after="0" w:line="180"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Pursuant to the 2016 Plan, we may grant incentive stock options, which are intended to qualify for tax treatment as set forth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422 of the Internal Revenue Code, as amended, or the Code, only to our employees (including officers and directors who are also employees). We may grant non-statutory stock options and all other types of awards to our employees (including officers and directors who are also employees), non-employee directors and consultants. We refer to employees, directors, or consultants who receive an award under our equity plans as participants.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2016 Plan provides that the exercise price of each stock option must be at least equal to the fair market value of our common stock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However, the exercise price of any incentive stock option granted to a participant who owns more than ten percent of the total combined voting power of all classes of our capital stock, directly or by attribution, must be at least equal to 110% of the fair market value of our common stock on the date of grant.</w:t>
      </w:r>
    </w:p>
    <w:p>
      <w:pPr>
        <w:spacing w:after="0" w:line="182" w:lineRule="exact"/>
        <w:rPr>
          <w:sz w:val="20"/>
          <w:szCs w:val="20"/>
          <w:color w:val="auto"/>
        </w:rPr>
      </w:pPr>
    </w:p>
    <w:p>
      <w:pPr>
        <w:ind w:right="180" w:firstLine="449"/>
        <w:spacing w:after="0" w:line="263" w:lineRule="auto"/>
        <w:rPr>
          <w:sz w:val="20"/>
          <w:szCs w:val="20"/>
          <w:color w:val="auto"/>
        </w:rPr>
      </w:pPr>
      <w:r>
        <w:rPr>
          <w:rFonts w:ascii="Times New Roman" w:cs="Times New Roman" w:eastAsia="Times New Roman" w:hAnsi="Times New Roman"/>
          <w:sz w:val="18"/>
          <w:szCs w:val="18"/>
          <w:color w:val="auto"/>
        </w:rPr>
        <w:t>The maximum permitted term of options granted under our 2016 Plan is ten years from the date of grant, except that the maximum permitted term of incentive stock options granted to a participant who owns more than ten percent of the total combined voting power of all classes of our capital stock, directly or by attribution, is five years from the date of grant.</w:t>
      </w:r>
    </w:p>
    <w:p>
      <w:pPr>
        <w:spacing w:after="0" w:line="173" w:lineRule="exact"/>
        <w:rPr>
          <w:sz w:val="20"/>
          <w:szCs w:val="20"/>
          <w:color w:val="auto"/>
        </w:rPr>
      </w:pPr>
    </w:p>
    <w:p>
      <w:pPr>
        <w:jc w:val="both"/>
        <w:ind w:right="280" w:firstLine="44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The 2016 Plan also provides for the issuance of RSAs pursuant to which the holder may purchase restricted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Among other terms and conditions, we may retain an option to repurchase the unvested restricted stock at any time following the holder’s termination of service.</w:t>
      </w:r>
    </w:p>
    <w:p>
      <w:pPr>
        <w:spacing w:after="0" w:line="173" w:lineRule="exact"/>
        <w:rPr>
          <w:sz w:val="20"/>
          <w:szCs w:val="20"/>
          <w:color w:val="auto"/>
        </w:rPr>
      </w:pPr>
    </w:p>
    <w:p>
      <w:pPr>
        <w:ind w:right="300" w:firstLine="449"/>
        <w:spacing w:after="0" w:line="28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2016 Plan was amended and restated in March 2020 to allow for the grant of RSUs and SARs, with terms as determined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in accordance with the 2016 Plan. As of June 30, 2020, we have not granted any RSUs or SARs under the 2016 Plan.</w:t>
      </w:r>
    </w:p>
    <w:p>
      <w:pPr>
        <w:spacing w:after="0" w:line="159" w:lineRule="exact"/>
        <w:rPr>
          <w:sz w:val="20"/>
          <w:szCs w:val="20"/>
          <w:color w:val="auto"/>
        </w:rPr>
      </w:pPr>
    </w:p>
    <w:p>
      <w:pPr>
        <w:ind w:right="300" w:firstLine="449"/>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Limited Transferability. </w:t>
      </w:r>
      <w:r>
        <w:rPr>
          <w:rFonts w:ascii="Times New Roman" w:cs="Times New Roman" w:eastAsia="Times New Roman" w:hAnsi="Times New Roman"/>
          <w:sz w:val="18"/>
          <w:szCs w:val="18"/>
          <w:color w:val="auto"/>
        </w:rPr>
        <w:t>Unless otherwise determined by the administrator, awards granted under our 2016 Plan generally may not be transferred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assigned in any manner other than by will or the laws of descent and distribution.</w:t>
      </w:r>
    </w:p>
    <w:p>
      <w:pPr>
        <w:spacing w:after="0" w:line="15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“corporate transaction” (as defined in the 2016 Plan prior to its amendment and restatement), awards granted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amendment and restatement of the 2016 Plan, may be (i) substituted or replaced by a successor entity with an equity award having substantially equivalent terms, or (ii) cancelled, provided that the administrator may provide for vested awards to be cancelled in exchange for payment equal to the value of shares underlying such awards (less any applicable exercise price), subject to certain notice requirements. The administrator may also elect to provide for partial or full accelerated vesting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454"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awards, or to change the terms of any award to reflect the corporate transaction, subject to certain limitations.</w:t>
      </w:r>
    </w:p>
    <w:p>
      <w:pPr>
        <w:spacing w:after="0" w:line="221" w:lineRule="exact"/>
        <w:rPr>
          <w:sz w:val="20"/>
          <w:szCs w:val="20"/>
          <w:color w:val="auto"/>
        </w:rPr>
      </w:pPr>
    </w:p>
    <w:p>
      <w:pPr>
        <w:ind w:right="300" w:firstLine="449"/>
        <w:spacing w:after="0" w:line="274" w:lineRule="auto"/>
        <w:rPr>
          <w:sz w:val="20"/>
          <w:szCs w:val="20"/>
          <w:color w:val="auto"/>
        </w:rPr>
      </w:pPr>
      <w:r>
        <w:rPr>
          <w:rFonts w:ascii="Times New Roman" w:cs="Times New Roman" w:eastAsia="Times New Roman" w:hAnsi="Times New Roman"/>
          <w:sz w:val="17"/>
          <w:szCs w:val="17"/>
          <w:color w:val="auto"/>
        </w:rPr>
        <w:t>In the event of an “acquisition” or certain “other combinations” (each, as defined in the 2016 Plan), awards granted on or after the amendment and restatement of the 2016 Plan in March 2020 may be: (i) continued if we are the successor entity; (ii) assumed by the surviving corporation or its parent;</w:t>
      </w:r>
    </w:p>
    <w:p>
      <w:pPr>
        <w:ind w:right="200" w:firstLine="7"/>
        <w:spacing w:after="0" w:line="250" w:lineRule="auto"/>
        <w:tabs>
          <w:tab w:leader="none" w:pos="31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substituted by the surviving corporation or its parent with new equity awards on substantially the same terms; (iv) cancelled for no consideration or in exchange for equivalent value in cash, cash equivalents, or securities of the successor entity, which payments may be deferred until the date or dates the award would have become exercisable or vested; (v) partially or fully accelerated; or (vi) any combination of the foregoing. Awards need not be treated identically.</w:t>
      </w:r>
    </w:p>
    <w:p>
      <w:pPr>
        <w:spacing w:after="0" w:line="187" w:lineRule="exact"/>
        <w:rPr>
          <w:sz w:val="20"/>
          <w:szCs w:val="20"/>
          <w:color w:val="auto"/>
        </w:rPr>
      </w:pPr>
    </w:p>
    <w:p>
      <w:pPr>
        <w:ind w:right="60" w:firstLine="449"/>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Adjustments. </w:t>
      </w:r>
      <w:r>
        <w:rPr>
          <w:rFonts w:ascii="Times New Roman" w:cs="Times New Roman" w:eastAsia="Times New Roman" w:hAnsi="Times New Roman"/>
          <w:sz w:val="17"/>
          <w:szCs w:val="17"/>
          <w:color w:val="auto"/>
        </w:rPr>
        <w:t>In the event of a change in the number of outstanding shares of our common stock without consideration by reason of a stock dividend,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recapitalization, stock split, reverse stock split, subdivision, combination, reclassification or other similar change in our capital structure, proportional adjustments may be made to the number of shares reserved for issuance under our 2016 Plan; the exercise prices, number and class of shares subject to outstanding options or SARs; the number and class of shares subject to other outstanding awards; and any applicable maximum award limits with respect to incentive stock options, in each case to prevent diminution or enlargement of the benefits or potential benefits intended to be made under the 2016 Plan.</w:t>
      </w:r>
    </w:p>
    <w:p>
      <w:pPr>
        <w:spacing w:after="0" w:line="16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Exchange, Repricing and Buyout of Awards</w:t>
      </w:r>
      <w:r>
        <w:rPr>
          <w:rFonts w:ascii="Times New Roman" w:cs="Times New Roman" w:eastAsia="Times New Roman" w:hAnsi="Times New Roman"/>
          <w:sz w:val="18"/>
          <w:szCs w:val="18"/>
          <w:color w:val="auto"/>
        </w:rPr>
        <w:t>. Pursuant to the 2016 Plan, as amended and restated, the administrator may, with the consent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participants, issue new awards in exchange for the surrender and cancellation of any or all outstanding awards. Our board of directors may also reduce the exercise price of options or SARs or buy an award previously granted with payment in cash, shares or other consideration, in each case, subject to the terms of the 2016 Plan.</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18" w:lineRule="exact"/>
        <w:rPr>
          <w:sz w:val="20"/>
          <w:szCs w:val="20"/>
          <w:color w:val="auto"/>
        </w:rPr>
      </w:pPr>
    </w:p>
    <w:p>
      <w:pPr>
        <w:ind w:right="180" w:firstLine="449"/>
        <w:spacing w:after="0" w:line="274" w:lineRule="auto"/>
        <w:rPr>
          <w:sz w:val="20"/>
          <w:szCs w:val="20"/>
          <w:color w:val="auto"/>
        </w:rPr>
      </w:pPr>
      <w:r>
        <w:rPr>
          <w:rFonts w:ascii="Times New Roman" w:cs="Times New Roman" w:eastAsia="Times New Roman" w:hAnsi="Times New Roman"/>
          <w:sz w:val="17"/>
          <w:szCs w:val="17"/>
          <w:color w:val="auto"/>
        </w:rPr>
        <w:t>We intend to adopt our 2020 Equity Incentive Plan, or the 2020 Plan, that will become effective on the date immediately prior to the date of the effectiveness of the registration statement of which this prospectus forms a part and will serve as the successor to our 2016 Plan. Our 2020 Plan authorizes</w:t>
      </w:r>
    </w:p>
    <w:p>
      <w:pPr>
        <w:ind w:right="160"/>
        <w:spacing w:after="0" w:line="250" w:lineRule="auto"/>
        <w:rPr>
          <w:sz w:val="20"/>
          <w:szCs w:val="20"/>
          <w:color w:val="auto"/>
        </w:rPr>
      </w:pPr>
      <w:r>
        <w:rPr>
          <w:rFonts w:ascii="Times New Roman" w:cs="Times New Roman" w:eastAsia="Times New Roman" w:hAnsi="Times New Roman"/>
          <w:sz w:val="18"/>
          <w:szCs w:val="18"/>
          <w:color w:val="auto"/>
        </w:rPr>
        <w:t>the award of stock options, RSAs, SARs, RSUs, cash awards, performance awards and stock bonus awards. We have initially reserved shares of our common stock, plus any reserved shares not issued or subject to outstanding grants under the 2016 Plan on the effective date of the 2020 Plan, for issuance pursuant to awards granted under our 2020 Plan. The number of shares reserved for issuance under our 2020 Plan will increase automatically on January 1 of each of 2021 through 2030 by the number of shares equal to the lesser of % of the aggregate number of outstanding shares of our common stock as of the immediately preceding December 31, or a number as may be determined by our board of directors.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following shares will again be available for issuance pursuant to awards granted under our 2020 Plan:</w:t>
      </w:r>
    </w:p>
    <w:p>
      <w:pPr>
        <w:spacing w:after="0" w:line="127" w:lineRule="exact"/>
        <w:rPr>
          <w:sz w:val="20"/>
          <w:szCs w:val="20"/>
          <w:color w:val="auto"/>
        </w:rPr>
      </w:pPr>
    </w:p>
    <w:p>
      <w:pPr>
        <w:ind w:left="1000" w:right="60" w:hanging="552"/>
        <w:spacing w:after="0" w:line="278"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options or SARs granted under our 2020 Plan that cease to be subject to the option or SAR for any reason other than exercise of the option or SAR;</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our 2020 Plan that are subsequently forfeited or repurchased by us at the original issue price;</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our 2020 Plan that otherwise terminate without such shares being issued;</w:t>
      </w:r>
    </w:p>
    <w:p>
      <w:pPr>
        <w:spacing w:after="0" w:line="127" w:lineRule="exact"/>
        <w:rPr>
          <w:rFonts w:ascii="Times New Roman" w:cs="Times New Roman" w:eastAsia="Times New Roman" w:hAnsi="Times New Roman"/>
          <w:sz w:val="18"/>
          <w:szCs w:val="18"/>
          <w:color w:val="auto"/>
        </w:rPr>
      </w:pPr>
    </w:p>
    <w:p>
      <w:pPr>
        <w:ind w:left="1000" w:right="860" w:hanging="552"/>
        <w:spacing w:after="0" w:line="278"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our 2020 Plan that are surrendered, cancelled or exchanged for cash or a different award (or combination thereof);</w:t>
      </w:r>
    </w:p>
    <w:p>
      <w:pPr>
        <w:spacing w:after="0" w:line="68" w:lineRule="exact"/>
        <w:rPr>
          <w:rFonts w:ascii="Times New Roman" w:cs="Times New Roman" w:eastAsia="Times New Roman" w:hAnsi="Times New Roman"/>
          <w:sz w:val="18"/>
          <w:szCs w:val="18"/>
          <w:color w:val="auto"/>
        </w:rPr>
      </w:pPr>
    </w:p>
    <w:p>
      <w:pPr>
        <w:ind w:left="1000" w:right="120" w:hanging="552"/>
        <w:spacing w:after="0" w:line="278"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issuable upon the exercise of options or subject to other awards granted under our 2016 Plan that cease to be subject to such options or other awards, by forfeiture or otherwise, after the termination of the 2016 Plan;</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00"/>
          </w:cols>
          <w:pgMar w:left="320" w:top="454" w:right="37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right="160" w:hanging="552"/>
        <w:spacing w:after="0" w:line="27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subject to awards granted prior to the effectiveness of the 2016 Plan that are forfeited to or otherwise repurchased by us;</w:t>
      </w:r>
    </w:p>
    <w:p>
      <w:pPr>
        <w:spacing w:after="0" w:line="68" w:lineRule="exact"/>
        <w:rPr>
          <w:rFonts w:ascii="Times New Roman" w:cs="Times New Roman" w:eastAsia="Times New Roman" w:hAnsi="Times New Roman"/>
          <w:sz w:val="18"/>
          <w:szCs w:val="18"/>
          <w:color w:val="auto"/>
        </w:rPr>
      </w:pPr>
    </w:p>
    <w:p>
      <w:pPr>
        <w:ind w:left="1000" w:right="300" w:hanging="552"/>
        <w:spacing w:after="0" w:line="27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our 2016 Plan that are forfeited or repurchased by us at the original price after the termination of the 2016 Plan; and</w:t>
      </w:r>
    </w:p>
    <w:p>
      <w:pPr>
        <w:spacing w:after="0" w:line="68" w:lineRule="exact"/>
        <w:rPr>
          <w:rFonts w:ascii="Times New Roman" w:cs="Times New Roman" w:eastAsia="Times New Roman" w:hAnsi="Times New Roman"/>
          <w:sz w:val="18"/>
          <w:szCs w:val="18"/>
          <w:color w:val="auto"/>
        </w:rPr>
      </w:pPr>
    </w:p>
    <w:p>
      <w:pPr>
        <w:ind w:left="1000" w:right="80" w:hanging="552"/>
        <w:spacing w:after="0" w:line="27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under our 2016 Plan or our 2020 Plan that are used to pay the exercise price of an option or withheld to satisfy the tax withholding obligations related to any award.</w:t>
      </w:r>
    </w:p>
    <w:p>
      <w:pPr>
        <w:spacing w:after="0" w:line="16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2020 Plan is expected to be administered by our compensation committee, or by our board of directors acting in place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Subject to the terms and conditions of the 2020 Plan, the administrator will have the authority, among other things, to select the persons to whom awards may be granted, construe and interpret our 2020 Plan as well as to determine the terms of such awards and prescribe, amend and rescind the rules and regulations relating to the plan or any award granted thereunder. The 2020 Plan provides that the administrator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184" w:lineRule="exact"/>
        <w:rPr>
          <w:sz w:val="20"/>
          <w:szCs w:val="20"/>
          <w:color w:val="auto"/>
        </w:rPr>
      </w:pPr>
    </w:p>
    <w:p>
      <w:pPr>
        <w:ind w:right="160" w:firstLine="44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Our 2020 Plan provides for the grant of awards to our employees, directors, consultants, independent contractors and advisors.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 may receive awards under our 2020 Plan that, when combined with cash compensation received as a non-employee director, exceed $750,000 in a calendar year or $1,000,000 in the calendar year of his or her initial services as a non-employee director with us.</w:t>
      </w:r>
    </w:p>
    <w:p>
      <w:pPr>
        <w:spacing w:after="0" w:line="173"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The 2020 Plan provides for the grant of both incentive stock options intended to qualify under Section 422 of the Code, and non-statutory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options to purchase shares of our common stock at a stated exercise price. Incentive stock options may only be granted to employees, including officers and directors who are also employees. The exercise price of stock options granted under the 2020 Plan must be at least equal to the fair market value of our common stock on the date of grant. Incentive stock options granted to an individual who holds, directly or by attribution, more than ten percent of the total combined voting power of all classes of our capital stock must have an exercise price of at least 110% of the fair market value of our common stock on the</w:t>
      </w:r>
    </w:p>
    <w:p>
      <w:pPr>
        <w:spacing w:after="0" w:line="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date of grant. Subject to stock splits, dividends, recapitalizations or similar events, no more than shares may be issued pursuant to the exercise of incentive stock options granted under the 2020 Plan.</w:t>
      </w:r>
    </w:p>
    <w:p>
      <w:pPr>
        <w:spacing w:after="0" w:line="182"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Options may vest based on service or achievement of performance conditions. The administrator may provide for options to be exercised only as they vest or to be immediately exercisable, with any shares issued on exercise being subject to our right of repurchase that lapses as the shares vest. The maximum term of options granted under our 2020 Plan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82"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An RSA is an offer by us to sell shares of our common stock subject to restrictions, which may lapse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service or achievement of performance conditions. The price, if any, of an RSA will be determined by the compensation committee. Holders of RSAs, unlike holders of options, will have the right to vote and any dividends or stock distributions paid pursuant to RSAs will be accrued and paid when the restrictions on such shares lapse. Unless otherwise determined by the compensation committee at the time of award, vesting will cease on the date the participant no longer provides services to us and unvested shares may be forfeited to or repurchased by us.</w:t>
      </w:r>
    </w:p>
    <w:p>
      <w:pPr>
        <w:spacing w:after="0" w:line="18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 SAR provides for a payment, in cash or shares of our common stock (up to a specified maximum of shares, if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our compensation committee), to the holder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and may not have a term that is longer than ten years from the date of grant.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454" w:right="3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jc w:val="both"/>
        <w:ind w:right="2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RSUs represent the right to receive shares of our common stock at a specified date in the future, and may be subject to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service or achievement of performance conditions. Payment of earned RSUs will be made as soon as practicable on a date determined at the time of grant, and may be settled in cash, shares of our common stock or a combination of both. No RSU may have a term that is longer than ten years from the date of grant.</w:t>
      </w:r>
    </w:p>
    <w:p>
      <w:pPr>
        <w:spacing w:after="0" w:line="180" w:lineRule="exact"/>
        <w:rPr>
          <w:sz w:val="20"/>
          <w:szCs w:val="20"/>
          <w:color w:val="auto"/>
        </w:rPr>
      </w:pPr>
    </w:p>
    <w:p>
      <w:pPr>
        <w:ind w:right="260" w:firstLine="44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Performance awards granted to pursuant to the 2020 Plan may be in the form of a cash bonus, or an award of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performance units denominated in shares of our common stock that may be settled in cash, property or by issuance of those shares subject to the satisfaction or achievement of specified performance conditions.</w:t>
      </w:r>
    </w:p>
    <w:p>
      <w:pPr>
        <w:spacing w:after="0" w:line="173"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Bonus Awards. </w:t>
      </w:r>
      <w:r>
        <w:rPr>
          <w:rFonts w:ascii="Times New Roman" w:cs="Times New Roman" w:eastAsia="Times New Roman" w:hAnsi="Times New Roman"/>
          <w:sz w:val="18"/>
          <w:szCs w:val="18"/>
          <w:color w:val="auto"/>
        </w:rPr>
        <w:t>A stock bonus award provides for payment in the form of cash, shares of our common stock or a combination thereof,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market value of shares subject such award as determined by our compensation committee. The awards may be granted as consideration for services already rendered, or at the discretion of the compensation committee, may be subject to vesting restrictions based on continued service or performance conditions.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Cash Awards. </w:t>
      </w:r>
      <w:r>
        <w:rPr>
          <w:rFonts w:ascii="Times New Roman" w:cs="Times New Roman" w:eastAsia="Times New Roman" w:hAnsi="Times New Roman"/>
          <w:sz w:val="18"/>
          <w:szCs w:val="18"/>
          <w:color w:val="auto"/>
        </w:rPr>
        <w:t>A cash award is an award that is denominated in, or payable to an eligible participant solely in, cash.</w:t>
      </w:r>
    </w:p>
    <w:p>
      <w:pPr>
        <w:spacing w:after="0" w:line="221"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Equivalents Rights. </w:t>
      </w:r>
      <w:r>
        <w:rPr>
          <w:rFonts w:ascii="Times New Roman" w:cs="Times New Roman" w:eastAsia="Times New Roman" w:hAnsi="Times New Roman"/>
          <w:sz w:val="18"/>
          <w:szCs w:val="18"/>
          <w:color w:val="auto"/>
        </w:rPr>
        <w:t>Dividend equivalent rights may be granted at the discretion of the administrator, and represent the right to receive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dividends, if any, paid by us in respect of the number of shares of our common stock underlying an award. Dividend equivalent rights will be subject to the same vesting or performance conditions as the underlying award and will be paid only at such time as the underlying award has become fully vested. Dividend equivalent rights may be settled in cash, shares or other property, or a combination of thereof as determined by the administrator.</w:t>
      </w:r>
    </w:p>
    <w:p>
      <w:pPr>
        <w:spacing w:after="0" w:line="180"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Our 2020 Plan provides that, in the event of a “corporate transaction” (as defined in the 2020 Plan), awards granted under the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may (i) be continued by the company, if we are the successor entity; or (ii) assumed or substituted by the successor corporation, or a parent or subsidiary of the successor corporation, for substantially equivalent awards (including, but not limited to, an award to acquire the same consideration paid to our stockholders pursuant to the corporate transaction), in each case after taking into account appropriate adjustments for the number and kind of shares and exercise prices. The successor corporation may also issue, as replacement of our outstanding shares held by the participant, substantially similar shares, or other property subject to repurchase restrictions no less favorable to the participant. In the event the successor corporation refuses to assume, substitute, or replace any award, then such award will become fully vested and, as applicable, exercisable and any rights of repurchase or forfeiture restrictions thereon will lapse, immediately prior to the consummation of the corporation transaction. Awards with performance-based vesting criteria that are not assumed will be deemed earned and vested based on the greater of actual performance (if determinable) or 100% of target level, unless otherwise indicated pursuant to the terms and conditions of the applicable award agreement.</w:t>
      </w:r>
    </w:p>
    <w:p>
      <w:pPr>
        <w:spacing w:after="0" w:line="18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Adjustment. </w:t>
      </w:r>
      <w:r>
        <w:rPr>
          <w:rFonts w:ascii="Times New Roman" w:cs="Times New Roman" w:eastAsia="Times New Roman" w:hAnsi="Times New Roman"/>
          <w:sz w:val="18"/>
          <w:szCs w:val="18"/>
          <w:color w:val="auto"/>
        </w:rPr>
        <w:t>In the event of a change in the number of outstanding shares of our common stock without consideration by reason of a stock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extraordinary dividend or distribution, recapitalization, stock split, reverse stock split, subdivision, combination, consolidation reclassification, spin-off or similar change in our capital structure, appropriate proportional adjustments may be made to the number of shares reserved for issuance under our 2020 Plan; the exercise prices, number and class of shares subject to outstanding options or SARs; the number and class of shares subject to other outstanding awards; and any applicable maximum award limits with respect to incentive stock options.</w:t>
      </w:r>
    </w:p>
    <w:p>
      <w:pPr>
        <w:spacing w:after="0" w:line="180" w:lineRule="exact"/>
        <w:rPr>
          <w:sz w:val="20"/>
          <w:szCs w:val="20"/>
          <w:color w:val="auto"/>
        </w:rPr>
      </w:pPr>
    </w:p>
    <w:p>
      <w:pPr>
        <w:ind w:right="120" w:firstLine="449"/>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Exchange, Repricing and Buyout of Awards. </w:t>
      </w:r>
      <w:r>
        <w:rPr>
          <w:rFonts w:ascii="Times New Roman" w:cs="Times New Roman" w:eastAsia="Times New Roman" w:hAnsi="Times New Roman"/>
          <w:sz w:val="18"/>
          <w:szCs w:val="18"/>
          <w:color w:val="auto"/>
        </w:rPr>
        <w:t>The administrator may, with the consent of the respective participants, issue new awards in exchange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surrender and cancelation of any or all outstanding awards.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454" w:right="3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780"/>
        <w:spacing w:after="0" w:line="278" w:lineRule="auto"/>
        <w:rPr>
          <w:sz w:val="20"/>
          <w:szCs w:val="20"/>
          <w:color w:val="auto"/>
        </w:rPr>
      </w:pPr>
      <w:r>
        <w:rPr>
          <w:rFonts w:ascii="Times New Roman" w:cs="Times New Roman" w:eastAsia="Times New Roman" w:hAnsi="Times New Roman"/>
          <w:sz w:val="18"/>
          <w:szCs w:val="18"/>
          <w:color w:val="auto"/>
        </w:rPr>
        <w:t>The administrator may also reduce the exercise price of options or SARs or buy an award previously granted with payment in cash, shares or other consideration, in each case, subject to the terms of the 2020 Plan.</w:t>
      </w:r>
    </w:p>
    <w:p>
      <w:pPr>
        <w:spacing w:after="0" w:line="160"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Clawback; Transferability. </w:t>
      </w:r>
      <w:r>
        <w:rPr>
          <w:rFonts w:ascii="Times New Roman" w:cs="Times New Roman" w:eastAsia="Times New Roman" w:hAnsi="Times New Roman"/>
          <w:sz w:val="18"/>
          <w:szCs w:val="18"/>
          <w:color w:val="auto"/>
        </w:rPr>
        <w:t>All awards will be subject to clawback or recoupment pursuant to any compensation clawback or recoupment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by our board of directors or required by law during the term of service of the award holder, to the extent set forth in such policy or applicable agreement. Except in limited circumstances, awards granted under our 2020 Plan may generally not be transferred in any manner prior to vesting other than by will or by the laws of descent and distribution.</w:t>
      </w:r>
    </w:p>
    <w:p>
      <w:pPr>
        <w:spacing w:after="0" w:line="180"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Our board of directors may amend our 2020 Plan at any time, subject to stockholder approval as may be required.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Plan will terminate ten years from the date our board of directors adopts the plan, unless it is terminated earlier by our board of directors. No termination or amendment of the 2020 Plan may adversely affect any then-outstanding award without the consent of the affected participant, except as is necessary to comply with applicable laws.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1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intend to adopt our 2020 Employee Stock Purchase Plan, or ESPP, that will become effective upon the effectiveness of the registration statement of which this prospectus forms a part in order to enable eligible employees to purchase shares of our common stock with accumulated payroll deductions at a discount beginning on a date to be determined by our board of directors or our compensation committee. Our ESPP is intended to qualify under Section 423 of the Code.</w:t>
      </w:r>
    </w:p>
    <w:p>
      <w:pPr>
        <w:spacing w:after="0" w:line="178" w:lineRule="exact"/>
        <w:rPr>
          <w:sz w:val="20"/>
          <w:szCs w:val="20"/>
          <w:color w:val="auto"/>
        </w:rPr>
      </w:pPr>
    </w:p>
    <w:p>
      <w:pPr>
        <w:jc w:val="both"/>
        <w:ind w:right="60"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Shares Available. </w:t>
      </w:r>
      <w:r>
        <w:rPr>
          <w:rFonts w:ascii="Times New Roman" w:cs="Times New Roman" w:eastAsia="Times New Roman" w:hAnsi="Times New Roman"/>
          <w:sz w:val="18"/>
          <w:szCs w:val="18"/>
          <w:color w:val="auto"/>
        </w:rPr>
        <w:t>We have initially reserved shares of our common stock for sale under our ESPP. The aggregate number of shares reserved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sale under our ESPP will increase automatically on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of the first ten calendar years after the first offering date by the number of shares equal to the lesser of % of the total outstanding shares of our common stock as of the immediately preceding December 31 (rounded to the nearest whole share) or a number of shares as may be determined by our board of directors in any particular year. The aggregate number of shares issued over the term of</w:t>
      </w:r>
    </w:p>
    <w:p>
      <w:pPr>
        <w:spacing w:after="0" w:line="1" w:lineRule="exact"/>
        <w:rPr>
          <w:sz w:val="20"/>
          <w:szCs w:val="20"/>
          <w:color w:val="auto"/>
        </w:rPr>
      </w:pPr>
    </w:p>
    <w:p>
      <w:pPr>
        <w:spacing w:after="0"/>
        <w:tabs>
          <w:tab w:leader="none" w:pos="6780" w:val="left"/>
        </w:tabs>
        <w:rPr>
          <w:sz w:val="20"/>
          <w:szCs w:val="20"/>
          <w:color w:val="auto"/>
        </w:rPr>
      </w:pPr>
      <w:r>
        <w:rPr>
          <w:rFonts w:ascii="Times New Roman" w:cs="Times New Roman" w:eastAsia="Times New Roman" w:hAnsi="Times New Roman"/>
          <w:sz w:val="18"/>
          <w:szCs w:val="18"/>
          <w:color w:val="auto"/>
        </w:rPr>
        <w:t>our ESPP, subject to stock-splits, recapitalizations or similar events, may not exceed</w:t>
      </w:r>
      <w:r>
        <w:rPr>
          <w:sz w:val="20"/>
          <w:szCs w:val="20"/>
          <w:color w:val="auto"/>
        </w:rPr>
        <w:tab/>
      </w:r>
      <w:r>
        <w:rPr>
          <w:rFonts w:ascii="Times New Roman" w:cs="Times New Roman" w:eastAsia="Times New Roman" w:hAnsi="Times New Roman"/>
          <w:sz w:val="17"/>
          <w:szCs w:val="17"/>
          <w:color w:val="auto"/>
        </w:rPr>
        <w:t>shares of our common stock.</w:t>
      </w:r>
    </w:p>
    <w:p>
      <w:pPr>
        <w:spacing w:after="0" w:line="200" w:lineRule="exact"/>
        <w:rPr>
          <w:sz w:val="20"/>
          <w:szCs w:val="20"/>
          <w:color w:val="auto"/>
        </w:rPr>
      </w:pPr>
    </w:p>
    <w:p>
      <w:pPr>
        <w:ind w:right="460" w:firstLine="44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ESPP is expected to be administered by our compensation committee, or by our board of directors acting in place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Among other things, the administrator will have the authority to determine eligibility for participation in the ESPP, designate separate offerings under the plan, and construe, interpret and apply the terms of the plan.</w:t>
      </w:r>
    </w:p>
    <w:p>
      <w:pPr>
        <w:spacing w:after="0" w:line="173"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eligible to participate in any offering pursuant to the ESPP generally include any employee that is employed by us or certain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designated subsidiaries at the beginning of the offering period. However, our compensation committee may determine that employees who are customarily employed for 20 hours or less per week or for five months or less in a calendar year may not be eligible to participate in the ESPP. In addition, any employee who owns (or is deemed to own as a result of attribution) 5% or more of the total combined voting power or value of all classes of our capital stock, or the capital stock of one of our qualifying subsidiaries, or who will own such amount as a result of participation in the ESPP, will not be eligible to participate in the ESPP. The compensation committee may impose additional restrictions on eligibility from time to time.</w:t>
      </w:r>
    </w:p>
    <w:p>
      <w:pPr>
        <w:spacing w:after="0" w:line="184" w:lineRule="exact"/>
        <w:rPr>
          <w:sz w:val="20"/>
          <w:szCs w:val="20"/>
          <w:color w:val="auto"/>
        </w:rPr>
      </w:pPr>
    </w:p>
    <w:p>
      <w:pPr>
        <w:ind w:right="580" w:firstLine="449"/>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Offerings. </w:t>
      </w:r>
      <w:r>
        <w:rPr>
          <w:rFonts w:ascii="Times New Roman" w:cs="Times New Roman" w:eastAsia="Times New Roman" w:hAnsi="Times New Roman"/>
          <w:sz w:val="18"/>
          <w:szCs w:val="18"/>
          <w:color w:val="auto"/>
        </w:rPr>
        <w:t>Under our ESPP, eligible employees will be offered the option to purchase shares of our common stock at a discount over a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periods. Each offering period may itself consist of one or more purchase periods. No offering period may be longer than 27 months.</w:t>
      </w:r>
    </w:p>
    <w:p>
      <w:pPr>
        <w:spacing w:after="0" w:line="159" w:lineRule="exact"/>
        <w:rPr>
          <w:sz w:val="20"/>
          <w:szCs w:val="20"/>
          <w:color w:val="auto"/>
        </w:rPr>
      </w:pPr>
    </w:p>
    <w:p>
      <w:pPr>
        <w:ind w:right="600" w:firstLine="449"/>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Participation. </w:t>
      </w:r>
      <w:r>
        <w:rPr>
          <w:rFonts w:ascii="Times New Roman" w:cs="Times New Roman" w:eastAsia="Times New Roman" w:hAnsi="Times New Roman"/>
          <w:sz w:val="18"/>
          <w:szCs w:val="18"/>
          <w:color w:val="auto"/>
        </w:rPr>
        <w:t>Participating employees will be able to purchase the offered shares of our common stock by accumulating funds through payroll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deductions. Participants may select a rate of payroll deduction between 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454" w:right="3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and 15% of their compensation. However, a participant may not purchase more than shares during any one purchase period, and may not subscribe for more than $ in fair market value of shares of our common stock (determined as of the date the offering period commences) in any calendar year in which the offering is in effect. The administrator, in its discretion, may set a lower maximum amount of shares which may be purchased.</w:t>
      </w:r>
    </w:p>
    <w:p>
      <w:pPr>
        <w:spacing w:after="0" w:line="175" w:lineRule="exact"/>
        <w:rPr>
          <w:sz w:val="20"/>
          <w:szCs w:val="20"/>
          <w:color w:val="auto"/>
        </w:rPr>
      </w:pPr>
    </w:p>
    <w:p>
      <w:pPr>
        <w:ind w:right="100" w:firstLine="449"/>
        <w:spacing w:after="0" w:line="278" w:lineRule="auto"/>
        <w:rPr>
          <w:sz w:val="20"/>
          <w:szCs w:val="20"/>
          <w:color w:val="auto"/>
        </w:rPr>
      </w:pPr>
      <w:r>
        <w:rPr>
          <w:rFonts w:ascii="Times New Roman" w:cs="Times New Roman" w:eastAsia="Times New Roman" w:hAnsi="Times New Roman"/>
          <w:sz w:val="18"/>
          <w:szCs w:val="18"/>
          <w:color w:val="auto"/>
        </w:rPr>
        <w:t>The purchase price for shares of our common stock purchased under the ESPP will be 85% of the lesser of the fair market value of our common stock on (i) the first trading day of the applicable offering period or (ii) the last trading day of each purchase period in the applicable offering period.</w:t>
      </w:r>
    </w:p>
    <w:p>
      <w:pPr>
        <w:spacing w:after="0" w:line="162"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Once an employee becomes a participant in an offering period, the participant will be automatically enrolled in each subsequent offering period at the same contribution level. A participant may reduce his or her contribution in accordance with procedures set forth by the compensation committee and may withdraw from participation in the ESPP at any time prior the end of an offering period, or such other time as may be specified by the compensation committee. Upon withdrawal, the accumulated payroll deductions will be returned to the participant without interest.</w:t>
      </w:r>
    </w:p>
    <w:p>
      <w:pPr>
        <w:spacing w:after="0" w:line="178"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Adjustments upon Recapitalization. </w:t>
      </w:r>
      <w:r>
        <w:rPr>
          <w:rFonts w:ascii="Times New Roman" w:cs="Times New Roman" w:eastAsia="Times New Roman" w:hAnsi="Times New Roman"/>
          <w:sz w:val="18"/>
          <w:szCs w:val="18"/>
          <w:color w:val="auto"/>
        </w:rPr>
        <w:t>If the number of outstanding shares of our common stock is changed by stock dividend, recapitalization,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split, reverse stock split, subdivision, combination, reclassification or similar change in our capital structure without consideration, then our compensation committee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80" w:lineRule="exact"/>
        <w:rPr>
          <w:sz w:val="20"/>
          <w:szCs w:val="20"/>
          <w:color w:val="auto"/>
        </w:rPr>
      </w:pPr>
    </w:p>
    <w:p>
      <w:pPr>
        <w:jc w:val="both"/>
        <w:ind w:right="160" w:firstLine="44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If we experience a change of control transaction, any offering period that commenced prior to the closing of the proposed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control transaction will be shortened and terminated on a new purchase date. The new purchase date will occur on or prior to the closing of the proposed change of control transaction, and our ESPP will then terminate on the closing of the proposed change of control.</w:t>
      </w:r>
    </w:p>
    <w:p>
      <w:pPr>
        <w:spacing w:after="0" w:line="173" w:lineRule="exact"/>
        <w:rPr>
          <w:sz w:val="20"/>
          <w:szCs w:val="20"/>
          <w:color w:val="auto"/>
        </w:rPr>
      </w:pPr>
    </w:p>
    <w:p>
      <w:pPr>
        <w:ind w:right="220" w:firstLine="449"/>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 participant may not assign, transfer, pledge or otherwise dispose of payroll deductions credited to his or her account, or any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regard to an election to purchase shares pursuant to the ESPP other than by will or the laws of descent or distribution.</w:t>
      </w:r>
    </w:p>
    <w:p>
      <w:pPr>
        <w:spacing w:after="0" w:line="52" w:lineRule="exact"/>
        <w:rPr>
          <w:sz w:val="20"/>
          <w:szCs w:val="20"/>
          <w:color w:val="auto"/>
        </w:rPr>
      </w:pPr>
    </w:p>
    <w:p>
      <w:pPr>
        <w:jc w:val="both"/>
        <w:ind w:right="180" w:firstLine="44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Amendment; Termination. </w:t>
      </w:r>
      <w:r>
        <w:rPr>
          <w:rFonts w:ascii="Times New Roman" w:cs="Times New Roman" w:eastAsia="Times New Roman" w:hAnsi="Times New Roman"/>
          <w:sz w:val="18"/>
          <w:szCs w:val="18"/>
          <w:color w:val="auto"/>
        </w:rPr>
        <w:t>The administrator may amend, suspend or terminate the ESPP at any time without stockholder consent, except as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law. Our ESPP will continue until the earlier to occur of (a) termination of the ESPP by our board of directors, (b) issuance of all of the shares reserved for issuance under the ESPP, or (c) the tenth anniversary of the effective date under the ESPP.</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18"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We sponsor a retirement savings plan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118" w:lineRule="exact"/>
        <w:rPr>
          <w:sz w:val="20"/>
          <w:szCs w:val="20"/>
          <w:color w:val="auto"/>
        </w:rPr>
      </w:pPr>
    </w:p>
    <w:p>
      <w:pPr>
        <w:ind w:right="140" w:firstLine="449"/>
        <w:spacing w:after="0" w:line="278"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on the same basis as our other employees, including our 401(k) plan, and health and welfare plans.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Matters</w:t>
      </w:r>
    </w:p>
    <w:p>
      <w:pPr>
        <w:spacing w:after="0" w:line="118" w:lineRule="exact"/>
        <w:rPr>
          <w:sz w:val="20"/>
          <w:szCs w:val="20"/>
          <w:color w:val="auto"/>
        </w:rPr>
      </w:pPr>
    </w:p>
    <w:p>
      <w:pPr>
        <w:ind w:right="80" w:firstLine="449"/>
        <w:spacing w:after="0" w:line="278" w:lineRule="auto"/>
        <w:rPr>
          <w:sz w:val="20"/>
          <w:szCs w:val="20"/>
          <w:color w:val="auto"/>
        </w:rPr>
      </w:pPr>
      <w:r>
        <w:rPr>
          <w:rFonts w:ascii="Times New Roman" w:cs="Times New Roman" w:eastAsia="Times New Roman" w:hAnsi="Times New Roman"/>
          <w:sz w:val="18"/>
          <w:szCs w:val="18"/>
          <w:color w:val="auto"/>
        </w:rPr>
        <w:t>Our restated certificate of incorporation that will become effective in connection with the completion of this offering contains provisions that limit the liability of our directors for monetary damages to the fullest extent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454" w:right="3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color w:val="auto"/>
        </w:rPr>
        <w:t>permitted by the Delaware General Corporation Law, or DGCL. Consequently, our directors will not be personally liable to us or our stockholders for monetary damages for any breach of fiduciary duties as directors, except liability for:</w:t>
      </w:r>
    </w:p>
    <w:p>
      <w:pPr>
        <w:spacing w:after="0" w:line="69" w:lineRule="exact"/>
        <w:rPr>
          <w:sz w:val="20"/>
          <w:szCs w:val="20"/>
          <w:color w:val="auto"/>
        </w:rPr>
      </w:pPr>
    </w:p>
    <w:p>
      <w:pPr>
        <w:ind w:left="1000" w:hanging="552"/>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1" w:lineRule="exact"/>
        <w:rPr>
          <w:sz w:val="20"/>
          <w:szCs w:val="20"/>
          <w:color w:val="auto"/>
        </w:rPr>
      </w:pPr>
    </w:p>
    <w:p>
      <w:pPr>
        <w:jc w:val="both"/>
        <w:ind w:right="140" w:firstLine="449"/>
        <w:spacing w:after="0" w:line="263"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that will become effective in connection with the completion of this offering require us to indemnify our directors and officers to the maximum extent not prohibited by the DGCL and allow us to indemnify other employees and agents as set forth in the DGCL.</w:t>
      </w:r>
    </w:p>
    <w:p>
      <w:pPr>
        <w:spacing w:after="0" w:line="175"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84" w:lineRule="exact"/>
        <w:rPr>
          <w:sz w:val="20"/>
          <w:szCs w:val="20"/>
          <w:color w:val="auto"/>
        </w:rPr>
      </w:pPr>
    </w:p>
    <w:p>
      <w:pPr>
        <w:ind w:firstLine="449"/>
        <w:spacing w:after="0" w:line="278" w:lineRule="auto"/>
        <w:rPr>
          <w:sz w:val="20"/>
          <w:szCs w:val="20"/>
          <w:color w:val="auto"/>
        </w:rPr>
      </w:pPr>
      <w:r>
        <w:rPr>
          <w:rFonts w:ascii="Times New Roman" w:cs="Times New Roman" w:eastAsia="Times New Roman" w:hAnsi="Times New Roman"/>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62"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4" w:lineRule="exact"/>
        <w:rPr>
          <w:sz w:val="20"/>
          <w:szCs w:val="20"/>
          <w:color w:val="auto"/>
        </w:rPr>
      </w:pPr>
    </w:p>
    <w:p>
      <w:pPr>
        <w:ind w:right="160" w:firstLine="449"/>
        <w:spacing w:after="0" w:line="278"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62" w:lineRule="exact"/>
        <w:rPr>
          <w:sz w:val="20"/>
          <w:szCs w:val="20"/>
          <w:color w:val="auto"/>
        </w:rPr>
      </w:pPr>
    </w:p>
    <w:p>
      <w:pPr>
        <w:ind w:right="40" w:firstLine="449"/>
        <w:spacing w:after="0" w:line="26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20"/>
          </w:cols>
          <w:pgMar w:left="320" w:top="454" w:right="3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right="500" w:firstLine="449"/>
        <w:spacing w:after="0" w:line="263"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with our directors and executive officers, including those discussed in the sections entitled “Management” and “Executive Compensation,” the following is a description of each transaction since January 1, 2017 and each currently proposed transaction in which:</w:t>
      </w:r>
    </w:p>
    <w:p>
      <w:pPr>
        <w:spacing w:after="0" w:line="202" w:lineRule="exact"/>
        <w:rPr>
          <w:sz w:val="20"/>
          <w:szCs w:val="20"/>
          <w:color w:val="auto"/>
        </w:rPr>
      </w:pPr>
    </w:p>
    <w:p>
      <w:pPr>
        <w:ind w:left="1000" w:hanging="552"/>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24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and 1% of our total assets; and</w:t>
      </w:r>
    </w:p>
    <w:p>
      <w:pPr>
        <w:spacing w:after="0" w:line="247" w:lineRule="exact"/>
        <w:rPr>
          <w:rFonts w:ascii="Times New Roman" w:cs="Times New Roman" w:eastAsia="Times New Roman" w:hAnsi="Times New Roman"/>
          <w:sz w:val="18"/>
          <w:szCs w:val="18"/>
          <w:color w:val="auto"/>
        </w:rPr>
      </w:pPr>
    </w:p>
    <w:p>
      <w:pPr>
        <w:ind w:left="1000" w:right="440" w:hanging="552"/>
        <w:spacing w:after="0" w:line="278"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 affiliate or immediate family member of the foregoing persons, had or will have a direct or indirect material interest.</w:t>
      </w:r>
    </w:p>
    <w:p>
      <w:pPr>
        <w:spacing w:after="0" w:line="162" w:lineRule="exact"/>
        <w:rPr>
          <w:sz w:val="20"/>
          <w:szCs w:val="20"/>
          <w:color w:val="auto"/>
        </w:rPr>
      </w:pPr>
    </w:p>
    <w:p>
      <w:pPr>
        <w:ind w:right="360" w:firstLine="449"/>
        <w:spacing w:after="0" w:line="263" w:lineRule="auto"/>
        <w:rPr>
          <w:sz w:val="20"/>
          <w:szCs w:val="20"/>
          <w:color w:val="auto"/>
        </w:rPr>
      </w:pPr>
      <w:r>
        <w:rPr>
          <w:rFonts w:ascii="Times New Roman" w:cs="Times New Roman" w:eastAsia="Times New Roman" w:hAnsi="Times New Roman"/>
          <w:sz w:val="18"/>
          <w:szCs w:val="18"/>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entitled “Executive Compensation.”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 Financing</w:t>
      </w:r>
    </w:p>
    <w:p>
      <w:pPr>
        <w:spacing w:after="0" w:line="118"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In two closings in October 2017 and August 2018, we sold an aggregate of 11,042,404 shares of our Series A convertible preferred stock at a purchase price of $2.7168 per share for an aggregate purchase price of approximately $30.0 million. In addition, holders of our then-outstanding preferred stock prior to the Series A convertible preferred stock financing, such preferred stock referred to as the 2016 Preferred Stock, converted their shares of 2016 Preferred Stock to an aggregate of 2,531,604 shares of our Series A convertible preferred stock. Each share of our Series A convertible preferred stock will convert automatically into one share of our common stock or our non-voting common stock, as applicable, upon the completion of this offering.</w:t>
      </w:r>
    </w:p>
    <w:p>
      <w:pPr>
        <w:spacing w:after="0" w:line="184" w:lineRule="exact"/>
        <w:rPr>
          <w:sz w:val="20"/>
          <w:szCs w:val="20"/>
          <w:color w:val="auto"/>
        </w:rPr>
      </w:pPr>
    </w:p>
    <w:p>
      <w:pPr>
        <w:ind w:firstLine="449"/>
        <w:spacing w:after="0" w:line="277" w:lineRule="auto"/>
        <w:rPr>
          <w:sz w:val="20"/>
          <w:szCs w:val="20"/>
          <w:color w:val="auto"/>
        </w:rPr>
      </w:pPr>
      <w:r>
        <w:rPr>
          <w:rFonts w:ascii="Times New Roman" w:cs="Times New Roman" w:eastAsia="Times New Roman" w:hAnsi="Times New Roman"/>
          <w:sz w:val="17"/>
          <w:szCs w:val="17"/>
          <w:color w:val="auto"/>
        </w:rPr>
        <w:t>The purchasers of our Series A convertible preferred stock are entitled to specified registration rights. For additional information, see “Description of Capital Stock — Registration Rights.” The following table summarizes the Series A convertible preferred stock purchased by members of our board of directors or their affiliates and holders of more than 5% of our outstanding capital stock. The terms of these purchases were the same for all purchasers of our Series A convertible preferred stock. Please refer to the section titled “Principal Stockholders” for more details regarding the shares held by these entities.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4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Total Shares of</w:t>
            </w: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80" w:type="dxa"/>
            <w:vAlign w:val="bottom"/>
            <w:gridSpan w:val="2"/>
          </w:tcPr>
          <w:p>
            <w:pPr>
              <w:jc w:val="center"/>
              <w:ind w:right="724"/>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20" w:type="dxa"/>
            <w:vAlign w:val="bottom"/>
            <w:gridSpan w:val="2"/>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w w:val="98"/>
              </w:rPr>
              <w:t>Converted Shares</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80" w:type="dxa"/>
            <w:vAlign w:val="bottom"/>
            <w:gridSpan w:val="2"/>
          </w:tcPr>
          <w:p>
            <w:pPr>
              <w:jc w:val="center"/>
              <w:ind w:right="724"/>
              <w:spacing w:after="0"/>
              <w:rPr>
                <w:sz w:val="20"/>
                <w:szCs w:val="20"/>
                <w:color w:val="auto"/>
              </w:rPr>
            </w:pPr>
            <w:r>
              <w:rPr>
                <w:rFonts w:ascii="Times New Roman" w:cs="Times New Roman" w:eastAsia="Times New Roman" w:hAnsi="Times New Roman"/>
                <w:sz w:val="16"/>
                <w:szCs w:val="16"/>
                <w:b w:val="1"/>
                <w:bCs w:val="1"/>
                <w:color w:val="auto"/>
                <w:w w:val="99"/>
              </w:rPr>
              <w:t>Shares of Series</w:t>
            </w: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20" w:type="dxa"/>
            <w:vAlign w:val="bottom"/>
            <w:gridSpan w:val="2"/>
          </w:tcPr>
          <w:p>
            <w:pPr>
              <w:jc w:val="center"/>
              <w:ind w:right="724"/>
              <w:spacing w:after="0"/>
              <w:rPr>
                <w:sz w:val="20"/>
                <w:szCs w:val="20"/>
                <w:color w:val="auto"/>
              </w:rPr>
            </w:pPr>
            <w:r>
              <w:rPr>
                <w:rFonts w:ascii="Times New Roman" w:cs="Times New Roman" w:eastAsia="Times New Roman" w:hAnsi="Times New Roman"/>
                <w:sz w:val="16"/>
                <w:szCs w:val="16"/>
                <w:b w:val="1"/>
                <w:bCs w:val="1"/>
                <w:color w:val="auto"/>
              </w:rPr>
              <w:t>of Series A</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0" w:type="dxa"/>
            <w:vAlign w:val="bottom"/>
          </w:tcPr>
          <w:p>
            <w:pPr>
              <w:spacing w:after="0"/>
              <w:rPr>
                <w:sz w:val="1"/>
                <w:szCs w:val="1"/>
                <w:color w:val="auto"/>
              </w:rPr>
            </w:pPr>
          </w:p>
        </w:tc>
      </w:tr>
      <w:tr>
        <w:trPr>
          <w:trHeight w:val="201"/>
        </w:trPr>
        <w:tc>
          <w:tcPr>
            <w:tcW w:w="1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Name of Stockholder</w:t>
            </w:r>
          </w:p>
        </w:tc>
        <w:tc>
          <w:tcPr>
            <w:tcW w:w="3140" w:type="dxa"/>
            <w:vAlign w:val="bottom"/>
            <w:vMerge w:val="restart"/>
          </w:tcPr>
          <w:p>
            <w:pPr>
              <w:spacing w:after="0"/>
              <w:rPr>
                <w:sz w:val="17"/>
                <w:szCs w:val="17"/>
                <w:color w:val="auto"/>
              </w:rPr>
            </w:pPr>
          </w:p>
        </w:tc>
        <w:tc>
          <w:tcPr>
            <w:tcW w:w="1880" w:type="dxa"/>
            <w:vAlign w:val="bottom"/>
            <w:gridSpan w:val="2"/>
          </w:tcPr>
          <w:p>
            <w:pPr>
              <w:jc w:val="center"/>
              <w:ind w:right="724"/>
              <w:spacing w:after="0"/>
              <w:rPr>
                <w:sz w:val="20"/>
                <w:szCs w:val="20"/>
                <w:color w:val="auto"/>
              </w:rPr>
            </w:pPr>
            <w:r>
              <w:rPr>
                <w:rFonts w:ascii="Times New Roman" w:cs="Times New Roman" w:eastAsia="Times New Roman" w:hAnsi="Times New Roman"/>
                <w:sz w:val="16"/>
                <w:szCs w:val="16"/>
                <w:b w:val="1"/>
                <w:bCs w:val="1"/>
                <w:color w:val="auto"/>
                <w:w w:val="99"/>
              </w:rPr>
              <w:t>A Convertible</w:t>
            </w: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w w:val="96"/>
              </w:rPr>
              <w:t>Total Purchase</w:t>
            </w:r>
          </w:p>
        </w:tc>
        <w:tc>
          <w:tcPr>
            <w:tcW w:w="2020" w:type="dxa"/>
            <w:vAlign w:val="bottom"/>
            <w:gridSpan w:val="2"/>
          </w:tcPr>
          <w:p>
            <w:pPr>
              <w:jc w:val="center"/>
              <w:ind w:right="724"/>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auto"/>
            </w:tcBorders>
            <w:vMerge w:val="continue"/>
          </w:tcPr>
          <w:p>
            <w:pPr>
              <w:spacing w:after="0"/>
              <w:rPr>
                <w:sz w:val="19"/>
                <w:szCs w:val="19"/>
                <w:color w:val="auto"/>
              </w:rPr>
            </w:pPr>
          </w:p>
        </w:tc>
        <w:tc>
          <w:tcPr>
            <w:tcW w:w="3140" w:type="dxa"/>
            <w:vAlign w:val="bottom"/>
            <w:vMerge w:val="continue"/>
          </w:tcPr>
          <w:p>
            <w:pPr>
              <w:spacing w:after="0"/>
              <w:rPr>
                <w:sz w:val="19"/>
                <w:szCs w:val="19"/>
                <w:color w:val="auto"/>
              </w:rPr>
            </w:pPr>
          </w:p>
        </w:tc>
        <w:tc>
          <w:tcPr>
            <w:tcW w:w="1880" w:type="dxa"/>
            <w:vAlign w:val="bottom"/>
            <w:gridSpan w:val="2"/>
          </w:tcPr>
          <w:p>
            <w:pPr>
              <w:jc w:val="center"/>
              <w:ind w:right="724"/>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2020" w:type="dxa"/>
            <w:vAlign w:val="bottom"/>
            <w:gridSpan w:val="2"/>
          </w:tcPr>
          <w:p>
            <w:pPr>
              <w:jc w:val="center"/>
              <w:ind w:right="704"/>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0" w:type="dxa"/>
            <w:vAlign w:val="bottom"/>
          </w:tcPr>
          <w:p>
            <w:pPr>
              <w:spacing w:after="0"/>
              <w:rPr>
                <w:sz w:val="1"/>
                <w:szCs w:val="1"/>
                <w:color w:val="auto"/>
              </w:rPr>
            </w:pPr>
          </w:p>
        </w:tc>
      </w:tr>
      <w:tr>
        <w:trPr>
          <w:trHeight w:val="201"/>
        </w:trPr>
        <w:tc>
          <w:tcPr>
            <w:tcW w:w="46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Entities affiliated with Baker Brothers</w:t>
            </w:r>
          </w:p>
        </w:tc>
        <w:tc>
          <w:tcPr>
            <w:tcW w:w="11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5,337,162</w:t>
            </w:r>
          </w:p>
        </w:tc>
        <w:tc>
          <w:tcPr>
            <w:tcW w:w="780" w:type="dxa"/>
            <w:vAlign w:val="bottom"/>
            <w:tcBorders>
              <w:top w:val="single" w:sz="8" w:color="CCEEFF"/>
            </w:tcBorders>
            <w:shd w:val="clear" w:color="auto" w:fill="CCEEFF"/>
          </w:tcPr>
          <w:p>
            <w:pPr>
              <w:jc w:val="right"/>
              <w:ind w:right="544"/>
              <w:spacing w:after="0"/>
              <w:rPr>
                <w:sz w:val="20"/>
                <w:szCs w:val="20"/>
                <w:color w:val="auto"/>
              </w:rPr>
            </w:pPr>
            <w:r>
              <w:rPr>
                <w:rFonts w:ascii="Times New Roman" w:cs="Times New Roman" w:eastAsia="Times New Roman" w:hAnsi="Times New Roman"/>
                <w:sz w:val="15"/>
                <w:szCs w:val="15"/>
                <w:color w:val="auto"/>
                <w:w w:val="79"/>
              </w:rPr>
              <w:t>(1)</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14,500,001</w:t>
            </w:r>
          </w:p>
        </w:tc>
        <w:tc>
          <w:tcPr>
            <w:tcW w:w="6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1,014,003</w:t>
            </w:r>
          </w:p>
        </w:tc>
        <w:tc>
          <w:tcPr>
            <w:tcW w:w="800" w:type="dxa"/>
            <w:vAlign w:val="bottom"/>
            <w:tcBorders>
              <w:top w:val="single" w:sz="8" w:color="CCEEFF"/>
            </w:tcBorders>
            <w:shd w:val="clear" w:color="auto" w:fill="CCEEFF"/>
          </w:tcPr>
          <w:p>
            <w:pPr>
              <w:jc w:val="right"/>
              <w:ind w:right="544"/>
              <w:spacing w:after="0"/>
              <w:rPr>
                <w:sz w:val="20"/>
                <w:szCs w:val="20"/>
                <w:color w:val="auto"/>
              </w:rPr>
            </w:pPr>
            <w:r>
              <w:rPr>
                <w:rFonts w:ascii="Times New Roman" w:cs="Times New Roman" w:eastAsia="Times New Roman" w:hAnsi="Times New Roman"/>
                <w:sz w:val="15"/>
                <w:szCs w:val="15"/>
                <w:color w:val="auto"/>
                <w:w w:val="91"/>
              </w:rPr>
              <w:t>(2)</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6,351,165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Paul A. Friedman </w:t>
            </w:r>
            <w:r>
              <w:rPr>
                <w:rFonts w:ascii="Times New Roman" w:cs="Times New Roman" w:eastAsia="Times New Roman" w:hAnsi="Times New Roman"/>
                <w:sz w:val="15"/>
                <w:szCs w:val="15"/>
                <w:color w:val="auto"/>
              </w:rPr>
              <w:t>(3)</w:t>
            </w:r>
          </w:p>
        </w:tc>
        <w:tc>
          <w:tcPr>
            <w:tcW w:w="1880" w:type="dxa"/>
            <w:vAlign w:val="bottom"/>
            <w:gridSpan w:val="2"/>
          </w:tcPr>
          <w:p>
            <w:pPr>
              <w:jc w:val="right"/>
              <w:ind w:right="704"/>
              <w:spacing w:after="0"/>
              <w:rPr>
                <w:sz w:val="20"/>
                <w:szCs w:val="20"/>
                <w:color w:val="auto"/>
              </w:rPr>
            </w:pPr>
            <w:r>
              <w:rPr>
                <w:rFonts w:ascii="Times New Roman" w:cs="Times New Roman" w:eastAsia="Times New Roman" w:hAnsi="Times New Roman"/>
                <w:sz w:val="18"/>
                <w:szCs w:val="18"/>
                <w:color w:val="auto"/>
              </w:rPr>
              <w:t>92,020</w:t>
            </w: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249,999</w:t>
            </w:r>
          </w:p>
        </w:tc>
        <w:tc>
          <w:tcPr>
            <w:tcW w:w="2020" w:type="dxa"/>
            <w:vAlign w:val="bottom"/>
            <w:gridSpan w:val="2"/>
          </w:tcPr>
          <w:p>
            <w:pPr>
              <w:jc w:val="right"/>
              <w:ind w:right="724"/>
              <w:spacing w:after="0"/>
              <w:rPr>
                <w:sz w:val="20"/>
                <w:szCs w:val="20"/>
                <w:color w:val="auto"/>
              </w:rPr>
            </w:pPr>
            <w:r>
              <w:rPr>
                <w:rFonts w:ascii="Times New Roman" w:cs="Times New Roman" w:eastAsia="Times New Roman" w:hAnsi="Times New Roman"/>
                <w:sz w:val="18"/>
                <w:szCs w:val="18"/>
                <w:color w:val="auto"/>
              </w:rPr>
              <w:t>250,097</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342,117</w:t>
            </w:r>
          </w:p>
        </w:tc>
        <w:tc>
          <w:tcPr>
            <w:tcW w:w="0" w:type="dxa"/>
            <w:vAlign w:val="bottom"/>
          </w:tcPr>
          <w:p>
            <w:pPr>
              <w:spacing w:after="0"/>
              <w:rPr>
                <w:sz w:val="1"/>
                <w:szCs w:val="1"/>
                <w:color w:val="auto"/>
              </w:rPr>
            </w:pPr>
          </w:p>
        </w:tc>
      </w:tr>
      <w:tr>
        <w:trPr>
          <w:trHeight w:val="214"/>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OrbiMed Private Investments VI, LP</w:t>
            </w:r>
            <w:r>
              <w:rPr>
                <w:rFonts w:ascii="Times New Roman" w:cs="Times New Roman" w:eastAsia="Times New Roman" w:hAnsi="Times New Roman"/>
                <w:sz w:val="15"/>
                <w:szCs w:val="15"/>
                <w:color w:val="auto"/>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5,337,162</w:t>
            </w:r>
          </w:p>
        </w:tc>
        <w:tc>
          <w:tcPr>
            <w:tcW w:w="7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14,500,001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1,014,004</w:t>
            </w:r>
          </w:p>
        </w:tc>
        <w:tc>
          <w:tcPr>
            <w:tcW w:w="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6,351,166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810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149" w:lineRule="exact"/>
        <w:rPr>
          <w:sz w:val="20"/>
          <w:szCs w:val="20"/>
          <w:color w:val="auto"/>
        </w:rPr>
      </w:pPr>
    </w:p>
    <w:p>
      <w:pPr>
        <w:ind w:left="440" w:right="120" w:hanging="433"/>
        <w:spacing w:after="0" w:line="252" w:lineRule="auto"/>
        <w:tabs>
          <w:tab w:leader="none" w:pos="4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4,803,435 shares of Series A Preferred Stock purchased by Baker Brothers Life Sciences L.P., or Life Sciences, and 533,7270 shares of Series A Preferred Stock purchased by 667, L.P., or 667, and together with Life Sciences, the Baker Funds. The Baker Funds collectively hold more than 5% of our outstanding capital stock. Baker Bros. Advisors LP, or the Adviser, is the investment adviser to the Baker Funds and has complete and unlimited discretion and authority with respect to their investments and voting power over investments. Kelvin Neu, a member of our board of directors, is an employee of the Adviser, but does not have any right to the securities held by the Baker Funds.</w:t>
      </w:r>
    </w:p>
    <w:p>
      <w:pPr>
        <w:spacing w:after="0" w:line="2" w:lineRule="exact"/>
        <w:rPr>
          <w:rFonts w:ascii="Times New Roman" w:cs="Times New Roman" w:eastAsia="Times New Roman" w:hAnsi="Times New Roman"/>
          <w:sz w:val="18"/>
          <w:szCs w:val="18"/>
          <w:color w:val="auto"/>
        </w:rPr>
      </w:pPr>
    </w:p>
    <w:p>
      <w:pPr>
        <w:ind w:left="440" w:right="40" w:hanging="433"/>
        <w:spacing w:after="0" w:line="256" w:lineRule="auto"/>
        <w:tabs>
          <w:tab w:leader="none" w:pos="4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912,603 shares of Series A Preferred Stock converted from 2016 Preferred Stock and held by Life Sciences and 101,400 shares of Series A Preferred Stock converted from 2016 Preferred Stock and held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454" w:right="3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left="440" w:right="160"/>
        <w:spacing w:after="0" w:line="255" w:lineRule="auto"/>
        <w:rPr>
          <w:sz w:val="20"/>
          <w:szCs w:val="20"/>
          <w:color w:val="auto"/>
        </w:rPr>
      </w:pPr>
      <w:r>
        <w:rPr>
          <w:rFonts w:ascii="Times New Roman" w:cs="Times New Roman" w:eastAsia="Times New Roman" w:hAnsi="Times New Roman"/>
          <w:sz w:val="18"/>
          <w:szCs w:val="18"/>
          <w:color w:val="auto"/>
        </w:rPr>
        <w:t>by 667. The Baker Funds collectively hold more than 5% of our outstanding capital stock. The Adviser is the investment adviser to the Baker Funds and has complete and unlimited discretion and authority with respect to their investments and voting power over investments. Kelvin Neu, a member of our board of directors, is an employee of the Adviser but does not have any right to the securities held by the Baker Funds.</w:t>
      </w:r>
    </w:p>
    <w:p>
      <w:pPr>
        <w:spacing w:after="0" w:line="1" w:lineRule="exact"/>
        <w:rPr>
          <w:sz w:val="20"/>
          <w:szCs w:val="20"/>
          <w:color w:val="auto"/>
        </w:rPr>
      </w:pPr>
    </w:p>
    <w:p>
      <w:pPr>
        <w:ind w:left="440" w:hanging="433"/>
        <w:spacing w:after="0"/>
        <w:tabs>
          <w:tab w:leader="none" w:pos="4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A. Friedman is a member of our board of directors.</w:t>
      </w:r>
    </w:p>
    <w:p>
      <w:pPr>
        <w:spacing w:after="0" w:line="6" w:lineRule="exact"/>
        <w:rPr>
          <w:rFonts w:ascii="Times New Roman" w:cs="Times New Roman" w:eastAsia="Times New Roman" w:hAnsi="Times New Roman"/>
          <w:sz w:val="18"/>
          <w:szCs w:val="18"/>
          <w:color w:val="auto"/>
        </w:rPr>
      </w:pPr>
    </w:p>
    <w:p>
      <w:pPr>
        <w:ind w:left="440" w:right="20" w:hanging="433"/>
        <w:spacing w:after="0" w:line="250" w:lineRule="auto"/>
        <w:tabs>
          <w:tab w:leader="none" w:pos="4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OrbiMed Private Investments VI, LP, or OPI VI, holds more than 5% of our outstanding capital stock. OrbiMed Capital GP VI LLC, or OrbiMed GP VI, is the general partner of OPI VI and OrbiMed Advisors LLC, or OrbiMed Advisors, a registered investment adviser under the Investment Advisors Act of 1940, as amended, is the managing member of OrbiMed GP VI. David A. Bonita, a member of our board of directors, is a member of OrbiMed Advisors.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Convertible Preferred Stock Financing</w:t>
      </w:r>
    </w:p>
    <w:p>
      <w:pPr>
        <w:spacing w:after="0" w:line="118" w:lineRule="exact"/>
        <w:rPr>
          <w:sz w:val="20"/>
          <w:szCs w:val="20"/>
          <w:color w:val="auto"/>
        </w:rPr>
      </w:pPr>
    </w:p>
    <w:p>
      <w:pPr>
        <w:ind w:right="60" w:firstLine="449"/>
        <w:spacing w:after="0" w:line="263" w:lineRule="auto"/>
        <w:rPr>
          <w:sz w:val="20"/>
          <w:szCs w:val="20"/>
          <w:color w:val="auto"/>
        </w:rPr>
      </w:pPr>
      <w:r>
        <w:rPr>
          <w:rFonts w:ascii="Times New Roman" w:cs="Times New Roman" w:eastAsia="Times New Roman" w:hAnsi="Times New Roman"/>
          <w:sz w:val="18"/>
          <w:szCs w:val="18"/>
          <w:color w:val="auto"/>
        </w:rPr>
        <w:t>In two closings in May 2019 and March 2020, we sold an aggregate of 17,647,058 shares of our Series B convertible preferred stock at a purchase price of $3.400 per share for an aggregate purchase price of approximately $60.0 million. Each share of our Series B convertible preferred stock will convert automatically into one share of our common stock or our non-voting common stock, as applicable, upon the completion of this offering.</w:t>
      </w:r>
    </w:p>
    <w:p>
      <w:pPr>
        <w:spacing w:after="0" w:line="175" w:lineRule="exact"/>
        <w:rPr>
          <w:sz w:val="20"/>
          <w:szCs w:val="20"/>
          <w:color w:val="auto"/>
        </w:rPr>
      </w:pPr>
    </w:p>
    <w:p>
      <w:pPr>
        <w:ind w:firstLine="449"/>
        <w:spacing w:after="0" w:line="278" w:lineRule="auto"/>
        <w:rPr>
          <w:sz w:val="20"/>
          <w:szCs w:val="20"/>
          <w:color w:val="auto"/>
        </w:rPr>
      </w:pPr>
      <w:r>
        <w:rPr>
          <w:rFonts w:ascii="Times New Roman" w:cs="Times New Roman" w:eastAsia="Times New Roman" w:hAnsi="Times New Roman"/>
          <w:sz w:val="17"/>
          <w:szCs w:val="17"/>
          <w:color w:val="auto"/>
        </w:rPr>
        <w:t>The purchasers of our Series B convertible preferred stock are entitled to specified registration rights. For additional information, see “Description of Capital Stock — Registration Rights.” The following table summarizes the Series B convertible preferred stock purchased by members of our board of directors or their affiliates and holders of more than 5% of our outstanding capital stock. The terms of these purchases were the same for all purchasers of our Series B convertible preferred stock. Please refer to the section titled “Principal Stockholders” for more details regarding the shares held by these entities.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Shares of Series B</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Purchase</w:t>
            </w:r>
          </w:p>
        </w:tc>
        <w:tc>
          <w:tcPr>
            <w:tcW w:w="0" w:type="dxa"/>
            <w:vAlign w:val="bottom"/>
          </w:tcPr>
          <w:p>
            <w:pPr>
              <w:spacing w:after="0"/>
              <w:rPr>
                <w:sz w:val="1"/>
                <w:szCs w:val="1"/>
                <w:color w:val="auto"/>
              </w:rPr>
            </w:pPr>
          </w:p>
        </w:tc>
      </w:tr>
      <w:tr>
        <w:trPr>
          <w:trHeight w:val="147"/>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7340" w:type="dxa"/>
            <w:vAlign w:val="bottom"/>
            <w:vMerge w:val="restart"/>
          </w:tcPr>
          <w:p>
            <w:pPr>
              <w:spacing w:after="0"/>
              <w:rPr>
                <w:sz w:val="12"/>
                <w:szCs w:val="12"/>
                <w:color w:val="auto"/>
              </w:rPr>
            </w:pPr>
          </w:p>
        </w:tc>
        <w:tc>
          <w:tcPr>
            <w:tcW w:w="1620" w:type="dxa"/>
            <w:vAlign w:val="bottom"/>
            <w:gridSpan w:val="2"/>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7340" w:type="dxa"/>
            <w:vAlign w:val="bottom"/>
            <w:vMerge w:val="continue"/>
          </w:tcPr>
          <w:p>
            <w:pPr>
              <w:spacing w:after="0"/>
              <w:rPr>
                <w:sz w:val="15"/>
                <w:szCs w:val="15"/>
                <w:color w:val="auto"/>
              </w:rPr>
            </w:pPr>
          </w:p>
        </w:tc>
        <w:tc>
          <w:tcPr>
            <w:tcW w:w="1620" w:type="dxa"/>
            <w:vAlign w:val="bottom"/>
            <w:gridSpan w:val="2"/>
          </w:tcPr>
          <w:p>
            <w:pPr>
              <w:jc w:val="center"/>
              <w:ind w:right="500"/>
              <w:spacing w:after="0" w:line="15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98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1"/>
        </w:trPr>
        <w:tc>
          <w:tcPr>
            <w:tcW w:w="864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 xml:space="preserve">Entities affiliated with Baker Brothers </w:t>
            </w:r>
            <w:r>
              <w:rPr>
                <w:rFonts w:ascii="Times New Roman" w:cs="Times New Roman" w:eastAsia="Times New Roman" w:hAnsi="Times New Roman"/>
                <w:sz w:val="15"/>
                <w:szCs w:val="15"/>
                <w:color w:val="auto"/>
              </w:rPr>
              <w:t>(1)</w:t>
            </w:r>
          </w:p>
        </w:tc>
        <w:tc>
          <w:tcPr>
            <w:tcW w:w="11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8,516,792</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28,957,093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Paul A. Friedman </w:t>
            </w:r>
            <w:r>
              <w:rPr>
                <w:rFonts w:ascii="Times New Roman" w:cs="Times New Roman" w:eastAsia="Times New Roman" w:hAnsi="Times New Roman"/>
                <w:sz w:val="15"/>
                <w:szCs w:val="15"/>
                <w:color w:val="auto"/>
              </w:rPr>
              <w:t>(2)</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176,470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599,998</w:t>
            </w:r>
          </w:p>
        </w:tc>
        <w:tc>
          <w:tcPr>
            <w:tcW w:w="0" w:type="dxa"/>
            <w:vAlign w:val="bottom"/>
          </w:tcPr>
          <w:p>
            <w:pPr>
              <w:spacing w:after="0"/>
              <w:rPr>
                <w:sz w:val="1"/>
                <w:szCs w:val="1"/>
                <w:color w:val="auto"/>
              </w:rPr>
            </w:pPr>
          </w:p>
        </w:tc>
      </w:tr>
      <w:tr>
        <w:trPr>
          <w:trHeight w:val="214"/>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OrbiMed Private Investments VI, LP </w:t>
            </w:r>
            <w:r>
              <w:rPr>
                <w:rFonts w:ascii="Times New Roman" w:cs="Times New Roman" w:eastAsia="Times New Roman" w:hAnsi="Times New Roman"/>
                <w:sz w:val="15"/>
                <w:szCs w:val="15"/>
                <w:color w:val="auto"/>
              </w:rPr>
              <w:t>(3)</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8,516,792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28,957,093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810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149" w:lineRule="exact"/>
        <w:rPr>
          <w:sz w:val="20"/>
          <w:szCs w:val="20"/>
          <w:color w:val="auto"/>
        </w:rPr>
      </w:pPr>
    </w:p>
    <w:p>
      <w:pPr>
        <w:ind w:left="440" w:right="140" w:hanging="433"/>
        <w:spacing w:after="0" w:line="253" w:lineRule="auto"/>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7,802,492 shares of Series B Preferred Stock purchased by Life Sciences and 714,300 shares of Series B Preferred Stock purchased by 667. The Baker Funds collectively hold more than 5% of our outstanding capital stock. The Adviser is the investment adviser to the Baker Funds and has complete and unlimited discretion and authority with respect to their investments and voting power over investments. Kelvin Neu, a member of our board of directors, is an employee of the Adviser but does not have any right to the securities held by the Baker Funds.</w:t>
      </w:r>
    </w:p>
    <w:p>
      <w:pPr>
        <w:spacing w:after="0" w:line="2"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A. Friedman is a member of our board of directors.</w:t>
      </w:r>
    </w:p>
    <w:p>
      <w:pPr>
        <w:spacing w:after="0" w:line="6" w:lineRule="exact"/>
        <w:rPr>
          <w:rFonts w:ascii="Times New Roman" w:cs="Times New Roman" w:eastAsia="Times New Roman" w:hAnsi="Times New Roman"/>
          <w:sz w:val="18"/>
          <w:szCs w:val="18"/>
          <w:color w:val="auto"/>
        </w:rPr>
      </w:pPr>
    </w:p>
    <w:p>
      <w:pPr>
        <w:ind w:left="440" w:right="100" w:hanging="433"/>
        <w:spacing w:after="0" w:line="256" w:lineRule="auto"/>
        <w:tabs>
          <w:tab w:leader="none" w:pos="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 VI holds more than 5% of our outstanding capital stock. OrbiMed GP VI is the general partner of OPI VI and OrbiMed Advisors is the managing member of OrbiMed GP VI. David A. Bonita, a member of our board of directors, is a member of OrbiMed Advisors.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C Convertible Preferred Stock Financing</w:t>
      </w:r>
    </w:p>
    <w:p>
      <w:pPr>
        <w:spacing w:after="0" w:line="118" w:lineRule="exact"/>
        <w:rPr>
          <w:sz w:val="20"/>
          <w:szCs w:val="20"/>
          <w:color w:val="auto"/>
        </w:rPr>
      </w:pPr>
    </w:p>
    <w:p>
      <w:pPr>
        <w:jc w:val="both"/>
        <w:ind w:right="80" w:firstLine="449"/>
        <w:spacing w:after="0" w:line="263" w:lineRule="auto"/>
        <w:rPr>
          <w:sz w:val="20"/>
          <w:szCs w:val="20"/>
          <w:color w:val="auto"/>
        </w:rPr>
      </w:pPr>
      <w:r>
        <w:rPr>
          <w:rFonts w:ascii="Times New Roman" w:cs="Times New Roman" w:eastAsia="Times New Roman" w:hAnsi="Times New Roman"/>
          <w:sz w:val="18"/>
          <w:szCs w:val="18"/>
          <w:color w:val="auto"/>
        </w:rPr>
        <w:t>In August 2020, we sold an aggregate of 3,982,887 shares of our Series C convertible preferred stock at a purchase price of $12.5537 per share for an aggregate purchase price of approximately $50.0 million. Each share of our Series C convertible preferred stock will convert automatically into one share of our common stock or our non-voting common stock, as applicable, upon the completion of this offering.</w:t>
      </w:r>
    </w:p>
    <w:p>
      <w:pPr>
        <w:spacing w:after="0" w:line="175" w:lineRule="exact"/>
        <w:rPr>
          <w:sz w:val="20"/>
          <w:szCs w:val="20"/>
          <w:color w:val="auto"/>
        </w:rPr>
      </w:pPr>
    </w:p>
    <w:p>
      <w:pPr>
        <w:ind w:right="160" w:firstLine="449"/>
        <w:spacing w:after="0" w:line="278" w:lineRule="auto"/>
        <w:rPr>
          <w:sz w:val="20"/>
          <w:szCs w:val="20"/>
          <w:color w:val="auto"/>
        </w:rPr>
      </w:pPr>
      <w:r>
        <w:rPr>
          <w:rFonts w:ascii="Times New Roman" w:cs="Times New Roman" w:eastAsia="Times New Roman" w:hAnsi="Times New Roman"/>
          <w:sz w:val="18"/>
          <w:szCs w:val="18"/>
          <w:color w:val="auto"/>
        </w:rPr>
        <w:t>The purchasers of our Series C convertible preferred stock are entitled to specified registration rights. For additional information, see “Description of Capital Stock — Registration Rights.” The following table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454" w:right="3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summarizes the Series C convertible preferred stock purchased by members of our board of directors or their affiliates and holders of more than 5% of our outstanding capital stock. The terms of these purchases were the same for all purchasers of our Series C convertible preferred stock. Please refer to the section titled “Principal Stockholders” for more details regarding the shares held by these entities.</w:t>
      </w:r>
    </w:p>
    <w:p>
      <w:pPr>
        <w:sectPr>
          <w:pgSz w:w="11900" w:h="16838" w:orient="portrait"/>
          <w:cols w:equalWidth="0" w:num="1">
            <w:col w:w="11200"/>
          </w:cols>
          <w:pgMar w:left="320" w:top="454" w:right="37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 of Stockholder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Entities affiliated with Baker Brothers </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33590" cy="144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OrbiMed Private Investments VI, LP </w:t>
      </w: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810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 of Series C</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Total Purchase</w:t>
            </w:r>
          </w:p>
        </w:tc>
        <w:tc>
          <w:tcPr>
            <w:tcW w:w="0" w:type="dxa"/>
            <w:vAlign w:val="bottom"/>
          </w:tcPr>
          <w:p>
            <w:pPr>
              <w:spacing w:after="0"/>
              <w:rPr>
                <w:sz w:val="1"/>
                <w:szCs w:val="1"/>
                <w:color w:val="auto"/>
              </w:rPr>
            </w:pPr>
          </w:p>
        </w:tc>
      </w:tr>
      <w:tr>
        <w:trPr>
          <w:trHeight w:val="147"/>
        </w:trPr>
        <w:tc>
          <w:tcPr>
            <w:tcW w:w="1620" w:type="dxa"/>
            <w:vAlign w:val="bottom"/>
            <w:gridSpan w:val="2"/>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189"/>
        </w:trPr>
        <w:tc>
          <w:tcPr>
            <w:tcW w:w="1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1,194,866</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14,999,989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1,194,866</w:t>
            </w:r>
          </w:p>
        </w:tc>
        <w:tc>
          <w:tcPr>
            <w:tcW w:w="5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14,999,989</w:t>
            </w:r>
          </w:p>
        </w:tc>
        <w:tc>
          <w:tcPr>
            <w:tcW w:w="0" w:type="dxa"/>
            <w:vAlign w:val="bottom"/>
          </w:tcPr>
          <w:p>
            <w:pPr>
              <w:spacing w:after="0"/>
              <w:rPr>
                <w:sz w:val="1"/>
                <w:szCs w:val="1"/>
                <w:color w:val="auto"/>
              </w:rPr>
            </w:pPr>
          </w:p>
        </w:tc>
      </w:tr>
    </w:tbl>
    <w:p>
      <w:pPr>
        <w:spacing w:after="0" w:line="168" w:lineRule="exact"/>
        <w:rPr>
          <w:sz w:val="20"/>
          <w:szCs w:val="20"/>
          <w:color w:val="auto"/>
        </w:rPr>
      </w:pPr>
    </w:p>
    <w:p>
      <w:pPr>
        <w:sectPr>
          <w:pgSz w:w="11900" w:h="16838" w:orient="portrait"/>
          <w:cols w:equalWidth="0" w:num="2">
            <w:col w:w="7920" w:space="720"/>
            <w:col w:w="2560"/>
          </w:cols>
          <w:pgMar w:left="320" w:top="454" w:right="379" w:bottom="1440" w:gutter="0" w:footer="0" w:header="0"/>
          <w:type w:val="continuous"/>
        </w:sectPr>
      </w:pPr>
    </w:p>
    <w:p>
      <w:pPr>
        <w:ind w:left="440" w:right="60" w:hanging="433"/>
        <w:spacing w:after="0" w:line="253" w:lineRule="auto"/>
        <w:tabs>
          <w:tab w:leader="none" w:pos="4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1,107,111 shares of Series C Preferred Stock purchased by Life Sciences and 87,755 shares of Series C Preferred Stock purchased by 667. The Baker Funds collectively hold more than 5% of our outstanding capital stock. The Adviser is the investment adviser to the Baker Funds and has complete and unlimited discretion and authority with respect to their investments and voting power over investments. Kelvin Neu, a member of our board of directors, is an employee of the Adviser but does not have any right to the securities held by the Baker Funds.</w:t>
      </w:r>
    </w:p>
    <w:p>
      <w:pPr>
        <w:spacing w:after="0" w:line="2" w:lineRule="exact"/>
        <w:rPr>
          <w:rFonts w:ascii="Times New Roman" w:cs="Times New Roman" w:eastAsia="Times New Roman" w:hAnsi="Times New Roman"/>
          <w:sz w:val="18"/>
          <w:szCs w:val="18"/>
          <w:color w:val="auto"/>
        </w:rPr>
      </w:pPr>
    </w:p>
    <w:p>
      <w:pPr>
        <w:ind w:left="440" w:right="60" w:hanging="433"/>
        <w:spacing w:after="0" w:line="256" w:lineRule="auto"/>
        <w:tabs>
          <w:tab w:leader="none" w:pos="4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 VI holds more than 5% of our outstanding capital stock. OrbiMed GP VI is the general partner of OPI VI and OrbiMed Advisors is the managing member of OrbiMed GP VI. David A. Bonita, a member of our board of directors, is a member of OrbiMed Advisors.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1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have entered into an investors’ rights agreement, or the IRA, dated August 21, 2020 with certain holders of our convertible preferred stock, including Baker Brothers and its affiliates, OrbiMed and its affiliates, Paul A. Friedman and Kris Vaddi. These stockholders are entitled to rights with respect to the registration of their shares under the Securities Act following this offering. For a description of these registration rights, see the section entitled “Description of Capital Stock — Registration Rights.” Additionally, the IRA provides for a participation right to each of Life Sciences, 667, OrbiMed Private Investments VI, LP and its affiliates and certain other holders of our common stock, to a pro rata right to purchase shares of common stock in this offering at the public offering price. The IRA further provides that, under certain circumstances in which such entities are unable to participate in this offering, we are required to offer them shares of our common stock through a separate private placement to be concurrent with this offering.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Executive Officers and Directors</w:t>
      </w:r>
    </w:p>
    <w:p>
      <w:pPr>
        <w:spacing w:after="0" w:line="118" w:lineRule="exact"/>
        <w:rPr>
          <w:sz w:val="20"/>
          <w:szCs w:val="20"/>
          <w:color w:val="auto"/>
        </w:rPr>
      </w:pPr>
    </w:p>
    <w:p>
      <w:pPr>
        <w:ind w:right="1040" w:firstLine="449"/>
        <w:spacing w:after="0" w:line="278" w:lineRule="auto"/>
        <w:rPr>
          <w:sz w:val="20"/>
          <w:szCs w:val="20"/>
          <w:color w:val="auto"/>
        </w:rPr>
      </w:pPr>
      <w:r>
        <w:rPr>
          <w:rFonts w:ascii="Times New Roman" w:cs="Times New Roman" w:eastAsia="Times New Roman" w:hAnsi="Times New Roman"/>
          <w:sz w:val="18"/>
          <w:szCs w:val="18"/>
          <w:color w:val="auto"/>
        </w:rPr>
        <w:t>We have granted stock options to our executive officers and certain directors, as more fully described in the sections entitled “Executive Compensation” and “Management — Non-Employee Director Compensation,” respectively.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Compensation</w:t>
      </w:r>
    </w:p>
    <w:p>
      <w:pPr>
        <w:spacing w:after="0" w:line="118" w:lineRule="exact"/>
        <w:rPr>
          <w:sz w:val="20"/>
          <w:szCs w:val="20"/>
          <w:color w:val="auto"/>
        </w:rPr>
      </w:pPr>
    </w:p>
    <w:p>
      <w:pPr>
        <w:ind w:right="200" w:firstLine="449"/>
        <w:spacing w:after="0" w:line="278" w:lineRule="auto"/>
        <w:rPr>
          <w:sz w:val="20"/>
          <w:szCs w:val="20"/>
          <w:color w:val="auto"/>
        </w:rPr>
      </w:pPr>
      <w:r>
        <w:rPr>
          <w:rFonts w:ascii="Times New Roman" w:cs="Times New Roman" w:eastAsia="Times New Roman" w:hAnsi="Times New Roman"/>
          <w:sz w:val="18"/>
          <w:szCs w:val="18"/>
          <w:color w:val="auto"/>
        </w:rPr>
        <w:t>Please see the sections entitled “Management — Non-Employee Director Compensation” and “Executive Compensation” for information regarding the compensation of our directors and executive officers.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8" w:lineRule="exact"/>
        <w:rPr>
          <w:sz w:val="20"/>
          <w:szCs w:val="20"/>
          <w:color w:val="auto"/>
        </w:rPr>
      </w:pPr>
    </w:p>
    <w:p>
      <w:pPr>
        <w:jc w:val="both"/>
        <w:ind w:right="240" w:firstLine="449"/>
        <w:spacing w:after="0" w:line="263" w:lineRule="auto"/>
        <w:rPr>
          <w:sz w:val="20"/>
          <w:szCs w:val="20"/>
          <w:color w:val="auto"/>
        </w:rPr>
      </w:pPr>
      <w:r>
        <w:rPr>
          <w:rFonts w:ascii="Times New Roman" w:cs="Times New Roman" w:eastAsia="Times New Roman" w:hAnsi="Times New Roman"/>
          <w:sz w:val="18"/>
          <w:szCs w:val="18"/>
          <w:color w:val="auto"/>
        </w:rPr>
        <w:t>We have entered into employment offer letters with certain of our executive officers, and we intend to enter into amended and restated employment offer letters with our executive officers prior to the completion of this offering. For more information regarding these agreements, see the section entitled “Executive Compensation — Employment Arrangements with our Named Executive Officers.”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00"/>
          </w:cols>
          <w:pgMar w:left="320" w:top="454" w:right="379" w:bottom="1440" w:gutter="0" w:footer="0" w:header="0"/>
          <w:type w:val="continuous"/>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intend to enter into new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the section entitled “Executive Compensation — Limitations on Liability and Indemnification Matters” for information on our indemnification arrangements with our directors and executive officers.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18" w:lineRule="exact"/>
        <w:rPr>
          <w:sz w:val="20"/>
          <w:szCs w:val="20"/>
          <w:color w:val="auto"/>
        </w:rPr>
      </w:pPr>
    </w:p>
    <w:p>
      <w:pPr>
        <w:ind w:right="120" w:firstLine="449"/>
        <w:spacing w:after="0" w:line="250" w:lineRule="auto"/>
        <w:rPr>
          <w:sz w:val="20"/>
          <w:szCs w:val="20"/>
          <w:color w:val="auto"/>
        </w:rPr>
      </w:pPr>
      <w:r>
        <w:rPr>
          <w:rFonts w:ascii="Times New Roman" w:cs="Times New Roman" w:eastAsia="Times New Roman" w:hAnsi="Times New Roman"/>
          <w:sz w:val="18"/>
          <w:szCs w:val="18"/>
          <w:color w:val="auto"/>
        </w:rPr>
        <w:t>In connection with this offering, we intend to adopt a written related person transactions policy that provides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(or the committee composed solely of independent directors, if applicable) for review, consideration and approval. In approving or rejecting any such proposal, we expect that our audit committee (or the committee composed solely of independent directors, if applicable) will consider the relevant facts and circumstances available and deemed relevant to the audit committee (or the committee composed solely of independent directors, if applicable),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00"/>
          </w:cols>
          <w:pgMar w:left="320" w:top="454" w:right="37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18" w:lineRule="exact"/>
        <w:rPr>
          <w:sz w:val="20"/>
          <w:szCs w:val="20"/>
          <w:color w:val="auto"/>
        </w:rPr>
      </w:pPr>
    </w:p>
    <w:p>
      <w:pPr>
        <w:ind w:right="80" w:firstLine="449"/>
        <w:spacing w:after="0" w:line="278" w:lineRule="auto"/>
        <w:rPr>
          <w:sz w:val="20"/>
          <w:szCs w:val="20"/>
          <w:color w:val="auto"/>
        </w:rPr>
      </w:pPr>
      <w:r>
        <w:rPr>
          <w:rFonts w:ascii="Times New Roman" w:cs="Times New Roman" w:eastAsia="Times New Roman" w:hAnsi="Times New Roman"/>
          <w:sz w:val="18"/>
          <w:szCs w:val="18"/>
          <w:color w:val="auto"/>
        </w:rPr>
        <w:t>The following table and accompanying footnotes set forth certain information with respect to the beneficial ownership of our common stock and non-voting common stock at August 21, 2020, and as adjusted to reflect the shares of common stock to be issued and sold in this offering, for:</w:t>
      </w:r>
    </w:p>
    <w:p>
      <w:pPr>
        <w:spacing w:after="0" w:line="69" w:lineRule="exact"/>
        <w:rPr>
          <w:sz w:val="20"/>
          <w:szCs w:val="20"/>
          <w:color w:val="auto"/>
        </w:rPr>
      </w:pPr>
    </w:p>
    <w:p>
      <w:pPr>
        <w:ind w:left="1000" w:hanging="552"/>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27" w:lineRule="exact"/>
        <w:rPr>
          <w:rFonts w:ascii="Times New Roman" w:cs="Times New Roman" w:eastAsia="Times New Roman" w:hAnsi="Times New Roman"/>
          <w:sz w:val="18"/>
          <w:szCs w:val="18"/>
          <w:color w:val="auto"/>
        </w:rPr>
      </w:pPr>
    </w:p>
    <w:p>
      <w:pPr>
        <w:ind w:left="1000" w:right="120" w:hanging="552"/>
        <w:spacing w:after="0" w:line="278"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our outstanding shares of common stock and non-voting common stock.</w:t>
      </w:r>
    </w:p>
    <w:p>
      <w:pPr>
        <w:spacing w:after="0" w:line="162"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0" w:lineRule="exact"/>
        <w:rPr>
          <w:sz w:val="20"/>
          <w:szCs w:val="20"/>
          <w:color w:val="auto"/>
        </w:rPr>
      </w:pPr>
    </w:p>
    <w:p>
      <w:pPr>
        <w:jc w:val="both"/>
        <w:ind w:firstLine="449"/>
        <w:spacing w:after="0" w:line="270" w:lineRule="auto"/>
        <w:rPr>
          <w:sz w:val="20"/>
          <w:szCs w:val="20"/>
          <w:color w:val="auto"/>
        </w:rPr>
      </w:pPr>
      <w:r>
        <w:rPr>
          <w:rFonts w:ascii="Times New Roman" w:cs="Times New Roman" w:eastAsia="Times New Roman" w:hAnsi="Times New Roman"/>
          <w:sz w:val="17"/>
          <w:szCs w:val="17"/>
          <w:color w:val="auto"/>
        </w:rPr>
        <w:t>Beneficial ownership prior to this offering is based on 39,474,377 shares of common stock outstanding as of August 21, 2020, assuming the automatic conversion of 35,203,953 outstanding shares of our convertible preferred stock, including 3,982,887 shares of our Series C convertible preferred stock issued in August 2020, into an aggregate of 35,203,953 shares of common stock and non-voting common stock (of which 12,850,259 shares are non-voting</w:t>
      </w:r>
    </w:p>
    <w:p>
      <w:pPr>
        <w:spacing w:after="0" w:line="1"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8"/>
          <w:szCs w:val="18"/>
          <w:color w:val="auto"/>
        </w:rPr>
        <w:t>common stock) in connection with this offering. Beneficial ownership after this offering is based on shares of common stock outstanding, assuming (i) the automatic conversion of all outstanding shares of our convertible preferred stock into an aggregate of 35,203,953 shares of common stock</w:t>
      </w:r>
    </w:p>
    <w:p>
      <w:pPr>
        <w:ind w:right="40"/>
        <w:spacing w:after="0" w:line="250" w:lineRule="auto"/>
        <w:rPr>
          <w:sz w:val="20"/>
          <w:szCs w:val="20"/>
          <w:color w:val="auto"/>
        </w:rPr>
      </w:pPr>
      <w:r>
        <w:rPr>
          <w:rFonts w:ascii="Times New Roman" w:cs="Times New Roman" w:eastAsia="Times New Roman" w:hAnsi="Times New Roman"/>
          <w:sz w:val="18"/>
          <w:szCs w:val="18"/>
          <w:color w:val="auto"/>
        </w:rPr>
        <w:t>and non-voting common stock (of which 12,850,259 shares are non-voting common stock) as described above and (ii) the issuance of shares of common stock in this offering, which does not contemplate exercise of the underwriters’ option to purchase additional shares. We have assumed that holders of our convertible preferred stock with the option to convert their convertible preferred stock into shares of non-voting common stock will convert to the maximum number of non-voting common stock permitted as described under “Description of Capital Stock - Common Stock and Non-Voting Common Stock.”</w:t>
      </w:r>
    </w:p>
    <w:p>
      <w:pPr>
        <w:spacing w:after="0" w:line="187" w:lineRule="exact"/>
        <w:rPr>
          <w:sz w:val="20"/>
          <w:szCs w:val="20"/>
          <w:color w:val="auto"/>
        </w:rPr>
      </w:pPr>
    </w:p>
    <w:p>
      <w:pPr>
        <w:ind w:right="240" w:firstLine="449"/>
        <w:spacing w:after="0" w:line="278" w:lineRule="auto"/>
        <w:rPr>
          <w:sz w:val="20"/>
          <w:szCs w:val="20"/>
          <w:color w:val="auto"/>
        </w:rPr>
      </w:pPr>
      <w:r>
        <w:rPr>
          <w:rFonts w:ascii="Times New Roman" w:cs="Times New Roman" w:eastAsia="Times New Roman" w:hAnsi="Times New Roman"/>
          <w:sz w:val="18"/>
          <w:szCs w:val="18"/>
          <w:color w:val="auto"/>
        </w:rPr>
        <w:t>The following table does not reflect any shares of common stock that may be purchased pursuant to our directed share program described under the section titled “Underwriting.”</w:t>
      </w:r>
    </w:p>
    <w:p>
      <w:pPr>
        <w:spacing w:after="0" w:line="162" w:lineRule="exact"/>
        <w:rPr>
          <w:sz w:val="20"/>
          <w:szCs w:val="20"/>
          <w:color w:val="auto"/>
        </w:rPr>
      </w:pPr>
    </w:p>
    <w:p>
      <w:pPr>
        <w:jc w:val="both"/>
        <w:ind w:right="20" w:firstLine="449"/>
        <w:spacing w:after="0" w:line="274" w:lineRule="auto"/>
        <w:rPr>
          <w:sz w:val="20"/>
          <w:szCs w:val="20"/>
          <w:color w:val="auto"/>
        </w:rPr>
      </w:pPr>
      <w:r>
        <w:rPr>
          <w:rFonts w:ascii="Times New Roman" w:cs="Times New Roman" w:eastAsia="Times New Roman" w:hAnsi="Times New Roman"/>
          <w:sz w:val="17"/>
          <w:szCs w:val="17"/>
          <w:color w:val="auto"/>
        </w:rPr>
        <w:t>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August 21, 2020, although these shares are not considered outstanding for purposes of computing the percentage ownerships of any other person. We did not deem these shares outstanding, however, for the purpose of computing the percentage ownership of any other person. Unless otherwise indicated, the address of each beneficial owner listed in the table below is c/o Prelude Therapeutics Incorporated, 200 Powder Mill Road, Wilmington, DE 19803.</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20"/>
          </w:cols>
          <w:pgMar w:left="320" w:top="454" w:right="3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960" w:type="dxa"/>
            <w:vAlign w:val="bottom"/>
            <w:tcBorders>
              <w:top w:val="single" w:sz="8" w:color="auto"/>
            </w:tcBorders>
            <w:gridSpan w:val="4"/>
          </w:tcPr>
          <w:p>
            <w:pPr>
              <w:ind w:left="280"/>
              <w:spacing w:after="0" w:line="116" w:lineRule="exact"/>
              <w:rPr>
                <w:sz w:val="20"/>
                <w:szCs w:val="20"/>
                <w:color w:val="auto"/>
              </w:rPr>
            </w:pPr>
            <w:r>
              <w:rPr>
                <w:rFonts w:ascii="Times New Roman" w:cs="Times New Roman" w:eastAsia="Times New Roman" w:hAnsi="Times New Roman"/>
                <w:sz w:val="13"/>
                <w:szCs w:val="13"/>
                <w:b w:val="1"/>
                <w:bCs w:val="1"/>
                <w:color w:val="auto"/>
              </w:rPr>
              <w:t>Voting Common</w:t>
            </w:r>
          </w:p>
        </w:tc>
        <w:tc>
          <w:tcPr>
            <w:tcW w:w="1540" w:type="dxa"/>
            <w:vAlign w:val="bottom"/>
            <w:tcBorders>
              <w:top w:val="single" w:sz="8" w:color="auto"/>
            </w:tcBorders>
            <w:gridSpan w:val="3"/>
          </w:tcPr>
          <w:p>
            <w:pPr>
              <w:ind w:left="420"/>
              <w:spacing w:after="0" w:line="116" w:lineRule="exact"/>
              <w:rPr>
                <w:sz w:val="20"/>
                <w:szCs w:val="20"/>
                <w:color w:val="auto"/>
              </w:rPr>
            </w:pPr>
            <w:r>
              <w:rPr>
                <w:rFonts w:ascii="Times New Roman" w:cs="Times New Roman" w:eastAsia="Times New Roman" w:hAnsi="Times New Roman"/>
                <w:sz w:val="13"/>
                <w:szCs w:val="13"/>
                <w:b w:val="1"/>
                <w:bCs w:val="1"/>
                <w:color w:val="auto"/>
              </w:rPr>
              <w:t>Non-Voting</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Non-Voting</w:t>
            </w: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60" w:type="dxa"/>
            <w:vAlign w:val="bottom"/>
            <w:gridSpan w:val="2"/>
          </w:tcPr>
          <w:p>
            <w:pPr>
              <w:jc w:val="center"/>
              <w:ind w:right="329"/>
              <w:spacing w:after="0" w:line="116" w:lineRule="exact"/>
              <w:rPr>
                <w:sz w:val="20"/>
                <w:szCs w:val="20"/>
                <w:color w:val="auto"/>
              </w:rPr>
            </w:pPr>
            <w:r>
              <w:rPr>
                <w:rFonts w:ascii="Times New Roman" w:cs="Times New Roman" w:eastAsia="Times New Roman" w:hAnsi="Times New Roman"/>
                <w:sz w:val="13"/>
                <w:szCs w:val="13"/>
                <w:b w:val="1"/>
                <w:bCs w:val="1"/>
                <w:color w:val="auto"/>
              </w:rPr>
              <w:t>Prior to</w:t>
            </w:r>
          </w:p>
        </w:tc>
        <w:tc>
          <w:tcPr>
            <w:tcW w:w="10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After this</w:t>
            </w:r>
          </w:p>
        </w:tc>
        <w:tc>
          <w:tcPr>
            <w:tcW w:w="96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3"/>
                <w:szCs w:val="13"/>
                <w:b w:val="1"/>
                <w:bCs w:val="1"/>
                <w:color w:val="auto"/>
              </w:rPr>
              <w:t>Prior to</w:t>
            </w: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After this</w:t>
            </w:r>
          </w:p>
        </w:tc>
        <w:tc>
          <w:tcPr>
            <w:tcW w:w="0" w:type="dxa"/>
            <w:vAlign w:val="bottom"/>
          </w:tcPr>
          <w:p>
            <w:pPr>
              <w:spacing w:after="0"/>
              <w:rPr>
                <w:sz w:val="1"/>
                <w:szCs w:val="1"/>
                <w:color w:val="auto"/>
              </w:rPr>
            </w:pPr>
          </w:p>
        </w:tc>
      </w:tr>
      <w:tr>
        <w:trPr>
          <w:trHeight w:val="147"/>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760" w:type="dxa"/>
            <w:vAlign w:val="bottom"/>
            <w:vMerge w:val="restart"/>
          </w:tcPr>
          <w:p>
            <w:pPr>
              <w:spacing w:after="0"/>
              <w:rPr>
                <w:sz w:val="12"/>
                <w:szCs w:val="12"/>
                <w:color w:val="auto"/>
              </w:rPr>
            </w:pPr>
          </w:p>
        </w:tc>
        <w:tc>
          <w:tcPr>
            <w:tcW w:w="11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tcPr>
          <w:p>
            <w:pPr>
              <w:jc w:val="center"/>
              <w:ind w:right="349"/>
              <w:spacing w:after="0" w:line="147" w:lineRule="exact"/>
              <w:rPr>
                <w:sz w:val="20"/>
                <w:szCs w:val="20"/>
                <w:color w:val="auto"/>
              </w:rPr>
            </w:pPr>
            <w:r>
              <w:rPr>
                <w:rFonts w:ascii="Times New Roman" w:cs="Times New Roman" w:eastAsia="Times New Roman" w:hAnsi="Times New Roman"/>
                <w:sz w:val="14"/>
                <w:szCs w:val="14"/>
                <w:b w:val="1"/>
                <w:bCs w:val="1"/>
                <w:color w:val="auto"/>
              </w:rPr>
              <w:t>this</w:t>
            </w:r>
          </w:p>
        </w:tc>
        <w:tc>
          <w:tcPr>
            <w:tcW w:w="1000" w:type="dxa"/>
            <w:vAlign w:val="bottom"/>
            <w:gridSpan w:val="2"/>
            <w:vMerge w:val="continue"/>
          </w:tcPr>
          <w:p>
            <w:pPr>
              <w:spacing w:after="0"/>
              <w:rPr>
                <w:sz w:val="12"/>
                <w:szCs w:val="12"/>
                <w:color w:val="auto"/>
              </w:rPr>
            </w:pPr>
          </w:p>
        </w:tc>
        <w:tc>
          <w:tcPr>
            <w:tcW w:w="96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this</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gridSpan w:val="2"/>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112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329"/>
              <w:spacing w:after="0" w:line="15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0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60" w:type="dxa"/>
            <w:vAlign w:val="bottom"/>
            <w:gridSpan w:val="2"/>
          </w:tcPr>
          <w:p>
            <w:pPr>
              <w:jc w:val="center"/>
              <w:ind w:right="420"/>
              <w:spacing w:after="0" w:line="15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7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87"/>
        </w:trPr>
        <w:tc>
          <w:tcPr>
            <w:tcW w:w="5380" w:type="dxa"/>
            <w:vAlign w:val="bottom"/>
            <w:tcBorders>
              <w:top w:val="single" w:sz="8" w:color="CCEEFF"/>
            </w:tcBorders>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Kris Vaddi</w:t>
            </w:r>
            <w:r>
              <w:rPr>
                <w:rFonts w:ascii="Times New Roman" w:cs="Times New Roman" w:eastAsia="Times New Roman" w:hAnsi="Times New Roman"/>
                <w:sz w:val="15"/>
                <w:szCs w:val="15"/>
                <w:color w:val="auto"/>
              </w:rPr>
              <w:t>(1)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3,328,824</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12.4%</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Mauro</w:t>
            </w:r>
            <w:r>
              <w:rPr>
                <w:rFonts w:ascii="Times New Roman" w:cs="Times New Roman" w:eastAsia="Times New Roman" w:hAnsi="Times New Roman"/>
                <w:sz w:val="15"/>
                <w:szCs w:val="15"/>
                <w:color w:val="auto"/>
              </w:rPr>
              <w:t>(2)</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116,666</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P. Combs</w:t>
            </w:r>
            <w:r>
              <w:rPr>
                <w:rFonts w:ascii="Times New Roman" w:cs="Times New Roman" w:eastAsia="Times New Roman" w:hAnsi="Times New Roman"/>
                <w:sz w:val="15"/>
                <w:szCs w:val="15"/>
                <w:color w:val="auto"/>
              </w:rPr>
              <w:t>(3)</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9"/>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Friedman</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578,416</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Bonita</w:t>
            </w:r>
            <w:r>
              <w:rPr>
                <w:rFonts w:ascii="Times New Roman" w:cs="Times New Roman" w:eastAsia="Times New Roman" w:hAnsi="Times New Roman"/>
                <w:sz w:val="15"/>
                <w:szCs w:val="15"/>
                <w:color w:val="auto"/>
              </w:rPr>
              <w:t>(4)</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9,877,009</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6,425,130</w:t>
            </w:r>
          </w:p>
        </w:tc>
        <w:tc>
          <w:tcPr>
            <w:tcW w:w="960" w:type="dxa"/>
            <w:vAlign w:val="bottom"/>
            <w:gridSpan w:val="2"/>
          </w:tcPr>
          <w:p>
            <w:pPr>
              <w:jc w:val="right"/>
              <w:ind w:right="349"/>
              <w:spacing w:after="0"/>
              <w:rPr>
                <w:sz w:val="20"/>
                <w:szCs w:val="20"/>
                <w:color w:val="auto"/>
              </w:rPr>
            </w:pPr>
            <w:r>
              <w:rPr>
                <w:rFonts w:ascii="Times New Roman" w:cs="Times New Roman" w:eastAsia="Times New Roman" w:hAnsi="Times New Roman"/>
                <w:sz w:val="18"/>
                <w:szCs w:val="18"/>
                <w:color w:val="auto"/>
              </w:rPr>
              <w:t>37.1</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Mardi Dier</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Kelvin Neu</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 Sandor</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(12 persons)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14,580,079</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6,425,130</w:t>
            </w:r>
          </w:p>
        </w:tc>
        <w:tc>
          <w:tcPr>
            <w:tcW w:w="960" w:type="dxa"/>
            <w:vAlign w:val="bottom"/>
            <w:gridSpan w:val="2"/>
          </w:tcPr>
          <w:p>
            <w:pPr>
              <w:jc w:val="right"/>
              <w:ind w:right="349"/>
              <w:spacing w:after="0"/>
              <w:rPr>
                <w:sz w:val="20"/>
                <w:szCs w:val="20"/>
                <w:color w:val="auto"/>
              </w:rPr>
            </w:pPr>
            <w:r>
              <w:rPr>
                <w:rFonts w:ascii="Times New Roman" w:cs="Times New Roman" w:eastAsia="Times New Roman" w:hAnsi="Times New Roman"/>
                <w:sz w:val="18"/>
                <w:szCs w:val="18"/>
                <w:color w:val="auto"/>
              </w:rPr>
              <w:t>53.7</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5% or Greater Stockholders: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OrbiMed Private Investments VI, LP</w:t>
            </w:r>
            <w:r>
              <w:rPr>
                <w:rFonts w:ascii="Times New Roman" w:cs="Times New Roman" w:eastAsia="Times New Roman" w:hAnsi="Times New Roman"/>
                <w:sz w:val="15"/>
                <w:szCs w:val="15"/>
                <w:color w:val="auto"/>
              </w:rPr>
              <w:t>(4)</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9,877,009</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6,425,130</w:t>
            </w:r>
          </w:p>
        </w:tc>
        <w:tc>
          <w:tcPr>
            <w:tcW w:w="960" w:type="dxa"/>
            <w:vAlign w:val="bottom"/>
            <w:gridSpan w:val="2"/>
          </w:tcPr>
          <w:p>
            <w:pPr>
              <w:jc w:val="right"/>
              <w:ind w:right="349"/>
              <w:spacing w:after="0"/>
              <w:rPr>
                <w:sz w:val="20"/>
                <w:szCs w:val="20"/>
                <w:color w:val="auto"/>
              </w:rPr>
            </w:pPr>
            <w:r>
              <w:rPr>
                <w:rFonts w:ascii="Times New Roman" w:cs="Times New Roman" w:eastAsia="Times New Roman" w:hAnsi="Times New Roman"/>
                <w:sz w:val="18"/>
                <w:szCs w:val="18"/>
                <w:color w:val="auto"/>
              </w:rPr>
              <w:t>37.1</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Baker Brothers Entities</w:t>
            </w:r>
            <w:r>
              <w:rPr>
                <w:rFonts w:ascii="Times New Roman" w:cs="Times New Roman" w:eastAsia="Times New Roman" w:hAnsi="Times New Roman"/>
                <w:sz w:val="15"/>
                <w:szCs w:val="15"/>
                <w:color w:val="auto"/>
              </w:rPr>
              <w:t>(5)</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9,877,009</w:t>
            </w: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6,425,129</w:t>
            </w:r>
          </w:p>
        </w:tc>
        <w:tc>
          <w:tcPr>
            <w:tcW w:w="96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37.1</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24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3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40" w:hanging="433"/>
        <w:spacing w:after="0"/>
        <w:tabs>
          <w:tab w:leader="none" w:pos="4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6" w:lineRule="exact"/>
        <w:rPr>
          <w:sz w:val="20"/>
          <w:szCs w:val="20"/>
          <w:color w:val="auto"/>
        </w:rPr>
      </w:pPr>
    </w:p>
    <w:p>
      <w:pPr>
        <w:ind w:left="440" w:right="80" w:hanging="433"/>
        <w:spacing w:after="0" w:line="248" w:lineRule="auto"/>
        <w:tabs>
          <w:tab w:leader="none" w:pos="4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2,721,454 shares of common stock held by Dr. Vaddi, of which (a) 1,198,706 shares are unvested and subject to forfeiture to us if Dr. Vaddi ceases to provide service to us prior to the vesting of the shares and (b) 235,833 shares of common stock subject to options that are exercisable within 60 days of August 21, 2020, (ii) 117,370 shares of common stock held by Sidus Ventures, LLC and (iii) 490,000 shares of common stock held by Dolphin City Trust. Dr. Vaddi is the manager of Sidus Ventures, LLC and may be deemed to have beneficial ownership over the securities held by Sidus Ventures, LLC. Dr. Vaddi is the beneficiary of Dolphin City Trust and may be deemed to have beneficial ownership over the securities held by Dolphin City Trust.</w:t>
      </w:r>
    </w:p>
    <w:p>
      <w:pPr>
        <w:ind w:left="440" w:hanging="433"/>
        <w:spacing w:after="0"/>
        <w:tabs>
          <w:tab w:leader="none" w:pos="4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116,666 shares of common stock subject to options that are exercisable within 60 days of August 21, 2020.</w:t>
      </w:r>
    </w:p>
    <w:p>
      <w:pPr>
        <w:spacing w:after="0" w:line="6" w:lineRule="exact"/>
        <w:rPr>
          <w:rFonts w:ascii="Times New Roman" w:cs="Times New Roman" w:eastAsia="Times New Roman" w:hAnsi="Times New Roman"/>
          <w:sz w:val="18"/>
          <w:szCs w:val="18"/>
          <w:color w:val="auto"/>
        </w:rPr>
      </w:pPr>
    </w:p>
    <w:p>
      <w:pPr>
        <w:ind w:left="440" w:right="460" w:hanging="433"/>
        <w:spacing w:after="0" w:line="248" w:lineRule="auto"/>
        <w:tabs>
          <w:tab w:leader="none" w:pos="4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300,000 shares of common stock, of which 206,250 shares are unvested and subject to forfeiture to us if Dr. Combs ceases to provide service to us prior to the vesting of the shares.</w:t>
      </w:r>
    </w:p>
    <w:p>
      <w:pPr>
        <w:ind w:left="440" w:right="20" w:hanging="433"/>
        <w:spacing w:after="0" w:line="248" w:lineRule="auto"/>
        <w:tabs>
          <w:tab w:leader="none" w:pos="4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9,877,009 shares of our common stock and 6,425,130 shares of our non-voting common stock held by OrbiMed Private Investments VI, LP, or OPI VI. OrbiMed Capital GP VI LLC, or OrbiMed GP VI, is the general partner of OPI VI and OrbiMed Advisors LLC, or OrbiMed Advisors, a registered investment adviser under the Investment Advisors Act of 1940, as amended, is the managing member of OrbiMed GP VI. By virtue of such relationships, OrbiMed GP VI and OrbiMed Advisors may be deemed to have voting and investment power over the securities held by OPI VI and as a result may be deemed to have beneficial ownership over such securities. David Bonita, a member of OrbiMed Advisors, is a member of our board of directors. OrbiMed Advisors exercises voting and investment power through a management committee comprised of Carl L. Gordon, Sven H. Borho, and Jonathan T. Silverstein. Each of OrbiMed GP VII, OrbiMed Advisors and David Bonita disclaims beneficial ownership of the shares held by OPI VI, except to the extent of its or his pecuniary interest therein if any. The address of these entities is 601 Lexington Avenue, 54th Floor, New York, NY 10022.</w:t>
      </w:r>
    </w:p>
    <w:p>
      <w:pPr>
        <w:ind w:left="440" w:right="180" w:hanging="433"/>
        <w:spacing w:after="0" w:line="249" w:lineRule="auto"/>
        <w:tabs>
          <w:tab w:leader="none" w:pos="4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886,241 shares of our common stock and 574,873 shares of our non-voting common stock held by 667, L.P., or 667 and (ii) 8,990,768 shares of our common stock and 5,850,256 shares of our non-voting common stock held by Baker Brothers Life Sciences, L.P., or Life Sciences and together with 667, the Baker Funds. Baker Bros. Advisors LP, or the Adviser is the investment adviser to the Baker Funds and has complete and unlimited discretion and authority with respect to their investments and voting power over investments. Baker Bros. Advisors (GP) LLC, or the Adviser GP is the sole general partner of the Adviser. Julian C. Baker and Felix J. Baker are the managing members of the Adviser GP. Dr. Neu, an employee of the Advisor and a member of our board of directors, does not have any right to the securities held by the Baker Funds. The Advisor GP, Felix J. Baker and Julian C. Baker as managing members of the Adviser GP, and the Adviser may be deemed to be beneficial owners of the common shares directly held by the Baker Funds. Julian C. Baker and Felix J. Baker disclaim beneficial ownership of these securities, except to the extent of their pecuniary interest therein. The address for the Adviser, the Adviser GP, Felix J. Baker and Julian C. Baker is c/o Baker Bros. Advisors LP, 860 Washington Street, 3rd Floor, New York, NY 10014.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40"/>
          </w:cols>
          <w:pgMar w:left="320" w:top="454" w:right="3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3"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summarizes the most important terms of our capital stock, our restated certificate of incorporation and our restated bylaws, as each will be in effect following this offering.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8" w:lineRule="exact"/>
        <w:rPr>
          <w:sz w:val="20"/>
          <w:szCs w:val="20"/>
          <w:color w:val="auto"/>
        </w:rPr>
      </w:pPr>
    </w:p>
    <w:p>
      <w:pPr>
        <w:ind w:left="580" w:hanging="129"/>
        <w:spacing w:after="0" w:line="259" w:lineRule="auto"/>
        <w:rPr>
          <w:sz w:val="20"/>
          <w:szCs w:val="20"/>
          <w:color w:val="auto"/>
        </w:rPr>
      </w:pPr>
      <w:r>
        <w:rPr>
          <w:rFonts w:ascii="Times New Roman" w:cs="Times New Roman" w:eastAsia="Times New Roman" w:hAnsi="Times New Roman"/>
          <w:sz w:val="18"/>
          <w:szCs w:val="18"/>
          <w:color w:val="auto"/>
        </w:rPr>
        <w:t>Upon the completion of this offering, our authorized capital stock will consist of</w:t>
      </w:r>
      <w:r>
        <w:rPr>
          <w:sz w:val="20"/>
          <w:szCs w:val="20"/>
          <w:color w:val="auto"/>
        </w:rPr>
        <w:t xml:space="preserve"> </w:t>
      </w:r>
      <w:r>
        <w:rPr>
          <w:rFonts w:ascii="Times New Roman" w:cs="Times New Roman" w:eastAsia="Times New Roman" w:hAnsi="Times New Roman"/>
          <w:sz w:val="18"/>
          <w:szCs w:val="18"/>
          <w:color w:val="auto"/>
        </w:rPr>
        <w:t>shares of common stock, $0.0001 par value per share, shares of non-voting common stock, $0.0001 par value per share, and shares of undesignated preferred stock, $0.0001 par value per share.</w:t>
      </w:r>
    </w:p>
    <w:p>
      <w:pPr>
        <w:spacing w:after="0"/>
        <w:rPr>
          <w:sz w:val="20"/>
          <w:szCs w:val="20"/>
          <w:color w:val="auto"/>
        </w:rPr>
      </w:pPr>
      <w:r>
        <w:rPr>
          <w:rFonts w:ascii="Times New Roman" w:cs="Times New Roman" w:eastAsia="Times New Roman" w:hAnsi="Times New Roman"/>
          <w:sz w:val="18"/>
          <w:szCs w:val="18"/>
          <w:color w:val="auto"/>
        </w:rPr>
        <w:t>Our board of directors will be authorized, without stockholder approval, to issue additional shares of our capital stock.</w:t>
      </w:r>
    </w:p>
    <w:p>
      <w:pPr>
        <w:spacing w:after="0" w:line="202"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Pursuant to the provisions of our current certificate of incorporation, all of the outstanding convertible preferred stock will automatically convert into 35,203,953 shares of common stock and non-voting common stock (of which 12,850,259 shares are non-voting common stock) in connection with the completion of this offering. Each of our Series A, Series B and Series C convertible preferred stock will convert at a ratio of 1:1. Assuming the effectiveness of this conversion as of August 21, 2020, there were 39,474,377 shares of our common stock outstanding, held by approximately 64 stockholders of record, of which 12,850,259 shares were non-voting common stock, and no shares of our convertible preferred stock outstanding.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Non-Voting Common Stock</w:t>
      </w:r>
    </w:p>
    <w:p>
      <w:pPr>
        <w:spacing w:after="0" w:line="118"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If, immediately following the closing of this offering, and after taking into account any shares of common stock purchased by a holder of our convertible preferred stock or its affiliates in the offering, a conversion would result in such holder being a beneficial owner in excess of 9.99% of the then outstanding common stock and non-voting common stock, then, subject to certain conditions, the holder may convert a portion of such holder’s outstanding preferred stock into shares of non-voting common stock in order to cause such holder not to be a beneficial owner in excess of 9.99%. Notwithstanding the foregoing, the option to convert into non-voting common stock shall be limited to no more than 40% of the aggregate shares of common stock issuable to such holder upon conversion of such holder’s convertible preferred stock.</w:t>
      </w:r>
    </w:p>
    <w:p>
      <w:pPr>
        <w:spacing w:after="0" w:line="184"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Holders of our common stock have no conversion rights, while holders of our non-voting common stock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unless otherwise as expressly provided for in our restated certificate of incorporation. However, this ownership limitation may be increased (not to exceed 19.99%) or decreased to any other percentage designated by such holder of non-voting common stock upon 61 days’ notice to us.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18" w:lineRule="exact"/>
        <w:rPr>
          <w:sz w:val="20"/>
          <w:szCs w:val="20"/>
          <w:color w:val="auto"/>
        </w:rPr>
      </w:pPr>
    </w:p>
    <w:p>
      <w:pPr>
        <w:jc w:val="both"/>
        <w:ind w:right="240" w:firstLine="449"/>
        <w:spacing w:after="0" w:line="263"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and our non-voting common stock are entitled to receive dividends out of funds legally available if our board of directors, in its discretion, determines to issue dividends and then only at the times and in the amounts that our board of directors may determine. See the section entitled “Dividend Policy.”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00"/>
          </w:cols>
          <w:pgMar w:left="320" w:top="454" w:right="37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8"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Except as otherwise expressly provided in our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We have not provided for cumulative voting for the election of directors in our restated certificate of incorporation, which means that holders of a majority of the shares of our common stock will be able to elect all of our directors. Our restated certificate of incorporation will establish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8" w:lineRule="exact"/>
        <w:rPr>
          <w:sz w:val="20"/>
          <w:szCs w:val="20"/>
          <w:color w:val="auto"/>
        </w:rPr>
      </w:pPr>
    </w:p>
    <w:p>
      <w:pPr>
        <w:ind w:right="480" w:firstLine="449"/>
        <w:spacing w:after="0" w:line="278" w:lineRule="auto"/>
        <w:rPr>
          <w:sz w:val="20"/>
          <w:szCs w:val="20"/>
          <w:color w:val="auto"/>
        </w:rPr>
      </w:pPr>
      <w:r>
        <w:rPr>
          <w:rFonts w:ascii="Times New Roman" w:cs="Times New Roman" w:eastAsia="Times New Roman" w:hAnsi="Times New Roman"/>
          <w:sz w:val="18"/>
          <w:szCs w:val="18"/>
          <w:color w:val="auto"/>
        </w:rPr>
        <w:t>Neither our common stock nor our non-voting common stock is entitled to preemptive rights, and neither is subject to conversion, redemption or sinking fund provisions.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18"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our non-voting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Immediately prior to the completion of this offering, each outstanding share of convertible preferred stock will be converted into one share of common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Following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will also be able to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8" w:lineRule="exact"/>
        <w:rPr>
          <w:sz w:val="20"/>
          <w:szCs w:val="20"/>
          <w:color w:val="auto"/>
        </w:rPr>
      </w:pPr>
    </w:p>
    <w:p>
      <w:pPr>
        <w:ind w:right="240" w:firstLine="449"/>
        <w:spacing w:after="0" w:line="278" w:lineRule="auto"/>
        <w:rPr>
          <w:sz w:val="20"/>
          <w:szCs w:val="20"/>
          <w:color w:val="auto"/>
        </w:rPr>
      </w:pPr>
      <w:r>
        <w:rPr>
          <w:rFonts w:ascii="Times New Roman" w:cs="Times New Roman" w:eastAsia="Times New Roman" w:hAnsi="Times New Roman"/>
          <w:sz w:val="18"/>
          <w:szCs w:val="18"/>
          <w:color w:val="auto"/>
        </w:rPr>
        <w:t>As of June 30, 2020, we had outstanding options to purchase an aggregate 4,139,344 shares of our common stock, with a weighted average exercise price of $1.53.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8" w:lineRule="exact"/>
        <w:rPr>
          <w:sz w:val="20"/>
          <w:szCs w:val="20"/>
          <w:color w:val="auto"/>
        </w:rPr>
      </w:pPr>
    </w:p>
    <w:p>
      <w:pPr>
        <w:ind w:right="180" w:firstLine="449"/>
        <w:spacing w:after="0" w:line="278" w:lineRule="auto"/>
        <w:rPr>
          <w:sz w:val="20"/>
          <w:szCs w:val="20"/>
          <w:color w:val="auto"/>
        </w:rPr>
      </w:pPr>
      <w:r>
        <w:rPr>
          <w:rFonts w:ascii="Times New Roman" w:cs="Times New Roman" w:eastAsia="Times New Roman" w:hAnsi="Times New Roman"/>
          <w:sz w:val="18"/>
          <w:szCs w:val="18"/>
          <w:color w:val="auto"/>
        </w:rPr>
        <w:t>Pursuant to the terms of our amended and restated investors’ rights agreement, immediately following this offering, the holders of 35,203,953 shares of our common stock and non-voting common stock will be entitled to</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454"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rights with respect to the registration of these shares (or, in the case of the non-voting common stock, the shares of common stock into which such shares are convertible) under the Securities Act as described below. We refer to these shares collectively as registrable securities.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8"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 xml:space="preserve">Beginning from the earlier of three years after May 31, 2019 or 180 days after the completion of this offering, if the holders of not less than 50% of the then-outstanding registrable securities may request the registration under the Securities Act of any registrable securities, if the anticipated aggregate offering price, net of selling expenses, would exceed $10.0 million, we are obligated to provide notice of such request to all holders of registration rights and, as soon as practicable and in any event within 60 days, file a Form S-1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we may not register any securities for our own account or that of any other stockholder during such 90-day period other than under certain circumstances.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8" w:lineRule="exact"/>
        <w:rPr>
          <w:sz w:val="20"/>
          <w:szCs w:val="20"/>
          <w:color w:val="auto"/>
        </w:rPr>
      </w:pPr>
    </w:p>
    <w:p>
      <w:pPr>
        <w:ind w:right="200" w:firstLine="449"/>
        <w:spacing w:after="0" w:line="259" w:lineRule="auto"/>
        <w:rPr>
          <w:sz w:val="20"/>
          <w:szCs w:val="20"/>
          <w:color w:val="auto"/>
        </w:rPr>
      </w:pPr>
      <w:r>
        <w:rPr>
          <w:rFonts w:ascii="Times New Roman" w:cs="Times New Roman" w:eastAsia="Times New Roman" w:hAnsi="Times New Roman"/>
          <w:sz w:val="18"/>
          <w:szCs w:val="18"/>
          <w:color w:val="auto"/>
        </w:rPr>
        <w:t>The holders of at least 25% of the then-outstanding registrable securities can request that we register all or part of their shares on Form S-3 if we are eligible to file a registration statement on Form S-3 and if the aggregate price to the public of the shares offered, net of selling expenses, is at least</w:t>
      </w: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$5.0 million. The stockholders may only require us to effect two registration statements on Form S-3 in a 12-month period.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we may not register any securities for our own account or that of any other stockholder during such 90-day period other than under certain circumstances.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8"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If we register any of our securities for public sale in cash, holders of then-outstanding registrable securities or their permitted transferees will have the right to include their registrable securities in the registration statement. However, this right does not apply to a registration relating to any of our employee benefit plans, a corporate reorganization or transaction under Rule 145 of the Securities Act, a registration that requires information that is not substantially the same as the information required to be included in a registration statement covering the sale of the registrable securities, or a registration in which the only common stock being registered is common stock issuable upon conversion of debt securities that are also being registered or issuable upon the exercise of warrants. In an underwritten offering, if the total number of securities requested by stockholders to be included in the offering exceeds the number of securities to be sold (other than by us) that the underwriters determine in their reasonable discretion is compatible with the success of the offering, then we will be required to include only that number of securities that the underwriters and us, in our sole discretion, determine will not jeopardize the success of the offering. If the underwriters determine that less than all the registrable securities requested to be registered can be included in the offering, the number of registrable shares to be registered will be allocated (i) first, among holders of our preferred stock, in proportion to the amount of common stock issued or issuable upon conversion of the preferred stock owned by each such holder to be included in such offering, and (ii) second, among all other holders of our registrable securities, in proportion to</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20"/>
          </w:cols>
          <w:pgMar w:left="320" w:top="454" w:right="3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amount of other registrable securities owned by each such holder. However, (i) the number of shares issued or issuable upon conversion of the preferred stock, to be registered by the holders of our preferred stock, cannot be reduced unless all other securities (other than as offered by us) are first excluded entirely, and (ii) the number of shares to be registered by holders of all other registrable securities cannot be reduced unless all other securities (other than as offered by us and the shares of common stock issued or issuable on conversion of our preferred stock) are first entirely excluded. The number of registrable securities included in the offering may not be reduced below 25% of the total number of securities included in such offering, except for in connection with an initial public offering, in which case the underwriters may exclude these holders entirely.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 Rights</w:t>
      </w:r>
    </w:p>
    <w:p>
      <w:pPr>
        <w:spacing w:after="0" w:line="118" w:lineRule="exact"/>
        <w:rPr>
          <w:sz w:val="20"/>
          <w:szCs w:val="20"/>
          <w:color w:val="auto"/>
        </w:rPr>
      </w:pPr>
    </w:p>
    <w:p>
      <w:pPr>
        <w:ind w:right="260" w:firstLine="449"/>
        <w:spacing w:after="0" w:line="278" w:lineRule="auto"/>
        <w:rPr>
          <w:sz w:val="20"/>
          <w:szCs w:val="20"/>
          <w:color w:val="auto"/>
        </w:rPr>
      </w:pPr>
      <w:r>
        <w:rPr>
          <w:rFonts w:ascii="Times New Roman" w:cs="Times New Roman" w:eastAsia="Times New Roman" w:hAnsi="Times New Roman"/>
          <w:sz w:val="18"/>
          <w:szCs w:val="18"/>
          <w:color w:val="auto"/>
        </w:rPr>
        <w:t>We generally will pay all expenses, other than underwriting discounts and selling commissions incurred in connection with each of the registrations described above, including the reasonable fees and disbursements, not to exceed $15,000, of one counsel for the selling holders.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18" w:lineRule="exact"/>
        <w:rPr>
          <w:sz w:val="20"/>
          <w:szCs w:val="20"/>
          <w:color w:val="auto"/>
        </w:rPr>
      </w:pPr>
    </w:p>
    <w:p>
      <w:pPr>
        <w:ind w:right="180" w:firstLine="449"/>
        <w:spacing w:after="0" w:line="255" w:lineRule="auto"/>
        <w:rPr>
          <w:sz w:val="20"/>
          <w:szCs w:val="20"/>
          <w:color w:val="auto"/>
        </w:rPr>
      </w:pPr>
      <w:r>
        <w:rPr>
          <w:rFonts w:ascii="Times New Roman" w:cs="Times New Roman" w:eastAsia="Times New Roman" w:hAnsi="Times New Roman"/>
          <w:sz w:val="18"/>
          <w:szCs w:val="18"/>
          <w:color w:val="auto"/>
        </w:rPr>
        <w:t>The registration rights described above will expire, with respect to any particular holder of these rights, on the earliest to occur of (a) the closing of a deemed liquidation event, as defined in our restated certificate of incorporation, (b) at such time that all of the holder’s registrable securities can be sold without limitation in any three-month period without registration in compliance with Rule 144 or a similar exemption under the Securities Act and (c) at such time that our common stock is trading on a national securities exchange and all of the holder’s registrable securities can be sold during a three-month period without registration.</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18"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After this offering, any holder who may be deemed to be an “affiliate” as defined under Rule 144 of the Securities Act will be entitled to bind us into entering into a registration rights agreement, through which, following the expiration of the 180-day-lockup period related to this offering, these holders who enter into the agreement with us would be, subject to certain limitations, entitled to certain registration rights. These registration rights include the right to demand that we file with the SEC a Form S-3 registration statement covering the registration of their common stock for resale, subject to certain conditions, as well as rights to be permitted one underwritten public offering per calendar year, but no more than three underwritten public offering in total, to effect the sale of their common stock for sale. This registration rights agreement requires us to pay expenses relating to such registrations and indemnify these holders against certain liabilities. Our registration obligations under this registration rights agreement would continue in effect until the earliest of (i) up to ten years after the date we enter into the agreement, (ii) when the applicable registrable securities have been resold by the holders pursuant to an effective registration statement, (iii) when the applicable registrable securities have been resold pursuant to Rule 144 or (iv) when the applicable registrable securities may be resold pursuant to Rule 144 without limitations as to volume or manner of sale.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8" w:lineRule="exact"/>
        <w:rPr>
          <w:sz w:val="20"/>
          <w:szCs w:val="20"/>
          <w:color w:val="auto"/>
        </w:rPr>
      </w:pPr>
    </w:p>
    <w:p>
      <w:pPr>
        <w:ind w:right="200" w:firstLine="449"/>
        <w:spacing w:after="0" w:line="254" w:lineRule="auto"/>
        <w:rPr>
          <w:sz w:val="20"/>
          <w:szCs w:val="20"/>
          <w:color w:val="auto"/>
        </w:rPr>
      </w:pPr>
      <w:r>
        <w:rPr>
          <w:rFonts w:ascii="Times New Roman" w:cs="Times New Roman" w:eastAsia="Times New Roman" w:hAnsi="Times New Roman"/>
          <w:sz w:val="18"/>
          <w:szCs w:val="18"/>
          <w:color w:val="auto"/>
        </w:rPr>
        <w:t>The provisions of Delaware General Corporation Law, or DGCL, our restated certificate of incorporation and our restated bylaws, as we expect they will be in effect upon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40"/>
          </w:cols>
          <w:pgMar w:left="320" w:top="454" w:right="3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18"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82" w:lineRule="exact"/>
        <w:rPr>
          <w:sz w:val="20"/>
          <w:szCs w:val="20"/>
          <w:color w:val="auto"/>
        </w:rPr>
      </w:pPr>
    </w:p>
    <w:p>
      <w:pPr>
        <w:ind w:left="1000" w:right="120" w:hanging="552"/>
        <w:spacing w:after="0" w:line="278"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8" w:lineRule="exact"/>
        <w:rPr>
          <w:rFonts w:ascii="Times New Roman" w:cs="Times New Roman" w:eastAsia="Times New Roman" w:hAnsi="Times New Roman"/>
          <w:sz w:val="18"/>
          <w:szCs w:val="18"/>
          <w:color w:val="auto"/>
        </w:rPr>
      </w:pPr>
    </w:p>
    <w:p>
      <w:pPr>
        <w:ind w:left="1000" w:right="140" w:hanging="552"/>
        <w:spacing w:after="0" w:line="274" w:lineRule="auto"/>
        <w:tabs>
          <w:tab w:leader="none" w:pos="10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1000" w:right="100"/>
        <w:spacing w:after="0" w:line="28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65" w:lineRule="exact"/>
        <w:rPr>
          <w:rFonts w:ascii="Times New Roman" w:cs="Times New Roman" w:eastAsia="Times New Roman" w:hAnsi="Times New Roman"/>
          <w:sz w:val="17"/>
          <w:szCs w:val="17"/>
          <w:color w:val="auto"/>
        </w:rPr>
      </w:pPr>
    </w:p>
    <w:p>
      <w:pPr>
        <w:jc w:val="both"/>
        <w:ind w:left="1000" w:right="40" w:hanging="552"/>
        <w:spacing w:after="0" w:line="263"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75" w:lineRule="exact"/>
        <w:rPr>
          <w:sz w:val="20"/>
          <w:szCs w:val="20"/>
          <w:color w:val="auto"/>
        </w:rPr>
      </w:pPr>
    </w:p>
    <w:p>
      <w:pPr>
        <w:ind w:right="100" w:firstLine="449"/>
        <w:spacing w:after="0" w:line="274" w:lineRule="auto"/>
        <w:rPr>
          <w:sz w:val="20"/>
          <w:szCs w:val="20"/>
          <w:color w:val="auto"/>
        </w:rPr>
      </w:pPr>
      <w:r>
        <w:rPr>
          <w:rFonts w:ascii="Times New Roman" w:cs="Times New Roman" w:eastAsia="Times New Roman" w:hAnsi="Times New Roman"/>
          <w:sz w:val="17"/>
          <w:szCs w:val="17"/>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Certain Provisions of our Restated Certificate of Incorporation and Restated Bylaw</w:t>
      </w:r>
    </w:p>
    <w:p>
      <w:pPr>
        <w:spacing w:after="0" w:line="118" w:lineRule="exact"/>
        <w:rPr>
          <w:sz w:val="20"/>
          <w:szCs w:val="20"/>
          <w:color w:val="auto"/>
        </w:rPr>
      </w:pPr>
    </w:p>
    <w:p>
      <w:pPr>
        <w:ind w:right="340" w:firstLine="449"/>
        <w:spacing w:after="0" w:line="278"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as we expect they will be in effect upon the completion of this offering, include a number of provisions that could deter hostile takeovers or delay or prevent changes in control of our company, including the following:</w:t>
      </w:r>
    </w:p>
    <w:p>
      <w:pPr>
        <w:spacing w:after="0" w:line="67" w:lineRule="exact"/>
        <w:rPr>
          <w:sz w:val="20"/>
          <w:szCs w:val="20"/>
          <w:color w:val="auto"/>
        </w:rPr>
      </w:pPr>
    </w:p>
    <w:p>
      <w:pPr>
        <w:ind w:left="1000" w:right="220" w:hanging="552"/>
        <w:spacing w:after="0" w:line="274" w:lineRule="auto"/>
        <w:tabs>
          <w:tab w:leader="none" w:pos="10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Board of Directors Vacancies. </w:t>
      </w:r>
      <w:r>
        <w:rPr>
          <w:rFonts w:ascii="Times New Roman" w:cs="Times New Roman" w:eastAsia="Times New Roman" w:hAnsi="Times New Roman"/>
          <w:sz w:val="17"/>
          <w:szCs w:val="17"/>
          <w:color w:val="auto"/>
        </w:rPr>
        <w:t>Our restated certificate of incorporation and restated bylaws will authorize only our board of directors to fill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4" w:lineRule="exact"/>
        <w:rPr>
          <w:rFonts w:ascii="Times New Roman" w:cs="Times New Roman" w:eastAsia="Times New Roman" w:hAnsi="Times New Roman"/>
          <w:sz w:val="17"/>
          <w:szCs w:val="17"/>
          <w:color w:val="auto"/>
        </w:rPr>
      </w:pPr>
    </w:p>
    <w:p>
      <w:pPr>
        <w:ind w:left="1000" w:right="260" w:hanging="552"/>
        <w:spacing w:after="0" w:line="258"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restated certificate of incorporation and restated bylaws will provide that our board of directors is classified into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the section entitled “Management — Board Composition.”</w:t>
      </w:r>
    </w:p>
    <w:p>
      <w:pPr>
        <w:spacing w:after="0" w:line="86" w:lineRule="exact"/>
        <w:rPr>
          <w:rFonts w:ascii="Times New Roman" w:cs="Times New Roman" w:eastAsia="Times New Roman" w:hAnsi="Times New Roman"/>
          <w:sz w:val="18"/>
          <w:szCs w:val="18"/>
          <w:color w:val="auto"/>
        </w:rPr>
      </w:pPr>
    </w:p>
    <w:p>
      <w:pPr>
        <w:ind w:left="1000" w:right="80" w:hanging="552"/>
        <w:spacing w:after="0" w:line="264"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Special Meetings of Stockholders. </w:t>
      </w:r>
      <w:r>
        <w:rPr>
          <w:rFonts w:ascii="Times New Roman" w:cs="Times New Roman" w:eastAsia="Times New Roman" w:hAnsi="Times New Roman"/>
          <w:sz w:val="18"/>
          <w:szCs w:val="18"/>
          <w:color w:val="auto"/>
        </w:rPr>
        <w:t>Our restated certificate of incorporation will provide that our stockholders may not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by written consent, but may only take action at annual or special meetings of our stockholders. As a result, a holder controlling a majority of our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40"/>
          </w:cols>
          <w:pgMar w:left="320" w:top="454" w:right="3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20" w:right="40"/>
        <w:spacing w:after="0" w:line="255" w:lineRule="auto"/>
        <w:rPr>
          <w:sz w:val="20"/>
          <w:szCs w:val="20"/>
          <w:color w:val="auto"/>
        </w:rPr>
      </w:pPr>
      <w:r>
        <w:rPr>
          <w:rFonts w:ascii="Times New Roman" w:cs="Times New Roman" w:eastAsia="Times New Roman" w:hAnsi="Times New Roman"/>
          <w:sz w:val="18"/>
          <w:szCs w:val="18"/>
          <w:color w:val="auto"/>
        </w:rPr>
        <w:t>capital stock would not be able to amend our restated bylaws or remove directors without holding a 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89" w:lineRule="exact"/>
        <w:rPr>
          <w:sz w:val="20"/>
          <w:szCs w:val="20"/>
          <w:color w:val="auto"/>
        </w:rPr>
      </w:pPr>
    </w:p>
    <w:p>
      <w:pPr>
        <w:ind w:left="1000" w:right="60" w:hanging="552"/>
        <w:spacing w:after="0" w:line="253"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restated bylaws will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0" w:lineRule="exact"/>
        <w:rPr>
          <w:rFonts w:ascii="Times New Roman" w:cs="Times New Roman" w:eastAsia="Times New Roman" w:hAnsi="Times New Roman"/>
          <w:sz w:val="18"/>
          <w:szCs w:val="18"/>
          <w:color w:val="auto"/>
        </w:rPr>
      </w:pPr>
    </w:p>
    <w:p>
      <w:pPr>
        <w:jc w:val="both"/>
        <w:ind w:left="1000" w:right="60" w:hanging="552"/>
        <w:spacing w:after="0" w:line="264"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DGCL provides that stockholders are not entitled to the right to cumulate votes in the election of directors unless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provides otherwise. Our restated certificate of incorporation and restated bylaws will not provide for cumulative voting.</w:t>
      </w:r>
    </w:p>
    <w:p>
      <w:pPr>
        <w:spacing w:after="0" w:line="79" w:lineRule="exact"/>
        <w:rPr>
          <w:rFonts w:ascii="Times New Roman" w:cs="Times New Roman" w:eastAsia="Times New Roman" w:hAnsi="Times New Roman"/>
          <w:sz w:val="18"/>
          <w:szCs w:val="18"/>
          <w:color w:val="auto"/>
        </w:rPr>
      </w:pPr>
    </w:p>
    <w:p>
      <w:pPr>
        <w:ind w:left="1000" w:right="420" w:hanging="552"/>
        <w:spacing w:after="0" w:line="280"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Our restated certificate of incorporation will provide that stockholders may remove directors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and only by the affirmative vote of the holders of at least two-thirds of our outstanding common stock.</w:t>
      </w:r>
    </w:p>
    <w:p>
      <w:pPr>
        <w:spacing w:after="0" w:line="65" w:lineRule="exact"/>
        <w:rPr>
          <w:rFonts w:ascii="Times New Roman" w:cs="Times New Roman" w:eastAsia="Times New Roman" w:hAnsi="Times New Roman"/>
          <w:sz w:val="18"/>
          <w:szCs w:val="18"/>
          <w:color w:val="auto"/>
        </w:rPr>
      </w:pPr>
    </w:p>
    <w:p>
      <w:pPr>
        <w:ind w:left="1000" w:right="60" w:hanging="552"/>
        <w:spacing w:after="0" w:line="280"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Any amendment of the above expected provisions in our restated certificate of incorporation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by holders of at least two-thirds of our outstanding common stock.</w:t>
      </w:r>
    </w:p>
    <w:p>
      <w:pPr>
        <w:spacing w:after="0" w:line="65"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has the authority, without further action by the stockholders, to issue up</w:t>
      </w:r>
    </w:p>
    <w:p>
      <w:pPr>
        <w:spacing w:after="0" w:line="28" w:lineRule="exact"/>
        <w:rPr>
          <w:sz w:val="20"/>
          <w:szCs w:val="20"/>
          <w:color w:val="auto"/>
        </w:rPr>
      </w:pPr>
    </w:p>
    <w:p>
      <w:pPr>
        <w:ind w:left="1000" w:right="200"/>
        <w:spacing w:after="0" w:line="252" w:lineRule="auto"/>
        <w:rPr>
          <w:sz w:val="20"/>
          <w:szCs w:val="20"/>
          <w:color w:val="auto"/>
        </w:rPr>
      </w:pPr>
      <w:r>
        <w:rPr>
          <w:rFonts w:ascii="Times New Roman" w:cs="Times New Roman" w:eastAsia="Times New Roman" w:hAnsi="Times New Roman"/>
          <w:sz w:val="18"/>
          <w:szCs w:val="18"/>
          <w:color w:val="auto"/>
        </w:rPr>
        <w:t>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89" w:lineRule="exact"/>
        <w:rPr>
          <w:sz w:val="20"/>
          <w:szCs w:val="20"/>
          <w:color w:val="auto"/>
        </w:rPr>
      </w:pPr>
    </w:p>
    <w:p>
      <w:pPr>
        <w:ind w:left="1000" w:hanging="552"/>
        <w:spacing w:after="0" w:line="250"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Our restated certificate of incorporation will provide that, to the fullest extent permitted by law, the Court of Chancery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restated bylaws will also provide that the federal district courts of the United States of America will, to the fullest extent permitted by law, be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20"/>
          </w:cols>
          <w:pgMar w:left="320" w:top="454" w:right="3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20" w:right="40"/>
        <w:spacing w:after="0" w:line="253" w:lineRule="auto"/>
        <w:rPr>
          <w:sz w:val="20"/>
          <w:szCs w:val="20"/>
          <w:color w:val="auto"/>
        </w:rPr>
      </w:pPr>
      <w:r>
        <w:rPr>
          <w:rFonts w:ascii="Times New Roman" w:cs="Times New Roman" w:eastAsia="Times New Roman" w:hAnsi="Times New Roman"/>
          <w:sz w:val="18"/>
          <w:szCs w:val="18"/>
          <w:color w:val="auto"/>
        </w:rPr>
        <w:t>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8" w:lineRule="exact"/>
        <w:rPr>
          <w:sz w:val="20"/>
          <w:szCs w:val="20"/>
          <w:color w:val="auto"/>
        </w:rPr>
      </w:pPr>
    </w:p>
    <w:p>
      <w:pPr>
        <w:ind w:right="280" w:firstLine="449"/>
        <w:spacing w:after="0" w:line="278" w:lineRule="auto"/>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common stock and non-voting common stock will be Computershare Trust Company, N.A.</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Nasdaq Global Market Listing</w:t>
      </w:r>
    </w:p>
    <w:p>
      <w:pPr>
        <w:spacing w:after="0" w:line="118" w:lineRule="exact"/>
        <w:rPr>
          <w:sz w:val="20"/>
          <w:szCs w:val="20"/>
          <w:color w:val="auto"/>
        </w:rPr>
      </w:pPr>
    </w:p>
    <w:p>
      <w:pPr>
        <w:ind w:firstLine="449"/>
        <w:spacing w:after="0" w:line="278" w:lineRule="auto"/>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symbol “PRLD.” The non-voting common stock will not be listed for trading on any securities exchange.</w:t>
      </w:r>
    </w:p>
    <w:p>
      <w:pPr>
        <w:spacing w:after="0" w:line="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4" w:right="4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although we expect that our common stock will be approved for listing on the Nasdaq Global Market, we cannot assure investors that there will be an active public market for our common stock following this offering.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the number of shares of common stock outstanding as of June 30, 2020, upon the completion of this offering, we will have a total</w:t>
      </w:r>
    </w:p>
    <w:p>
      <w:pPr>
        <w:spacing w:after="0" w:line="26" w:lineRule="exact"/>
        <w:rPr>
          <w:sz w:val="20"/>
          <w:szCs w:val="20"/>
          <w:color w:val="auto"/>
        </w:rPr>
      </w:pPr>
    </w:p>
    <w:p>
      <w:pPr>
        <w:spacing w:after="0"/>
        <w:tabs>
          <w:tab w:leader="none" w:pos="940" w:val="left"/>
          <w:tab w:leader="none" w:pos="458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shares of our common stock outstanding and</w:t>
      </w:r>
      <w:r>
        <w:rPr>
          <w:sz w:val="20"/>
          <w:szCs w:val="20"/>
          <w:color w:val="auto"/>
        </w:rPr>
        <w:tab/>
      </w:r>
      <w:r>
        <w:rPr>
          <w:rFonts w:ascii="Times New Roman" w:cs="Times New Roman" w:eastAsia="Times New Roman" w:hAnsi="Times New Roman"/>
          <w:sz w:val="17"/>
          <w:szCs w:val="17"/>
          <w:color w:val="auto"/>
        </w:rPr>
        <w:t>shares of our non-voting common stock outstanding, assuming (i) the automatic conversion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outstanding shares of our convertible preferred stock into an aggregate of 35,203,953 shares of our common stock and non-voting common stock (of</w:t>
      </w:r>
    </w:p>
    <w:p>
      <w:pPr>
        <w:spacing w:after="0" w:line="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which 12,850,259 shares are non-voting common stock) and (ii) the issuance of shares of common stock in this offering. Of these outstanding shares, all of the shares of common stock sold in this offering will be freely tradable, except that any shares purchased in this offering by our affiliates, as that term is defined in Rule 144 under the Securities Act can only be sold in compliance with the Rule 144 limitations described below or in compliance with the lock-up agreements.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remaining outstanding shares of our common stock and our non-voting common stock will be deemed “restricted securities” as defined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144. Restricted securities may be sold in the public market only if they are registered under the Securities Act or if they qualify for an exemption from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under Rule 144 or Rule 701 promulgated under the Securities Act, which rules are summarized below. In addition, substantially all of our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holders have entered into market standoff agreements with us or lock-up agreements with the underwriters under which they have agreed, subject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exceptions, not to sell any of our stock for at least 180 days following the date of this prospectus, as described below.</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Lock-Up/Market Standoff Agreements</w:t>
      </w:r>
    </w:p>
    <w:p>
      <w:pPr>
        <w:spacing w:after="0" w:line="118" w:lineRule="exact"/>
        <w:rPr>
          <w:sz w:val="20"/>
          <w:szCs w:val="20"/>
          <w:color w:val="auto"/>
        </w:rPr>
      </w:pPr>
    </w:p>
    <w:p>
      <w:pPr>
        <w:ind w:right="180" w:firstLine="449"/>
        <w:spacing w:after="0" w:line="252" w:lineRule="auto"/>
        <w:rPr>
          <w:sz w:val="20"/>
          <w:szCs w:val="20"/>
          <w:color w:val="auto"/>
        </w:rPr>
      </w:pPr>
      <w:r>
        <w:rPr>
          <w:rFonts w:ascii="Times New Roman" w:cs="Times New Roman" w:eastAsia="Times New Roman" w:hAnsi="Times New Roman"/>
          <w:sz w:val="18"/>
          <w:szCs w:val="18"/>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including, with respect to all of the foregoing, shares of our non-voting common stock, for a period of 180 days following the date of this prospectus without the prior written consent of Morgan Stanley &amp; Co. LLC, Goldman Sachs &amp; Co. LLC and BofA Securities, Inc., subject to certain exceptions. Morgan Stanley &amp; Co. LLC, Goldman Sachs &amp; Co. LLC and BofA Securities, Inc. may, in their sole discretion and at any time or from time to time before the termination of the 180-day period release all or any portion of the securities subject to lock-up agreements. See the section entitled “Underwriters.”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8"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three months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20"/>
          </w:cols>
          <w:pgMar w:left="320" w:top="454" w:right="3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prior owner other than our affiliates, then that person would be entitled to sell those shares without complying with any of the requirements of Rule 144.</w:t>
      </w:r>
    </w:p>
    <w:p>
      <w:pPr>
        <w:spacing w:after="0" w:line="232" w:lineRule="exact"/>
        <w:rPr>
          <w:sz w:val="20"/>
          <w:szCs w:val="20"/>
          <w:color w:val="auto"/>
        </w:rPr>
      </w:pPr>
    </w:p>
    <w:p>
      <w:pPr>
        <w:ind w:firstLine="449"/>
        <w:spacing w:after="0" w:line="278"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69" w:lineRule="exact"/>
        <w:rPr>
          <w:sz w:val="20"/>
          <w:szCs w:val="20"/>
          <w:color w:val="auto"/>
        </w:rPr>
      </w:pPr>
    </w:p>
    <w:p>
      <w:pPr>
        <w:ind w:left="1000" w:right="20" w:hanging="559"/>
        <w:spacing w:after="0" w:line="278" w:lineRule="auto"/>
        <w:tabs>
          <w:tab w:leader="none" w:pos="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 of the number of shares of our common stock then outstanding, which will equal approximately shares immediately after this offering on the basis of the assumptions described above and assuming no exercise of the underwriters’ option to purchase additional shares; or</w:t>
      </w:r>
    </w:p>
    <w:p>
      <w:pPr>
        <w:spacing w:after="0" w:line="69" w:lineRule="exact"/>
        <w:rPr>
          <w:sz w:val="20"/>
          <w:szCs w:val="20"/>
          <w:color w:val="auto"/>
        </w:rPr>
      </w:pPr>
    </w:p>
    <w:p>
      <w:pPr>
        <w:ind w:left="1000" w:right="20" w:hanging="552"/>
        <w:spacing w:after="0" w:line="278"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reported weekly trading volume of our common stock on Nasdaq during the four calendar weeks preceding the filing of a notice on Form 144 with respect to that sale.</w:t>
      </w:r>
    </w:p>
    <w:p>
      <w:pPr>
        <w:spacing w:after="0" w:line="162" w:lineRule="exact"/>
        <w:rPr>
          <w:sz w:val="20"/>
          <w:szCs w:val="20"/>
          <w:color w:val="auto"/>
        </w:rPr>
      </w:pPr>
    </w:p>
    <w:p>
      <w:pPr>
        <w:ind w:right="420" w:firstLine="449"/>
        <w:spacing w:after="0" w:line="278"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8"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Rule 701 generally allows a stockholder who purchased shares of our common stock pursuant to a written compensatory plan or contract and who is not deemed to have been an affiliate of our company during the immediately preceding three months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and are subject to the lock-up and market standoff agreements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18" w:lineRule="exact"/>
        <w:rPr>
          <w:sz w:val="20"/>
          <w:szCs w:val="20"/>
          <w:color w:val="auto"/>
        </w:rPr>
      </w:pPr>
    </w:p>
    <w:p>
      <w:pPr>
        <w:ind w:right="200"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intend to file a registration statement on Form S-8 under the Securities Act covering all of the shares of our common stock subject to outstanding options, outstanding shares of restricted stock and the shares of our common stock reserved for issuance under our stock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8" w:lineRule="exact"/>
        <w:rPr>
          <w:sz w:val="20"/>
          <w:szCs w:val="20"/>
          <w:color w:val="auto"/>
        </w:rPr>
      </w:pPr>
    </w:p>
    <w:p>
      <w:pPr>
        <w:jc w:val="both"/>
        <w:ind w:right="40" w:firstLine="449"/>
        <w:spacing w:after="0" w:line="258" w:lineRule="auto"/>
        <w:rPr>
          <w:sz w:val="20"/>
          <w:szCs w:val="20"/>
          <w:color w:val="auto"/>
        </w:rPr>
      </w:pPr>
      <w:r>
        <w:rPr>
          <w:rFonts w:ascii="Times New Roman" w:cs="Times New Roman" w:eastAsia="Times New Roman" w:hAnsi="Times New Roman"/>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entitled “Description of Capital Stock — Registration Rights.”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454" w:right="3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5"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Medicare Contribution tax on net investment income and does not deal with state or local tax laws, U.S. federal gift and estate tax laws, except to the limited extent provided below, or any non-U.S. tax laws that may be relevant to Non-U.S. Holders in light of their particular circumstances.</w:t>
      </w:r>
    </w:p>
    <w:p>
      <w:pPr>
        <w:spacing w:after="0" w:line="184" w:lineRule="exact"/>
        <w:rPr>
          <w:sz w:val="20"/>
          <w:szCs w:val="20"/>
          <w:color w:val="auto"/>
        </w:rPr>
      </w:pPr>
    </w:p>
    <w:p>
      <w:pPr>
        <w:ind w:right="420" w:firstLine="449"/>
        <w:spacing w:after="0" w:line="278" w:lineRule="auto"/>
        <w:rPr>
          <w:sz w:val="20"/>
          <w:szCs w:val="20"/>
          <w:color w:val="auto"/>
        </w:rPr>
      </w:pPr>
      <w:r>
        <w:rPr>
          <w:rFonts w:ascii="Times New Roman" w:cs="Times New Roman" w:eastAsia="Times New Roman" w:hAnsi="Times New Roman"/>
          <w:sz w:val="18"/>
          <w:szCs w:val="18"/>
          <w:color w:val="auto"/>
        </w:rPr>
        <w:t>Special rules different from those described below may apply to certain Non-U.S. Holders that are subject to special treatment under the Internal Revenue Code of 1986, as amended, or the Code, such as:</w:t>
      </w:r>
    </w:p>
    <w:p>
      <w:pPr>
        <w:spacing w:after="0" w:line="69" w:lineRule="exact"/>
        <w:rPr>
          <w:sz w:val="20"/>
          <w:szCs w:val="20"/>
          <w:color w:val="auto"/>
        </w:rPr>
      </w:pPr>
    </w:p>
    <w:p>
      <w:pPr>
        <w:ind w:left="1000" w:hanging="552"/>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banks, investment funds and other financial institutions;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and tax-qualified retirement plans;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and international organizations;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and traders in securities;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United States;</w:t>
      </w:r>
    </w:p>
    <w:p>
      <w:pPr>
        <w:spacing w:after="0" w:line="127" w:lineRule="exact"/>
        <w:rPr>
          <w:rFonts w:ascii="Times New Roman" w:cs="Times New Roman" w:eastAsia="Times New Roman" w:hAnsi="Times New Roman"/>
          <w:sz w:val="18"/>
          <w:szCs w:val="18"/>
          <w:color w:val="auto"/>
        </w:rPr>
      </w:pPr>
    </w:p>
    <w:p>
      <w:pPr>
        <w:ind w:left="1000" w:right="880" w:hanging="552"/>
        <w:spacing w:after="0" w:line="278"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451(b) of the Code;</w:t>
      </w:r>
    </w:p>
    <w:p>
      <w:pPr>
        <w:spacing w:after="0" w:line="68" w:lineRule="exact"/>
        <w:rPr>
          <w:rFonts w:ascii="Times New Roman" w:cs="Times New Roman" w:eastAsia="Times New Roman" w:hAnsi="Times New Roman"/>
          <w:sz w:val="18"/>
          <w:szCs w:val="18"/>
          <w:color w:val="auto"/>
        </w:rPr>
      </w:pPr>
    </w:p>
    <w:p>
      <w:pPr>
        <w:ind w:left="1000" w:right="320" w:hanging="552"/>
        <w:spacing w:after="0" w:line="278"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capital stock;</w:t>
      </w:r>
    </w:p>
    <w:p>
      <w:pPr>
        <w:spacing w:after="0" w:line="127" w:lineRule="exact"/>
        <w:rPr>
          <w:rFonts w:ascii="Times New Roman" w:cs="Times New Roman" w:eastAsia="Times New Roman" w:hAnsi="Times New Roman"/>
          <w:sz w:val="18"/>
          <w:szCs w:val="18"/>
          <w:color w:val="auto"/>
        </w:rPr>
      </w:pPr>
    </w:p>
    <w:p>
      <w:pPr>
        <w:ind w:left="1000" w:right="260" w:hanging="552"/>
        <w:spacing w:after="0" w:line="278"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8" w:lineRule="exact"/>
        <w:rPr>
          <w:rFonts w:ascii="Times New Roman" w:cs="Times New Roman" w:eastAsia="Times New Roman" w:hAnsi="Times New Roman"/>
          <w:sz w:val="18"/>
          <w:szCs w:val="18"/>
          <w:color w:val="auto"/>
        </w:rPr>
      </w:pPr>
    </w:p>
    <w:p>
      <w:pPr>
        <w:ind w:left="1000" w:hanging="552"/>
        <w:spacing w:after="0" w:line="278"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“hedge,” “conversion transaction,” “synthetic security” or integrated investment or other risk reduction strategy;</w:t>
      </w:r>
    </w:p>
    <w:p>
      <w:pPr>
        <w:spacing w:after="0" w:line="68" w:lineRule="exact"/>
        <w:rPr>
          <w:rFonts w:ascii="Times New Roman" w:cs="Times New Roman" w:eastAsia="Times New Roman" w:hAnsi="Times New Roman"/>
          <w:sz w:val="18"/>
          <w:szCs w:val="18"/>
          <w:color w:val="auto"/>
        </w:rPr>
      </w:pPr>
    </w:p>
    <w:p>
      <w:pPr>
        <w:ind w:left="1000" w:right="480" w:hanging="552"/>
        <w:spacing w:after="0" w:line="278"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for investment purposes); and</w:t>
      </w:r>
    </w:p>
    <w:p>
      <w:pPr>
        <w:spacing w:after="0" w:line="68" w:lineRule="exact"/>
        <w:rPr>
          <w:rFonts w:ascii="Times New Roman" w:cs="Times New Roman" w:eastAsia="Times New Roman" w:hAnsi="Times New Roman"/>
          <w:sz w:val="18"/>
          <w:szCs w:val="18"/>
          <w:color w:val="auto"/>
        </w:rPr>
      </w:pPr>
    </w:p>
    <w:p>
      <w:pPr>
        <w:ind w:left="1000" w:right="520" w:hanging="552"/>
        <w:spacing w:after="0" w:line="278"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entities or arrangements treated as pass-through or disregarded entities for U.S. federal income tax purposes, and investors in such entities (regardless of their places of organization or formation).</w:t>
      </w:r>
    </w:p>
    <w:p>
      <w:pPr>
        <w:spacing w:after="0" w:line="162" w:lineRule="exact"/>
        <w:rPr>
          <w:sz w:val="20"/>
          <w:szCs w:val="20"/>
          <w:color w:val="auto"/>
        </w:rPr>
      </w:pPr>
    </w:p>
    <w:p>
      <w:pPr>
        <w:ind w:right="120" w:firstLine="449"/>
        <w:spacing w:after="0" w:line="278" w:lineRule="auto"/>
        <w:rPr>
          <w:sz w:val="20"/>
          <w:szCs w:val="20"/>
          <w:color w:val="auto"/>
        </w:rPr>
      </w:pPr>
      <w:r>
        <w:rPr>
          <w:rFonts w:ascii="Times New Roman" w:cs="Times New Roman" w:eastAsia="Times New Roman" w:hAnsi="Times New Roman"/>
          <w:sz w:val="18"/>
          <w:szCs w:val="18"/>
          <w:color w:val="auto"/>
        </w:rPr>
        <w:t>Such Non-U.S. Holders are urged to consult their own tax advisors to determine the U.S. federal, state, local and other tax consequences that may be relevant to them.</w:t>
      </w:r>
    </w:p>
    <w:p>
      <w:pPr>
        <w:spacing w:after="0" w:line="162" w:lineRule="exact"/>
        <w:rPr>
          <w:sz w:val="20"/>
          <w:szCs w:val="20"/>
          <w:color w:val="auto"/>
        </w:rPr>
      </w:pPr>
    </w:p>
    <w:p>
      <w:pPr>
        <w:ind w:firstLine="449"/>
        <w:spacing w:after="0" w:line="274" w:lineRule="auto"/>
        <w:rPr>
          <w:sz w:val="20"/>
          <w:szCs w:val="20"/>
          <w:color w:val="auto"/>
        </w:rPr>
      </w:pPr>
      <w:r>
        <w:rPr>
          <w:rFonts w:ascii="Times New Roman" w:cs="Times New Roman" w:eastAsia="Times New Roman" w:hAnsi="Times New Roman"/>
          <w:sz w:val="17"/>
          <w:szCs w:val="17"/>
          <w:color w:val="auto"/>
        </w:rPr>
        <w:t>Furthermore, the discussion below is based upon the provisions of the Code, and U.S. Treasury Regulations, rulings and judicial decisions thereunder as of the date hereof, and such authorities may be repealed, revoked or modified, possibly retroactively, or could be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w:t>
      </w:r>
    </w:p>
    <w:p>
      <w:pPr>
        <w:spacing w:after="0" w:line="168" w:lineRule="exact"/>
        <w:rPr>
          <w:sz w:val="20"/>
          <w:szCs w:val="20"/>
          <w:color w:val="auto"/>
        </w:rPr>
      </w:pPr>
    </w:p>
    <w:p>
      <w:pPr>
        <w:ind w:right="180" w:firstLine="449"/>
        <w:spacing w:after="0" w:line="263" w:lineRule="auto"/>
        <w:rPr>
          <w:sz w:val="20"/>
          <w:szCs w:val="20"/>
          <w:color w:val="auto"/>
        </w:rPr>
      </w:pPr>
      <w:r>
        <w:rPr>
          <w:rFonts w:ascii="Times New Roman" w:cs="Times New Roman" w:eastAsia="Times New Roman" w:hAnsi="Times New Roman"/>
          <w:sz w:val="18"/>
          <w:szCs w:val="18"/>
          <w:color w:val="auto"/>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CONSEQUENCES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80"/>
          </w:cols>
          <w:pgMar w:left="320" w:top="454" w:right="39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340"/>
        <w:spacing w:after="0" w:line="308" w:lineRule="auto"/>
        <w:rPr>
          <w:sz w:val="20"/>
          <w:szCs w:val="20"/>
          <w:color w:val="auto"/>
        </w:rPr>
      </w:pPr>
      <w:r>
        <w:rPr>
          <w:rFonts w:ascii="Times New Roman" w:cs="Times New Roman" w:eastAsia="Times New Roman" w:hAnsi="Times New Roman"/>
          <w:sz w:val="17"/>
          <w:szCs w:val="17"/>
          <w:color w:val="auto"/>
        </w:rPr>
        <w:t>ARISING UNDER THE LAWS OF ANY OTHER TAXING JURISDICTION, INCLUDING ANY STATE, LOCAL OR NON-U.S. TAX CONSEQUENCES OR ANY U.S. FEDERAL NON-INCOME TAX CONSEQUENCES, AND THE POSSIBLE APPLICATION OF TAX TREATIES.</w:t>
      </w:r>
    </w:p>
    <w:p>
      <w:pPr>
        <w:spacing w:after="0" w:line="140" w:lineRule="exact"/>
        <w:rPr>
          <w:sz w:val="20"/>
          <w:szCs w:val="20"/>
          <w:color w:val="auto"/>
        </w:rPr>
      </w:pPr>
    </w:p>
    <w:p>
      <w:pPr>
        <w:ind w:right="160" w:firstLine="449"/>
        <w:spacing w:after="0" w:line="253" w:lineRule="auto"/>
        <w:rPr>
          <w:sz w:val="20"/>
          <w:szCs w:val="20"/>
          <w:color w:val="auto"/>
        </w:rPr>
      </w:pPr>
      <w:r>
        <w:rPr>
          <w:rFonts w:ascii="Times New Roman" w:cs="Times New Roman" w:eastAsia="Times New Roman" w:hAnsi="Times New Roman"/>
          <w:sz w:val="18"/>
          <w:szCs w:val="18"/>
          <w:color w:val="auto"/>
        </w:rPr>
        <w:t>For the purposes of this discussion, a “Non-U.S. Holder” is a beneficial owner of common stock, other than a partnership or other entity or arrangement treated as a pass-through entity, that is not, for U.S. federal income tax purposes, (a) 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0" w:lineRule="exact"/>
        <w:rPr>
          <w:sz w:val="20"/>
          <w:szCs w:val="20"/>
          <w:color w:val="auto"/>
        </w:rPr>
      </w:pPr>
    </w:p>
    <w:p>
      <w:pPr>
        <w:jc w:val="both"/>
        <w:ind w:firstLine="449"/>
        <w:spacing w:after="0" w:line="263" w:lineRule="auto"/>
        <w:rPr>
          <w:sz w:val="20"/>
          <w:szCs w:val="20"/>
          <w:color w:val="auto"/>
        </w:rPr>
      </w:pPr>
      <w:r>
        <w:rPr>
          <w:rFonts w:ascii="Times New Roman" w:cs="Times New Roman" w:eastAsia="Times New Roman" w:hAnsi="Times New Roman"/>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8"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We do not expect to make any distributions on our common stock in the foreseeable future. If we do make distributions on our common stock, however, such distributions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entitled “— Gain on Disposition of Our Common Stock.”</w:t>
      </w:r>
    </w:p>
    <w:p>
      <w:pPr>
        <w:spacing w:after="0" w:line="184" w:lineRule="exact"/>
        <w:rPr>
          <w:sz w:val="20"/>
          <w:szCs w:val="20"/>
          <w:color w:val="auto"/>
        </w:rPr>
      </w:pPr>
    </w:p>
    <w:p>
      <w:pPr>
        <w:ind w:right="100" w:firstLine="449"/>
        <w:spacing w:after="0" w:line="251" w:lineRule="auto"/>
        <w:rPr>
          <w:sz w:val="20"/>
          <w:szCs w:val="20"/>
          <w:color w:val="auto"/>
        </w:rPr>
      </w:pPr>
      <w:r>
        <w:rPr>
          <w:rFonts w:ascii="Times New Roman" w:cs="Times New Roman" w:eastAsia="Times New Roman" w:hAnsi="Times New Roman"/>
          <w:sz w:val="18"/>
          <w:szCs w:val="18"/>
          <w:color w:val="auto"/>
        </w:rPr>
        <w:t>Any distribution on our common stock that is treated as a dividend paid to a Non-U.S. Holder that is not effectively connected with the Non-U.S. Holder’s conduct of a trade or business in the United States will generally be subject to U.S. federal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of any excess amounts withheld by timely filing an appropriate claim for a refund with the IRS.</w:t>
      </w:r>
    </w:p>
    <w:p>
      <w:pPr>
        <w:spacing w:after="0" w:line="189" w:lineRule="exact"/>
        <w:rPr>
          <w:sz w:val="20"/>
          <w:szCs w:val="20"/>
          <w:color w:val="auto"/>
        </w:rPr>
      </w:pPr>
    </w:p>
    <w:p>
      <w:pPr>
        <w:ind w:right="500" w:firstLine="449"/>
        <w:spacing w:after="0" w:line="278"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40"/>
          </w:cols>
          <w:pgMar w:left="320" w:top="454" w:right="3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applicable income tax treaty, are attributable to a permanent establishment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same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84" w:lineRule="exact"/>
        <w:rPr>
          <w:sz w:val="20"/>
          <w:szCs w:val="20"/>
          <w:color w:val="auto"/>
        </w:rPr>
      </w:pPr>
    </w:p>
    <w:p>
      <w:pPr>
        <w:ind w:firstLine="449"/>
        <w:spacing w:after="0" w:line="278" w:lineRule="auto"/>
        <w:rPr>
          <w:sz w:val="20"/>
          <w:szCs w:val="20"/>
          <w:color w:val="auto"/>
        </w:rPr>
      </w:pPr>
      <w:r>
        <w:rPr>
          <w:rFonts w:ascii="Times New Roman" w:cs="Times New Roman" w:eastAsia="Times New Roman" w:hAnsi="Times New Roman"/>
          <w:sz w:val="18"/>
          <w:szCs w:val="18"/>
          <w:color w:val="auto"/>
        </w:rPr>
        <w:t>See also the section below entitled “— Foreign Accounts” for additional withholding rules that may apply to dividends paid to certain foreign financial institutions or non-financial foreign entities.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18"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Subject to the discussions below under the sections entitled “— Backup Withholding and Information Reporting” and “—Foreign Accounts,” a Non-U.S. Holder generally will not be subject to U.S. federal income or withholding tax with respect to gain realized on a sale or other disposition of our common stock unless (a) the gain is effectively connected with a trade or business of the Non-U.S. Holder in the United States (and, if required by an applicable income tax treaty, is attributable to a permanent establishment that the holder maintains in the United States), (b) the Non-U.S. Holder is a nonresident alien who is an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Non-U.S. Holder’s holding period in the common stock.</w:t>
      </w:r>
    </w:p>
    <w:p>
      <w:pPr>
        <w:spacing w:after="0" w:line="184"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If you are a Non-U.S. Holder described in (a) above, you will be required to pay tax on the net gain derived from the sale at the same U.S. federal income tax rates applicable to U.S. persons. Corporate Non-U.S. Holders described in (a) above may also be subject to the additional branch profits tax at a 30% rate (or such lower rate as may be specified by an applicable income tax treaty) of its effectively connected earnings and profits for the taxable year, as adjusted for certain items.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United States real property holding corporation if U.S. real property interests as defined in the Code and the U.S. Treasury Regulations comprised (by fair market value) at least half of our worldwide real property interests plus our other assets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were to be treated as a U.S. real property holding corporation, gain realized by a Non-U.S. Holder on a disposition of our common stock would not be subject to U.S. federal income tax so long as (1) the Non-U.S. Holder owned, directly, indirectly or constructively, no more than five percent of our common stock at all times within the shorter of (i) the five-year period preceding the disposition or (ii) the Non-U.S. Holder’s holding period and (2) our common stock is regularly traded on an established securities market. There can be no assurance that our common stock will qualify as regularly traded on an established securities market.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11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40"/>
          </w:cols>
          <w:pgMar w:left="320" w:top="454" w:right="3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color w:val="auto"/>
        </w:rPr>
        <w:t>purposes. Investors are urged to consult their own tax advisors regarding the U.S. federal estate tax consequences of the ownership or disposition of our common stock.</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1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federal backup withholding. U.S. federal backup withholding generally will not apply to a Non-U.S. Holder who provides a properly executed IRS Form W-8BEN, IRS Form W-8BEN-E, or IRS Form ECI, as applicable, or otherwise establishes an exemption, provided that the applicable withholding agent does not have actual knowledge or reason to know the holder is a U.S. person.</w:t>
      </w:r>
    </w:p>
    <w:p>
      <w:pPr>
        <w:spacing w:after="0" w:line="180" w:lineRule="exact"/>
        <w:rPr>
          <w:sz w:val="20"/>
          <w:szCs w:val="20"/>
          <w:color w:val="auto"/>
        </w:rPr>
      </w:pPr>
    </w:p>
    <w:p>
      <w:pPr>
        <w:ind w:right="60" w:firstLine="449"/>
        <w:spacing w:after="0" w:line="270" w:lineRule="auto"/>
        <w:rPr>
          <w:sz w:val="20"/>
          <w:szCs w:val="20"/>
          <w:color w:val="auto"/>
        </w:rPr>
      </w:pPr>
      <w:r>
        <w:rPr>
          <w:rFonts w:ascii="Times New Roman" w:cs="Times New Roman" w:eastAsia="Times New Roman" w:hAnsi="Times New Roman"/>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or IRS Form ECI, as applicable,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2" w:lineRule="exact"/>
        <w:rPr>
          <w:sz w:val="20"/>
          <w:szCs w:val="20"/>
          <w:color w:val="auto"/>
        </w:rPr>
      </w:pPr>
    </w:p>
    <w:p>
      <w:pPr>
        <w:ind w:right="440" w:firstLine="449"/>
        <w:spacing w:after="0" w:line="278" w:lineRule="auto"/>
        <w:rPr>
          <w:sz w:val="20"/>
          <w:szCs w:val="20"/>
          <w:color w:val="auto"/>
        </w:rPr>
      </w:pPr>
      <w:r>
        <w:rPr>
          <w:rFonts w:ascii="Times New Roman" w:cs="Times New Roman" w:eastAsia="Times New Roman" w:hAnsi="Times New Roman"/>
          <w:sz w:val="18"/>
          <w:szCs w:val="18"/>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8" w:lineRule="exact"/>
        <w:rPr>
          <w:sz w:val="20"/>
          <w:szCs w:val="20"/>
          <w:color w:val="auto"/>
        </w:rPr>
      </w:pPr>
    </w:p>
    <w:p>
      <w:pPr>
        <w:ind w:right="40" w:firstLine="449"/>
        <w:spacing w:after="0" w:line="267" w:lineRule="auto"/>
        <w:rPr>
          <w:sz w:val="20"/>
          <w:szCs w:val="20"/>
          <w:color w:val="auto"/>
        </w:rPr>
      </w:pPr>
      <w:r>
        <w:rPr>
          <w:rFonts w:ascii="Times New Roman" w:cs="Times New Roman" w:eastAsia="Times New Roman" w:hAnsi="Times New Roman"/>
          <w:sz w:val="17"/>
          <w:szCs w:val="17"/>
          <w:color w:val="auto"/>
        </w:rPr>
        <w:t>In addition, U.S. federal withholding taxes may apply under the Foreign Account Tax Compliance Act, or FATCA, on certain types of payments, including dividends paid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w:t>
      </w:r>
    </w:p>
    <w:p>
      <w:pPr>
        <w:spacing w:after="0" w:line="1" w:lineRule="exact"/>
        <w:rPr>
          <w:sz w:val="20"/>
          <w:szCs w:val="20"/>
          <w:color w:val="auto"/>
        </w:rPr>
      </w:pPr>
    </w:p>
    <w:p>
      <w:pPr>
        <w:ind w:right="140" w:firstLine="7"/>
        <w:spacing w:after="0" w:line="265" w:lineRule="auto"/>
        <w:tabs>
          <w:tab w:leader="none" w:pos="252"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the applicable Treasury Regulations and administrative guidance, withholding under FATCA generally also would apply to payments of gross proceeds from the sale or other disposition of common stock. Under proposed regulations,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200"/>
          </w:cols>
          <w:pgMar w:left="320" w:top="454" w:right="37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8"/>
          <w:szCs w:val="18"/>
          <w:color w:val="auto"/>
        </w:rPr>
        <w:t>however, no withholding will apply with respect to payments of gross proceeds. The preamble to the proposed regulations specifies that taxpayers are permitted to rely on such proposed regulations pending finalization.</w:t>
      </w:r>
    </w:p>
    <w:p>
      <w:pPr>
        <w:spacing w:after="0" w:line="162" w:lineRule="exact"/>
        <w:rPr>
          <w:sz w:val="20"/>
          <w:szCs w:val="20"/>
          <w:color w:val="auto"/>
        </w:rPr>
      </w:pPr>
    </w:p>
    <w:p>
      <w:pPr>
        <w:ind w:right="420" w:firstLine="449"/>
        <w:spacing w:after="0" w:line="278"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 OR UNDER ANY APPLICABLE TAX TREATY.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40"/>
          </w:cols>
          <w:pgMar w:left="320" w:top="454" w:right="3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5" w:lineRule="exact"/>
        <w:rPr>
          <w:sz w:val="20"/>
          <w:szCs w:val="20"/>
          <w:color w:val="auto"/>
        </w:rPr>
      </w:pPr>
    </w:p>
    <w:p>
      <w:pPr>
        <w:ind w:right="20" w:firstLine="449"/>
        <w:spacing w:after="0" w:line="263"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Goldman Sachs &amp; Co. LLC and BofA Securities, Inc. are acting as representatives, have severally agreed to purchase, and we have agreed to sell to them, severally, the number of shares indicated below:</w:t>
      </w:r>
    </w:p>
    <w:p>
      <w:pPr>
        <w:spacing w:after="0" w:line="18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tc>
        <w:tc>
          <w:tcPr>
            <w:tcW w:w="4340" w:type="dxa"/>
            <w:vAlign w:val="bottom"/>
          </w:tcPr>
          <w:p>
            <w:pPr>
              <w:jc w:val="center"/>
              <w:ind w:left="360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4340" w:type="dxa"/>
            <w:vAlign w:val="bottom"/>
          </w:tcPr>
          <w:p>
            <w:pPr>
              <w:jc w:val="center"/>
              <w:ind w:left="36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-8890</wp:posOffset>
            </wp:positionV>
            <wp:extent cx="5350510" cy="144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350510" cy="144145"/>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3810</wp:posOffset>
            </wp:positionV>
            <wp:extent cx="5350510" cy="135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350510" cy="13589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5788025</wp:posOffset>
            </wp:positionH>
            <wp:positionV relativeFrom="paragraph">
              <wp:posOffset>3810</wp:posOffset>
            </wp:positionV>
            <wp:extent cx="4248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ind w:left="21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5788025</wp:posOffset>
            </wp:positionH>
            <wp:positionV relativeFrom="paragraph">
              <wp:posOffset>15875</wp:posOffset>
            </wp:positionV>
            <wp:extent cx="4248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228"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4"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7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the per share and total public offering price, underwriting discounts and commissions, and proceeds before expenses to us.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These amounts are shown assuming both no exercise and full exercise of the underwriters’ option to purchase up to an additional</w:t>
            </w: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6"/>
              </w:rPr>
              <w:t>shares of</w:t>
            </w:r>
          </w:p>
        </w:tc>
        <w:tc>
          <w:tcPr>
            <w:tcW w:w="0" w:type="dxa"/>
            <w:vAlign w:val="bottom"/>
          </w:tcPr>
          <w:p>
            <w:pPr>
              <w:spacing w:after="0"/>
              <w:rPr>
                <w:sz w:val="1"/>
                <w:szCs w:val="1"/>
                <w:color w:val="auto"/>
              </w:rPr>
            </w:pPr>
          </w:p>
        </w:tc>
      </w:tr>
      <w:tr>
        <w:trPr>
          <w:trHeight w:val="233"/>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50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Per</w:t>
            </w:r>
          </w:p>
        </w:tc>
        <w:tc>
          <w:tcPr>
            <w:tcW w:w="5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40" w:type="dxa"/>
            <w:vAlign w:val="bottom"/>
          </w:tcPr>
          <w:p>
            <w:pPr>
              <w:spacing w:after="0"/>
              <w:rPr>
                <w:sz w:val="8"/>
                <w:szCs w:val="8"/>
                <w:color w:val="auto"/>
              </w:rPr>
            </w:pPr>
          </w:p>
        </w:tc>
        <w:tc>
          <w:tcPr>
            <w:tcW w:w="63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Full Exercise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500" w:type="dxa"/>
            <w:vAlign w:val="bottom"/>
            <w:tcBorders>
              <w:top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500" w:type="dxa"/>
            <w:vAlign w:val="bottom"/>
          </w:tcPr>
          <w:p>
            <w:pPr>
              <w:jc w:val="right"/>
              <w:ind w:right="341"/>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5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60" w:firstLine="449"/>
        <w:spacing w:after="0" w:line="278"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 . We have agreed to reimburse the underwriters for expenses relating to clearance of this offering with the Financial Industry Regulatory Authority of up to $ .</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20"/>
          </w:cols>
          <w:pgMar w:left="320" w:top="454" w:right="3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40" w:firstLine="449"/>
        <w:spacing w:after="0" w:line="278"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trading symbol “PRLD”.</w:t>
      </w:r>
    </w:p>
    <w:p>
      <w:pPr>
        <w:spacing w:after="0" w:line="221"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 up to five percent of the shares offered by this prospectus for sale to some of our directors, officers, employees, business associates and related persons through a directed share program. The underwriters will receive the same underwriting discount on any shares purchased pursuant to this program as they will on any other shares sold to the public in this offering. If these persons purchase reserved shares, this will reduce the number of shares available for sale to the general public. Any reserved shares that are not so purchased will be offered by the underwriters to the general public on the same terms as the other shares offered by this prospectus. In addition, we have requested that the underwriters make issuer directed allocations to certain existing investors. If purchased by these persons, these shares will not be subject to a lock-up restriction, except in the case of shares purchased by any director or executive officer, which shares will be subject to the lock-up restrictions described below. We have agreed to indemnify the underwriters against certain liabilities and expenses, including liabilities under the Securities Act, in connection with the directed share program. The directed share program will be arranged through Morgan Stanley &amp; Co. LLC.</w:t>
      </w:r>
    </w:p>
    <w:p>
      <w:pPr>
        <w:spacing w:after="0" w:line="192" w:lineRule="exact"/>
        <w:rPr>
          <w:sz w:val="20"/>
          <w:szCs w:val="20"/>
          <w:color w:val="auto"/>
        </w:rPr>
      </w:pPr>
    </w:p>
    <w:p>
      <w:pPr>
        <w:ind w:right="280" w:firstLine="449"/>
        <w:spacing w:after="0" w:line="263" w:lineRule="auto"/>
        <w:rPr>
          <w:sz w:val="20"/>
          <w:szCs w:val="20"/>
          <w:color w:val="auto"/>
        </w:rPr>
      </w:pPr>
      <w:r>
        <w:rPr>
          <w:rFonts w:ascii="Times New Roman" w:cs="Times New Roman" w:eastAsia="Times New Roman" w:hAnsi="Times New Roman"/>
          <w:sz w:val="18"/>
          <w:szCs w:val="18"/>
          <w:color w:val="auto"/>
        </w:rPr>
        <w:t>We and all directors and officers and the holders of substantially all of our outstanding stock and stock options have agreed that, without the prior written consent of Morgan Stanley &amp; Co. LLC, Goldman Sachs &amp; Co. LLC and BofA Securities, Inc. on behalf of the underwriters, we and they will not, and will not publicly disclose an intention to, during the period ending 180 days after the date of this prospectus, or the restricted period:</w:t>
      </w:r>
    </w:p>
    <w:p>
      <w:pPr>
        <w:spacing w:after="0" w:line="82" w:lineRule="exact"/>
        <w:rPr>
          <w:sz w:val="20"/>
          <w:szCs w:val="20"/>
          <w:color w:val="auto"/>
        </w:rPr>
      </w:pPr>
    </w:p>
    <w:p>
      <w:pPr>
        <w:ind w:left="1000" w:right="180" w:hanging="552"/>
        <w:spacing w:after="0" w:line="263"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non-voting common stock or any securities convertible into or exercisable or exchangeable for shares of common stock or non-voting common stock;</w:t>
      </w:r>
    </w:p>
    <w:p>
      <w:pPr>
        <w:spacing w:after="0" w:line="81" w:lineRule="exact"/>
        <w:rPr>
          <w:rFonts w:ascii="Times New Roman" w:cs="Times New Roman" w:eastAsia="Times New Roman" w:hAnsi="Times New Roman"/>
          <w:sz w:val="18"/>
          <w:szCs w:val="18"/>
          <w:color w:val="auto"/>
        </w:rPr>
      </w:pPr>
    </w:p>
    <w:p>
      <w:pPr>
        <w:ind w:left="1000" w:right="640" w:hanging="552"/>
        <w:spacing w:after="0" w:line="278"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 relating to the offering of any shares of common stock or any securities convertible into or exercisable or exchangeable for common stock or non-voting common stock; or</w:t>
      </w:r>
    </w:p>
    <w:p>
      <w:pPr>
        <w:spacing w:after="0" w:line="68" w:lineRule="exact"/>
        <w:rPr>
          <w:rFonts w:ascii="Times New Roman" w:cs="Times New Roman" w:eastAsia="Times New Roman" w:hAnsi="Times New Roman"/>
          <w:sz w:val="18"/>
          <w:szCs w:val="18"/>
          <w:color w:val="auto"/>
        </w:rPr>
      </w:pPr>
    </w:p>
    <w:p>
      <w:pPr>
        <w:ind w:left="1000" w:right="180" w:hanging="552"/>
        <w:spacing w:after="0" w:line="278"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or non-voting common stock.</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Goldman Sachs &amp; Co. LLC and BofA Securities, Inc.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to do not apply to our directors, officers and securityholders with respect to:</w:t>
      </w:r>
    </w:p>
    <w:p>
      <w:pPr>
        <w:spacing w:after="0" w:line="127" w:lineRule="exact"/>
        <w:rPr>
          <w:sz w:val="20"/>
          <w:szCs w:val="20"/>
          <w:color w:val="auto"/>
        </w:rPr>
      </w:pPr>
    </w:p>
    <w:p>
      <w:pPr>
        <w:ind w:left="1000" w:hanging="552"/>
        <w:spacing w:after="0" w:line="258"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the offering (other than issuer-directed shares of common stock purchased in the offering by our officers or directors) or in open market transactions after the completion of the offering, provided that no filing under Section 16(a) of the Exchange Act shall be required or shall be voluntarily made during the restricted period in connection with subsequent sales of common stock or other securities acquired in the offering or such open market transactions;</w:t>
      </w:r>
    </w:p>
    <w:p>
      <w:pPr>
        <w:spacing w:after="0" w:line="86" w:lineRule="exact"/>
        <w:rPr>
          <w:rFonts w:ascii="Times New Roman" w:cs="Times New Roman" w:eastAsia="Times New Roman" w:hAnsi="Times New Roman"/>
          <w:sz w:val="18"/>
          <w:szCs w:val="18"/>
          <w:color w:val="auto"/>
        </w:rPr>
      </w:pPr>
    </w:p>
    <w:p>
      <w:pPr>
        <w:jc w:val="both"/>
        <w:ind w:left="1000" w:right="180" w:hanging="552"/>
        <w:spacing w:after="0" w:line="263"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(i) as a bona fide gift or charitable contribution, (ii) by will or intestacy or to any member of the holder’s immediate family or to a trust for the direct or indirect benefit of the holder and/or any member of the holder’s immediate family, (iii) to any corporation,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40"/>
          </w:cols>
          <w:pgMar w:left="320" w:top="454" w:right="3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20" w:right="40"/>
        <w:spacing w:after="0" w:line="250" w:lineRule="auto"/>
        <w:rPr>
          <w:sz w:val="20"/>
          <w:szCs w:val="20"/>
          <w:color w:val="auto"/>
        </w:rPr>
      </w:pPr>
      <w:r>
        <w:rPr>
          <w:rFonts w:ascii="Times New Roman" w:cs="Times New Roman" w:eastAsia="Times New Roman" w:hAnsi="Times New Roman"/>
          <w:sz w:val="18"/>
          <w:szCs w:val="18"/>
          <w:color w:val="auto"/>
        </w:rPr>
        <w:t>partnership, limited liability company or other business entity, all of the beneficial ownership interests of which, in each such case, are held by the holder or any member of the holder’s immediate family, (iv) if the holder is an entity, to limited partners, members, shareholders or holders of similar equity interests in the holder, or (v) if the holder is an entity, to another corporation, partnership, limited liability company, trust or other business entity that is an affiliate (as defined in Rule 405 promulgated under the Securities Act) of the holder, or to any investment fund or other entity controlled or managed by the holder or affiliated with the holder; provided that, in the case of any transfer or distribution pursuant to this clause, (A) each transferee, donee or distributee shall sign and deliver a substantially similar lock-up agreement and (B) no filing under Section 16(a) of the Exchange Act reporting a reduction in beneficial ownership of shares of common stock or any securities convertible into or exercisable or exchangeable for common stock shall be required or shall be voluntarily made during the restricted period (other than, in the case of a transfer or other disposition pursuant to clause (i) or (ii) above, a Form 5 required to be filed under the Exchange Act if the holder is subject to Section 16 reporting under the Exchange Act; any such filing will indicate by footnote disclosure or otherwise the nature of the transfer or disposition); and provided further that any such transfer pursuant to this clause shall not involve a transfer or distribution for value;</w:t>
      </w:r>
    </w:p>
    <w:p>
      <w:pPr>
        <w:spacing w:after="0" w:line="101" w:lineRule="exact"/>
        <w:rPr>
          <w:sz w:val="20"/>
          <w:szCs w:val="20"/>
          <w:color w:val="auto"/>
        </w:rPr>
      </w:pPr>
    </w:p>
    <w:p>
      <w:pPr>
        <w:ind w:left="1000" w:hanging="552"/>
        <w:spacing w:after="0" w:line="255"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shares of common stock by operation of law pursuant to a qualified domestic order or other court order or in connection with a divorce settlement; provided that (i) any filing under Section 16(a) of the Exchange Act made during the restricted period shall clearly indicate in the footnotes thereto that (A) the filing relates to the circumstances described in this clause and (B) no securities were sold by the holder, and (ii) the holder does not otherwise voluntarily effect any other public filing or report regarding such transfers during the restricted period;</w:t>
      </w:r>
    </w:p>
    <w:p>
      <w:pPr>
        <w:spacing w:after="0" w:line="90" w:lineRule="exact"/>
        <w:rPr>
          <w:rFonts w:ascii="Times New Roman" w:cs="Times New Roman" w:eastAsia="Times New Roman" w:hAnsi="Times New Roman"/>
          <w:sz w:val="18"/>
          <w:szCs w:val="18"/>
          <w:color w:val="auto"/>
        </w:rPr>
      </w:pPr>
    </w:p>
    <w:p>
      <w:pPr>
        <w:ind w:left="1000" w:right="20" w:hanging="552"/>
        <w:spacing w:after="0" w:line="250"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exercise of options or other similar awards or the vesting or settlement of awards granted pursuant to our equity incentive plans as described in this prospectus and outstanding on the date of the underwriting agreement (including the delivery and receipt of shares of common stock, other awards or any securities convertible into or exercisable or exchangeable for shares of common stock in connection with such exercise, vesting or settlement), or (ii) the transfer or disposition of shares of common stock or any securities convertible into shares of common stock by the holder to the company (or the purchase and cancellation of the same by the company) upon a vesting or settlement event of our securities or upon the exercise of options to purchase our securities on a “cashless” or “net exercise” basis solely to the extent permitted by the instruments representing such options pursuant to our equity incentive plans as described in this prospectus and solely to cover withholding tax obligations in connection with such transaction and any transfer to the company for the payment of taxes as a result of such transaction, provided that (A) the shares of common stock received upon the exercise or settlement of the option are subject to the same restrictions, (B) no public disclosure or filing under Section 16(a) of the Exchange Act shall be voluntarily made during the restricted period and (C) to the extent a filing under Section 16(a) of the Exchange Act is required during the restricted period as a result of transfers in this clause, it shall clearly indicate that the filing relates to the circumstances described in this clause;</w:t>
      </w:r>
    </w:p>
    <w:p>
      <w:pPr>
        <w:spacing w:after="0" w:line="100" w:lineRule="exact"/>
        <w:rPr>
          <w:rFonts w:ascii="Times New Roman" w:cs="Times New Roman" w:eastAsia="Times New Roman" w:hAnsi="Times New Roman"/>
          <w:sz w:val="18"/>
          <w:szCs w:val="18"/>
          <w:color w:val="auto"/>
        </w:rPr>
      </w:pPr>
    </w:p>
    <w:p>
      <w:pPr>
        <w:ind w:left="1000" w:right="80" w:hanging="552"/>
        <w:spacing w:after="0" w:line="258"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pursuant to the repurchase of shares of common stock in connection with the termination of the holder’s employment with the company or other service relationship with the company pursuant to contractual agreements with the company as in effect as of the date of this prospectus, provided that no public disclosure or filing under Section 16(a) of the Exchange Act shall be required or shall be voluntarily made during the restricted period;</w:t>
      </w:r>
    </w:p>
    <w:p>
      <w:pPr>
        <w:spacing w:after="0" w:line="86" w:lineRule="exact"/>
        <w:rPr>
          <w:rFonts w:ascii="Times New Roman" w:cs="Times New Roman" w:eastAsia="Times New Roman" w:hAnsi="Times New Roman"/>
          <w:sz w:val="18"/>
          <w:szCs w:val="18"/>
          <w:color w:val="auto"/>
        </w:rPr>
      </w:pPr>
    </w:p>
    <w:p>
      <w:pPr>
        <w:ind w:left="1000" w:right="360" w:hanging="552"/>
        <w:spacing w:after="0" w:line="258"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shares of common stock that are required to effect the recapitalization of the company as described in this prospectus and completed prior to the completion of the offering, including the conversion of our outstanding preferred shares, provided that any shares of common stock received upon the exercise or exchange of any such convertible securities remain subject to the same restrictions;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240"/>
          </w:cols>
          <w:pgMar w:left="320" w:top="454" w:right="3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left="1000" w:right="100" w:hanging="552"/>
        <w:spacing w:after="0" w:line="255"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stockholder,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the company regarding the establishment of such plan, such announcement or filing shall include a statement to the effect that no transfer of common stock may be made under such plan during the restricted period; or</w:t>
      </w:r>
    </w:p>
    <w:p>
      <w:pPr>
        <w:spacing w:after="0" w:line="90" w:lineRule="exact"/>
        <w:rPr>
          <w:rFonts w:ascii="Times New Roman" w:cs="Times New Roman" w:eastAsia="Times New Roman" w:hAnsi="Times New Roman"/>
          <w:sz w:val="18"/>
          <w:szCs w:val="18"/>
          <w:color w:val="auto"/>
        </w:rPr>
      </w:pPr>
    </w:p>
    <w:p>
      <w:pPr>
        <w:ind w:left="1000" w:right="20" w:hanging="552"/>
        <w:spacing w:after="0" w:line="252"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bona fide third-party tender offer for all outstanding shares of common stock or securities convertible into or exercisable or exchangeable for shares of common stock, merger, amalgamation, consolidation or other similar transaction approved by our board of directors and made to all holders of our securities involving a “change of control” (as defined in the lock-up agreement) of the company (including, without limitation, the entering into any lock-up, voting or similar agreement pursuant to which the holder may agree to transfer, sell, tender or otherwise dispose of shares of common stock or other such securities in connection with such transaction, or vote any shares of common stock or other such securities in favor of any such transaction); provided that in the event that such tender offer, merger, amalgamation, consolidation or other such transaction is not completed, such securities held by the holder shall remain subject to the same restrictions.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on transfers or other dispositions by us described above do not apply to:</w:t>
      </w:r>
    </w:p>
    <w:p>
      <w:pPr>
        <w:spacing w:after="0" w:line="127" w:lineRule="exact"/>
        <w:rPr>
          <w:sz w:val="20"/>
          <w:szCs w:val="20"/>
          <w:color w:val="auto"/>
        </w:rPr>
      </w:pPr>
    </w:p>
    <w:p>
      <w:pPr>
        <w:ind w:left="1000" w:hanging="552"/>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in this offering;</w:t>
      </w:r>
    </w:p>
    <w:p>
      <w:pPr>
        <w:spacing w:after="0" w:line="127" w:lineRule="exact"/>
        <w:rPr>
          <w:rFonts w:ascii="Times New Roman" w:cs="Times New Roman" w:eastAsia="Times New Roman" w:hAnsi="Times New Roman"/>
          <w:sz w:val="18"/>
          <w:szCs w:val="18"/>
          <w:color w:val="auto"/>
        </w:rPr>
      </w:pPr>
    </w:p>
    <w:p>
      <w:pPr>
        <w:ind w:left="1000" w:right="140" w:hanging="552"/>
        <w:spacing w:after="0" w:line="278"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or securities convertible into or exercisable for shares of common stock upon the exercise of an option or warrant or the conversion of a security outstanding on the date of this prospectus and described herein,</w:t>
      </w:r>
    </w:p>
    <w:p>
      <w:pPr>
        <w:spacing w:after="0" w:line="68" w:lineRule="exact"/>
        <w:rPr>
          <w:rFonts w:ascii="Times New Roman" w:cs="Times New Roman" w:eastAsia="Times New Roman" w:hAnsi="Times New Roman"/>
          <w:sz w:val="18"/>
          <w:szCs w:val="18"/>
          <w:color w:val="auto"/>
        </w:rPr>
      </w:pPr>
    </w:p>
    <w:p>
      <w:pPr>
        <w:ind w:left="1000" w:right="320" w:hanging="552"/>
        <w:spacing w:after="0" w:line="263"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or non-voting common stock upon the exchange of any security exchangeable therefor or the conversion of any security convertible therefor pursuant to a contractual arrangement or other right described herein, provided that each recipient of such issuance executes and delivers a lock-up agreement;</w:t>
      </w:r>
    </w:p>
    <w:p>
      <w:pPr>
        <w:spacing w:after="0" w:line="81" w:lineRule="exact"/>
        <w:rPr>
          <w:rFonts w:ascii="Times New Roman" w:cs="Times New Roman" w:eastAsia="Times New Roman" w:hAnsi="Times New Roman"/>
          <w:sz w:val="18"/>
          <w:szCs w:val="18"/>
          <w:color w:val="auto"/>
        </w:rPr>
      </w:pPr>
    </w:p>
    <w:p>
      <w:pPr>
        <w:ind w:left="1000" w:right="20" w:hanging="552"/>
        <w:spacing w:after="0" w:line="255"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one of our shareholders, officers or directors pursuant to Rule 10b5-1 under the Exchange Act for the transfer of shares of common stock, provided that such plan does not provide for the transfer of common stock during the restricted period and, to the extent a public announcement or filing under the Exchange Act is required of or voluntarily made by us regarding the establishment of such plan, such announcement or filing shall include a statement to the effect that no transfer of common stock may be made under such plan during the restricted period;</w:t>
      </w:r>
    </w:p>
    <w:p>
      <w:pPr>
        <w:spacing w:after="0" w:line="90" w:lineRule="exact"/>
        <w:rPr>
          <w:rFonts w:ascii="Times New Roman" w:cs="Times New Roman" w:eastAsia="Times New Roman" w:hAnsi="Times New Roman"/>
          <w:sz w:val="18"/>
          <w:szCs w:val="18"/>
          <w:color w:val="auto"/>
        </w:rPr>
      </w:pPr>
    </w:p>
    <w:p>
      <w:pPr>
        <w:ind w:left="1000" w:right="140" w:hanging="552"/>
        <w:spacing w:after="0" w:line="263"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any options to purchase shares of common stock or other awards granted under a stock incentive plan or stock purchase plan described in this prospectus, and the issuance by us of shares of common stock upon the exercise thereof, provided that each recipient of such grant executes and delivers a lock-up agreement;</w:t>
      </w:r>
    </w:p>
    <w:p>
      <w:pPr>
        <w:spacing w:after="0" w:line="81" w:lineRule="exact"/>
        <w:rPr>
          <w:rFonts w:ascii="Times New Roman" w:cs="Times New Roman" w:eastAsia="Times New Roman" w:hAnsi="Times New Roman"/>
          <w:sz w:val="18"/>
          <w:szCs w:val="18"/>
          <w:color w:val="auto"/>
        </w:rPr>
      </w:pPr>
    </w:p>
    <w:p>
      <w:pPr>
        <w:ind w:left="1000" w:right="40" w:hanging="552"/>
        <w:spacing w:after="0" w:line="278"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filing of any registration statement on Form S-8 or a successor form relating to the shares of common stock granted pursuant to or reserved for issuance under a stock incentive plan or stock purchase plan described in this prospectus; or</w:t>
      </w:r>
    </w:p>
    <w:p>
      <w:pPr>
        <w:spacing w:after="0" w:line="68" w:lineRule="exact"/>
        <w:rPr>
          <w:rFonts w:ascii="Times New Roman" w:cs="Times New Roman" w:eastAsia="Times New Roman" w:hAnsi="Times New Roman"/>
          <w:sz w:val="18"/>
          <w:szCs w:val="18"/>
          <w:color w:val="auto"/>
        </w:rPr>
      </w:pPr>
    </w:p>
    <w:p>
      <w:pPr>
        <w:ind w:left="1000" w:hanging="552"/>
        <w:spacing w:after="0" w:line="254"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other securities issued in connection with a transaction with an unaffiliated third party that includes a debt financing or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 provided that (1) the aggregate number of shares issued does not exceed 5% of the total number of outstanding shares of our common stock immediately following the closing of this offering and (2) the recipient of any such shares during the restricted period enters into a lock-up agreement.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240"/>
          </w:cols>
          <w:pgMar w:left="320" w:top="454" w:right="3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40" w:firstLine="449"/>
        <w:spacing w:after="0" w:line="278" w:lineRule="auto"/>
        <w:rPr>
          <w:sz w:val="20"/>
          <w:szCs w:val="20"/>
          <w:color w:val="auto"/>
        </w:rPr>
      </w:pPr>
      <w:r>
        <w:rPr>
          <w:rFonts w:ascii="Times New Roman" w:cs="Times New Roman" w:eastAsia="Times New Roman" w:hAnsi="Times New Roman"/>
          <w:sz w:val="18"/>
          <w:szCs w:val="18"/>
          <w:color w:val="auto"/>
        </w:rPr>
        <w:t>Morgan Stanley &amp; Co. LLC, Goldman Sachs &amp; Co. LLC and BofA Securities, Inc., in their joint discretion, may release the common stock and other securities subject to the lock-up agreements described above in whole or in part at any time.</w:t>
      </w:r>
    </w:p>
    <w:p>
      <w:pPr>
        <w:spacing w:after="0" w:line="162"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will be determined by negotiations between us and the representatives. Among the factors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240"/>
          </w:cols>
          <w:pgMar w:left="320" w:top="454" w:right="3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9740"/>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125" w:lineRule="exact"/>
        <w:rPr>
          <w:sz w:val="20"/>
          <w:szCs w:val="20"/>
          <w:color w:val="auto"/>
        </w:rPr>
      </w:pPr>
    </w:p>
    <w:p>
      <w:pPr>
        <w:jc w:val="center"/>
        <w:ind w:right="97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8"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right="80" w:firstLine="449"/>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firstLine="449"/>
        <w:spacing w:after="0" w:line="263"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8"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or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91" w:lineRule="exact"/>
        <w:rPr>
          <w:sz w:val="20"/>
          <w:szCs w:val="20"/>
          <w:color w:val="auto"/>
        </w:rPr>
      </w:pPr>
    </w:p>
    <w:p>
      <w:pPr>
        <w:ind w:left="1000" w:hanging="415"/>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27" w:lineRule="exact"/>
        <w:rPr>
          <w:rFonts w:ascii="Times New Roman" w:cs="Times New Roman" w:eastAsia="Times New Roman" w:hAnsi="Times New Roman"/>
          <w:sz w:val="18"/>
          <w:szCs w:val="18"/>
          <w:color w:val="auto"/>
        </w:rPr>
      </w:pPr>
    </w:p>
    <w:p>
      <w:pPr>
        <w:ind w:left="1000" w:right="120" w:hanging="425"/>
        <w:spacing w:after="0" w:line="278"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or</w:t>
      </w:r>
    </w:p>
    <w:p>
      <w:pPr>
        <w:spacing w:after="0" w:line="68" w:lineRule="exact"/>
        <w:rPr>
          <w:rFonts w:ascii="Times New Roman" w:cs="Times New Roman" w:eastAsia="Times New Roman" w:hAnsi="Times New Roman"/>
          <w:sz w:val="18"/>
          <w:szCs w:val="18"/>
          <w:color w:val="auto"/>
        </w:rPr>
      </w:pPr>
    </w:p>
    <w:p>
      <w:pPr>
        <w:ind w:left="1000" w:hanging="415"/>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jc w:val="both"/>
        <w:ind w:right="140" w:firstLine="449"/>
        <w:spacing w:after="0" w:line="263"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27" w:lineRule="exact"/>
        <w:rPr>
          <w:sz w:val="20"/>
          <w:szCs w:val="20"/>
          <w:color w:val="auto"/>
        </w:rPr>
      </w:pPr>
    </w:p>
    <w:p>
      <w:pPr>
        <w:jc w:val="both"/>
        <w:ind w:left="1000" w:right="20" w:hanging="415"/>
        <w:spacing w:after="0" w:line="263"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220"/>
          </w:cols>
          <w:pgMar w:left="320" w:top="454" w:right="3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issue or sale of the shares of our common stock in circumstances in which Section 21(1) of the FSMA does not apply to us; and</w:t>
      </w:r>
    </w:p>
    <w:p>
      <w:pPr>
        <w:spacing w:after="0" w:line="127" w:lineRule="exact"/>
        <w:rPr>
          <w:sz w:val="20"/>
          <w:szCs w:val="20"/>
          <w:color w:val="auto"/>
        </w:rPr>
      </w:pPr>
    </w:p>
    <w:p>
      <w:pPr>
        <w:ind w:left="1000" w:right="60" w:hanging="425"/>
        <w:spacing w:after="0" w:line="278"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8"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Shares of our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(Cap.571, Laws of Hong Kong) and any rules made thereunder.</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8" w:lineRule="exact"/>
        <w:rPr>
          <w:sz w:val="20"/>
          <w:szCs w:val="20"/>
          <w:color w:val="auto"/>
        </w:rPr>
      </w:pPr>
    </w:p>
    <w:p>
      <w:pPr>
        <w:ind w:right="60" w:firstLine="449"/>
        <w:spacing w:after="0" w:line="278"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62"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or QII</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constitutes either a “QII only private placement” or a “QII only secondary distribution” (each as described in Paragraph 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Article 23-13 of the FIEL). Disclosure regarding any such solicitation, as is otherwise prescribed in Paragraph 1, Article 4 of the FIEL, has not been made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 to the shares of common stock. The shares of common stock may only be transferred to QIIs.</w:t>
      </w:r>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6" w:lineRule="exact"/>
        <w:rPr>
          <w:sz w:val="20"/>
          <w:szCs w:val="20"/>
          <w:color w:val="auto"/>
        </w:rPr>
      </w:pPr>
    </w:p>
    <w:p>
      <w:pPr>
        <w:ind w:right="40" w:firstLine="449"/>
        <w:spacing w:after="0" w:line="277" w:lineRule="auto"/>
        <w:rPr>
          <w:sz w:val="20"/>
          <w:szCs w:val="20"/>
          <w:color w:val="auto"/>
        </w:rPr>
      </w:pPr>
      <w:r>
        <w:rPr>
          <w:rFonts w:ascii="Times New Roman" w:cs="Times New Roman" w:eastAsia="Times New Roman" w:hAnsi="Times New Roman"/>
          <w:sz w:val="17"/>
          <w:szCs w:val="17"/>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80"/>
          </w:cols>
          <w:pgMar w:left="320" w:top="454" w:right="39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84"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Where shares of our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shares of our common stock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18"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4"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18"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18" w:lineRule="exact"/>
        <w:rPr>
          <w:sz w:val="20"/>
          <w:szCs w:val="20"/>
          <w:color w:val="auto"/>
        </w:rPr>
      </w:pPr>
    </w:p>
    <w:p>
      <w:pPr>
        <w:ind w:right="260" w:firstLine="449"/>
        <w:spacing w:after="0" w:line="278"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220"/>
          </w:cols>
          <w:pgMar w:left="320" w:top="454" w:right="3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80"/>
        <w:spacing w:after="0" w:line="308" w:lineRule="auto"/>
        <w:rPr>
          <w:sz w:val="20"/>
          <w:szCs w:val="20"/>
          <w:color w:val="auto"/>
        </w:rPr>
      </w:pPr>
      <w:r>
        <w:rPr>
          <w:rFonts w:ascii="Times New Roman" w:cs="Times New Roman" w:eastAsia="Times New Roman" w:hAnsi="Times New Roman"/>
          <w:sz w:val="17"/>
          <w:szCs w:val="17"/>
          <w:color w:val="auto"/>
        </w:rPr>
        <w:t>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4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18" w:lineRule="exact"/>
        <w:rPr>
          <w:sz w:val="20"/>
          <w:szCs w:val="20"/>
          <w:color w:val="auto"/>
        </w:rPr>
      </w:pPr>
    </w:p>
    <w:p>
      <w:pPr>
        <w:ind w:right="180" w:firstLine="449"/>
        <w:spacing w:after="0" w:line="251"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9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220"/>
          </w:cols>
          <w:pgMar w:left="320" w:top="454" w:right="3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Fenwick &amp; West LLP, San Francisco, California.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 Boston, Massachusetts, is acting as counsel for the underwriters in connection with this offering.</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financial statements of Prelude Therapeutics Incorporated at December 31, 2019 and 2018, and for each of the two years in the period ended December 31, 2019, appearing in this 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financial statements) appearing elsewhere herein, and are included in reliance upon such report given on the authority of such firm as experts in accounting and auditing.</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80"/>
          </w:cols>
          <w:pgMar w:left="320" w:top="454" w:right="39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460"/>
        <w:spacing w:after="0"/>
        <w:tabs>
          <w:tab w:leader="none" w:pos="7200" w:val="left"/>
        </w:tabs>
        <w:rPr>
          <w:sz w:val="20"/>
          <w:szCs w:val="20"/>
          <w:color w:val="auto"/>
        </w:rPr>
      </w:pPr>
      <w:r>
        <w:rPr>
          <w:rFonts w:ascii="Times New Roman" w:cs="Times New Roman" w:eastAsia="Times New Roman" w:hAnsi="Times New Roman"/>
          <w:sz w:val="18"/>
          <w:szCs w:val="18"/>
          <w:color w:val="auto"/>
        </w:rPr>
        <w:t>We have filed with the SEC a registration statement on Form S-1 (File Number 333-</w:t>
      </w:r>
      <w:r>
        <w:rPr>
          <w:sz w:val="20"/>
          <w:szCs w:val="20"/>
          <w:color w:val="auto"/>
        </w:rPr>
        <w:tab/>
      </w:r>
      <w:r>
        <w:rPr>
          <w:rFonts w:ascii="Times New Roman" w:cs="Times New Roman" w:eastAsia="Times New Roman" w:hAnsi="Times New Roman"/>
          <w:sz w:val="17"/>
          <w:szCs w:val="17"/>
          <w:color w:val="auto"/>
        </w:rPr>
        <w:t>) under the Securities Act with respect to the shares of</w:t>
      </w:r>
    </w:p>
    <w:p>
      <w:pPr>
        <w:spacing w:after="0" w:line="2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concerning the contents of any contract or any other document are not necessarily complete, please see the copy of the contract or document that has been filed for the complete contents of that contract or document.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91" w:lineRule="exact"/>
        <w:rPr>
          <w:sz w:val="20"/>
          <w:szCs w:val="20"/>
          <w:color w:val="auto"/>
        </w:rPr>
      </w:pPr>
    </w:p>
    <w:p>
      <w:pPr>
        <w:ind w:right="320" w:firstLine="449"/>
        <w:spacing w:after="0" w:line="258" w:lineRule="auto"/>
        <w:rPr>
          <w:sz w:val="20"/>
          <w:szCs w:val="20"/>
          <w:color w:val="auto"/>
        </w:rPr>
      </w:pPr>
      <w:r>
        <w:rPr>
          <w:rFonts w:ascii="Times New Roman" w:cs="Times New Roman" w:eastAsia="Times New Roman" w:hAnsi="Times New Roman"/>
          <w:sz w:val="18"/>
          <w:szCs w:val="18"/>
          <w:color w:val="auto"/>
        </w:rPr>
        <w:t>We currently do not file periodic reports with the SEC. Upon the completion of this offering, we will be required to file periodic reports, proxy statements and other information with the SEC pursuant to the Securities Exchange Act of 1934, as amended. The SEC maintains a website that contains reports, proxy and information statements and other information regarding registrants that file electronically with the SEC. The address of the website is www.sec.gov.</w:t>
      </w:r>
    </w:p>
    <w:p>
      <w:pPr>
        <w:spacing w:after="0" w:line="180"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We also maintain a website at www.preludetx.com. Upon completion of this offering,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240"/>
          </w:cols>
          <w:pgMar w:left="320" w:top="454" w:right="3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Audited Financial Statements as of December 31, 2018 and 2019 and for the Years then Ended:</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6"/>
        </w:trPr>
        <w:tc>
          <w:tcPr>
            <w:tcW w:w="10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05">
              <w:r>
                <w:rPr>
                  <w:rFonts w:ascii="Times New Roman" w:cs="Times New Roman" w:eastAsia="Times New Roman" w:hAnsi="Times New Roman"/>
                  <w:sz w:val="18"/>
                  <w:szCs w:val="18"/>
                  <w:u w:val="single" w:color="auto"/>
                  <w:color w:val="0000EE"/>
                </w:rPr>
                <w:t>Balance Sheets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Statements of Operations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Statements of Changes in Convertible Preferred Stock and Stockholders’ Deficit</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Statements of Cash Flows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1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14"/>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Financial Statements as of June 30, 2020 and for the Six Months Ended June 30, 2019 and 2020: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3">
              <w:r>
                <w:rPr>
                  <w:rFonts w:ascii="Times New Roman" w:cs="Times New Roman" w:eastAsia="Times New Roman" w:hAnsi="Times New Roman"/>
                  <w:sz w:val="18"/>
                  <w:szCs w:val="18"/>
                  <w:u w:val="single" w:color="auto"/>
                  <w:color w:val="0000EE"/>
                </w:rPr>
                <w:t>Balance Sheets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F-21</w:t>
            </w:r>
          </w:p>
        </w:tc>
        <w:tc>
          <w:tcPr>
            <w:tcW w:w="0" w:type="dxa"/>
            <w:vAlign w:val="bottom"/>
          </w:tcPr>
          <w:p>
            <w:pPr>
              <w:spacing w:after="0"/>
              <w:rPr>
                <w:sz w:val="1"/>
                <w:szCs w:val="1"/>
                <w:color w:val="auto"/>
              </w:rPr>
            </w:pPr>
          </w:p>
        </w:tc>
      </w:tr>
      <w:tr>
        <w:trPr>
          <w:trHeight w:val="21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Statements of Operations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F-22</w:t>
            </w:r>
          </w:p>
        </w:tc>
        <w:tc>
          <w:tcPr>
            <w:tcW w:w="0" w:type="dxa"/>
            <w:vAlign w:val="bottom"/>
          </w:tcPr>
          <w:p>
            <w:pPr>
              <w:spacing w:after="0"/>
              <w:rPr>
                <w:sz w:val="1"/>
                <w:szCs w:val="1"/>
                <w:color w:val="auto"/>
              </w:rPr>
            </w:pPr>
          </w:p>
        </w:tc>
      </w:tr>
      <w:tr>
        <w:trPr>
          <w:trHeight w:val="21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Statements of Changes in Convertible Preferred Stock and Stockholders’ Deficit</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F-23</w:t>
            </w:r>
          </w:p>
        </w:tc>
        <w:tc>
          <w:tcPr>
            <w:tcW w:w="0" w:type="dxa"/>
            <w:vAlign w:val="bottom"/>
          </w:tcPr>
          <w:p>
            <w:pPr>
              <w:spacing w:after="0"/>
              <w:rPr>
                <w:sz w:val="1"/>
                <w:szCs w:val="1"/>
                <w:color w:val="auto"/>
              </w:rPr>
            </w:pPr>
          </w:p>
        </w:tc>
      </w:tr>
      <w:tr>
        <w:trPr>
          <w:trHeight w:val="21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Statements of Cash Flows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233"/>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Notes to Unaudited Interim Financial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361"/>
        </w:trPr>
        <w:tc>
          <w:tcPr>
            <w:tcW w:w="1078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4" w:right="39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Prelude Therapeutics Incorporated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sheets of Prelude Therapeutics Incorporated (the Company) as of December 31, 2019 and 2018, the related statements of operations, changes in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18"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has recurring losses from operations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8"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ind w:right="160" w:firstLine="449"/>
        <w:spacing w:after="0" w:line="277"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2020</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20"/>
          </w:cols>
          <w:pgMar w:left="320" w:top="454" w:right="3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65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2880" w:type="dxa"/>
            <w:vAlign w:val="bottom"/>
            <w:tcBorders>
              <w:bottom w:val="single" w:sz="8" w:color="auto"/>
            </w:tcBorders>
            <w:vMerge w:val="continue"/>
          </w:tcPr>
          <w:p>
            <w:pPr>
              <w:spacing w:after="0"/>
              <w:rPr>
                <w:sz w:val="12"/>
                <w:szCs w:val="12"/>
                <w:color w:val="auto"/>
              </w:rPr>
            </w:pPr>
          </w:p>
        </w:tc>
        <w:tc>
          <w:tcPr>
            <w:tcW w:w="6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38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18,879</w:t>
            </w:r>
          </w:p>
        </w:tc>
        <w:tc>
          <w:tcPr>
            <w:tcW w:w="0" w:type="dxa"/>
            <w:vAlign w:val="bottom"/>
          </w:tcPr>
          <w:p>
            <w:pPr>
              <w:spacing w:after="0"/>
              <w:rPr>
                <w:sz w:val="1"/>
                <w:szCs w:val="1"/>
                <w:color w:val="auto"/>
              </w:rPr>
            </w:pPr>
          </w:p>
        </w:tc>
      </w:tr>
      <w:tr>
        <w:trPr>
          <w:trHeight w:val="221"/>
        </w:trPr>
        <w:tc>
          <w:tcPr>
            <w:tcW w:w="9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20,224</w:t>
            </w:r>
          </w:p>
        </w:tc>
        <w:tc>
          <w:tcPr>
            <w:tcW w:w="0" w:type="dxa"/>
            <w:vAlign w:val="bottom"/>
          </w:tcPr>
          <w:p>
            <w:pPr>
              <w:spacing w:after="0"/>
              <w:rPr>
                <w:sz w:val="1"/>
                <w:szCs w:val="1"/>
                <w:color w:val="auto"/>
              </w:rPr>
            </w:pPr>
          </w:p>
        </w:tc>
      </w:tr>
      <w:tr>
        <w:trPr>
          <w:trHeight w:val="221"/>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21,871</w:t>
            </w:r>
          </w:p>
        </w:tc>
        <w:tc>
          <w:tcPr>
            <w:tcW w:w="0" w:type="dxa"/>
            <w:vAlign w:val="bottom"/>
          </w:tcPr>
          <w:p>
            <w:pPr>
              <w:spacing w:after="0"/>
              <w:rPr>
                <w:sz w:val="1"/>
                <w:szCs w:val="1"/>
                <w:color w:val="auto"/>
              </w:rPr>
            </w:pPr>
          </w:p>
        </w:tc>
      </w:tr>
      <w:tr>
        <w:trPr>
          <w:trHeight w:val="20"/>
        </w:trPr>
        <w:tc>
          <w:tcPr>
            <w:tcW w:w="9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3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Capital lease obligation</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4"/>
        </w:trPr>
        <w:tc>
          <w:tcPr>
            <w:tcW w:w="9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stock, $0.0001 par value: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380" w:type="dxa"/>
            <w:vAlign w:val="bottom"/>
            <w:gridSpan w:val="2"/>
            <w:shd w:val="clear" w:color="auto" w:fill="CCEEFF"/>
          </w:tcPr>
          <w:p>
            <w:pPr>
              <w:ind w:left="720"/>
              <w:spacing w:after="0" w:line="195" w:lineRule="exact"/>
              <w:rPr>
                <w:sz w:val="20"/>
                <w:szCs w:val="20"/>
                <w:color w:val="auto"/>
              </w:rPr>
            </w:pPr>
            <w:r>
              <w:rPr>
                <w:rFonts w:ascii="Times New Roman" w:cs="Times New Roman" w:eastAsia="Times New Roman" w:hAnsi="Times New Roman"/>
                <w:sz w:val="18"/>
                <w:szCs w:val="18"/>
                <w:color w:val="auto"/>
              </w:rPr>
              <w:t>Series A convertible preferred stock: 13,574,008 shares authorized at December 31, 2019; 13,574,008 shares issued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and outstanding at December 31, 2018 and 2019 (liquidation value of $36,878 at December 31, 2019)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36,595</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36,595</w:t>
            </w:r>
          </w:p>
        </w:tc>
        <w:tc>
          <w:tcPr>
            <w:tcW w:w="0" w:type="dxa"/>
            <w:vAlign w:val="bottom"/>
          </w:tcPr>
          <w:p>
            <w:pPr>
              <w:spacing w:after="0"/>
              <w:rPr>
                <w:sz w:val="1"/>
                <w:szCs w:val="1"/>
                <w:color w:val="auto"/>
              </w:rPr>
            </w:pPr>
          </w:p>
        </w:tc>
      </w:tr>
      <w:tr>
        <w:trPr>
          <w:trHeight w:val="196"/>
        </w:trPr>
        <w:tc>
          <w:tcPr>
            <w:tcW w:w="9380" w:type="dxa"/>
            <w:vAlign w:val="bottom"/>
            <w:gridSpan w:val="2"/>
          </w:tcPr>
          <w:p>
            <w:pPr>
              <w:ind w:left="720"/>
              <w:spacing w:after="0" w:line="195" w:lineRule="exact"/>
              <w:rPr>
                <w:sz w:val="20"/>
                <w:szCs w:val="20"/>
                <w:color w:val="auto"/>
              </w:rPr>
            </w:pPr>
            <w:r>
              <w:rPr>
                <w:rFonts w:ascii="Times New Roman" w:cs="Times New Roman" w:eastAsia="Times New Roman" w:hAnsi="Times New Roman"/>
                <w:sz w:val="18"/>
                <w:szCs w:val="18"/>
                <w:color w:val="auto"/>
              </w:rPr>
              <w:t>Series B convertible preferred stock: 18,500,000 shares authorized at December 31, 2019; no shares and 8,823,529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shares issued and outstanding at December 31, 2018 and 2019, respectively (liquidation value of $30,000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December 31, 2019)</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9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66,443</w:t>
            </w:r>
          </w:p>
        </w:tc>
        <w:tc>
          <w:tcPr>
            <w:tcW w:w="0" w:type="dxa"/>
            <w:vAlign w:val="bottom"/>
          </w:tcPr>
          <w:p>
            <w:pPr>
              <w:spacing w:after="0"/>
              <w:rPr>
                <w:sz w:val="1"/>
                <w:szCs w:val="1"/>
                <w:color w:val="auto"/>
              </w:rPr>
            </w:pPr>
          </w:p>
        </w:tc>
      </w:tr>
      <w:tr>
        <w:trPr>
          <w:trHeight w:val="221"/>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(note 7)</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380" w:type="dxa"/>
            <w:vAlign w:val="bottom"/>
            <w:gridSpan w:val="2"/>
          </w:tcPr>
          <w:p>
            <w:pPr>
              <w:ind w:left="360"/>
              <w:spacing w:after="0" w:line="195" w:lineRule="exact"/>
              <w:rPr>
                <w:sz w:val="20"/>
                <w:szCs w:val="20"/>
                <w:color w:val="auto"/>
              </w:rPr>
            </w:pPr>
            <w:r>
              <w:rPr>
                <w:rFonts w:ascii="Times New Roman" w:cs="Times New Roman" w:eastAsia="Times New Roman" w:hAnsi="Times New Roman"/>
                <w:sz w:val="18"/>
                <w:szCs w:val="18"/>
                <w:color w:val="auto"/>
              </w:rPr>
              <w:t>Common stock, $0.0001 par value: 42,000,000 shares authorized at December 31, 2019; 2,753,030 and 3,656,780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issued and outstanding at December 31, 2018 and 2019,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9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7"/>
              </w:rPr>
              <w:t>(22,927)</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(50,497)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(22,693)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(49,412)</w:t>
            </w:r>
          </w:p>
        </w:tc>
        <w:tc>
          <w:tcPr>
            <w:tcW w:w="0" w:type="dxa"/>
            <w:vAlign w:val="bottom"/>
          </w:tcPr>
          <w:p>
            <w:pPr>
              <w:spacing w:after="0"/>
              <w:rPr>
                <w:sz w:val="1"/>
                <w:szCs w:val="1"/>
                <w:color w:val="auto"/>
              </w:rPr>
            </w:pPr>
          </w:p>
        </w:tc>
      </w:tr>
      <w:tr>
        <w:trPr>
          <w:trHeight w:val="221"/>
        </w:trPr>
        <w:tc>
          <w:tcPr>
            <w:tcW w:w="9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454" w:right="3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4360" w:type="dxa"/>
            <w:vAlign w:val="bottom"/>
            <w:vMerge w:val="restart"/>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7"/>
        </w:trPr>
        <w:tc>
          <w:tcPr>
            <w:tcW w:w="2880" w:type="dxa"/>
            <w:vAlign w:val="bottom"/>
            <w:tcBorders>
              <w:bottom w:val="single" w:sz="8" w:color="auto"/>
            </w:tcBorders>
            <w:vMerge w:val="continue"/>
          </w:tcPr>
          <w:p>
            <w:pPr>
              <w:spacing w:after="0"/>
              <w:rPr>
                <w:sz w:val="12"/>
                <w:szCs w:val="12"/>
                <w:color w:val="auto"/>
              </w:rPr>
            </w:pPr>
          </w:p>
        </w:tc>
        <w:tc>
          <w:tcPr>
            <w:tcW w:w="436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24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12,621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(14,975)</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(28,109)</w:t>
            </w:r>
          </w:p>
        </w:tc>
        <w:tc>
          <w:tcPr>
            <w:tcW w:w="0" w:type="dxa"/>
            <w:vAlign w:val="bottom"/>
          </w:tcPr>
          <w:p>
            <w:pPr>
              <w:spacing w:after="0"/>
              <w:rPr>
                <w:sz w:val="1"/>
                <w:szCs w:val="1"/>
                <w:color w:val="auto"/>
              </w:rPr>
            </w:pPr>
          </w:p>
        </w:tc>
      </w:tr>
      <w:tr>
        <w:trPr>
          <w:trHeight w:val="21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(14,680)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(27,570)</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2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2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1,622,634</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1,929,863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of common stock, basic and diluted (unaudited)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basic and diluted (unaudited).</w:t>
            </w: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2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37,133,816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454" w:right="3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CONVERTIBLE PREFERRED STOCK AND STOCKHOLDERS’ DEFICIT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17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80" w:type="dxa"/>
            <w:vAlign w:val="bottom"/>
            <w:gridSpan w:val="8"/>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gridSpan w:val="9"/>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1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80" w:type="dxa"/>
            <w:vAlign w:val="bottom"/>
            <w:tcBorders>
              <w:bottom w:val="single" w:sz="8" w:color="auto"/>
            </w:tcBorders>
            <w:gridSpan w:val="8"/>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9"/>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7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340" w:type="dxa"/>
            <w:vAlign w:val="bottom"/>
            <w:gridSpan w:val="4"/>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60" w:type="dxa"/>
            <w:vAlign w:val="bottom"/>
            <w:vMerge w:val="restart"/>
          </w:tcPr>
          <w:p>
            <w:pPr>
              <w:spacing w:after="0"/>
              <w:rPr>
                <w:sz w:val="10"/>
                <w:szCs w:val="10"/>
                <w:color w:val="auto"/>
              </w:rPr>
            </w:pPr>
          </w:p>
        </w:tc>
        <w:tc>
          <w:tcPr>
            <w:tcW w:w="1200" w:type="dxa"/>
            <w:vAlign w:val="bottom"/>
            <w:gridSpan w:val="4"/>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20" w:type="dxa"/>
            <w:vAlign w:val="bottom"/>
            <w:tcBorders>
              <w:right w:val="single" w:sz="8" w:color="auto"/>
            </w:tcBorders>
            <w:vMerge w:val="restart"/>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76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340" w:type="dxa"/>
            <w:vAlign w:val="bottom"/>
            <w:tcBorders>
              <w:bottom w:val="single" w:sz="8" w:color="auto"/>
            </w:tcBorders>
            <w:gridSpan w:val="4"/>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0" w:type="dxa"/>
            <w:vAlign w:val="bottom"/>
            <w:tcBorders>
              <w:bottom w:val="single" w:sz="8" w:color="auto"/>
            </w:tcBorders>
            <w:gridSpan w:val="4"/>
            <w:vMerge w:val="continue"/>
          </w:tcPr>
          <w:p>
            <w:pPr>
              <w:spacing w:after="0"/>
              <w:rPr>
                <w:sz w:val="7"/>
                <w:szCs w:val="7"/>
                <w:color w:val="auto"/>
              </w:rPr>
            </w:pPr>
          </w:p>
        </w:tc>
        <w:tc>
          <w:tcPr>
            <w:tcW w:w="1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bottom w:val="single" w:sz="8" w:color="auto"/>
            </w:tcBorders>
            <w:gridSpan w:val="4"/>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jc w:val="right"/>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7"/>
                <w:szCs w:val="7"/>
                <w:color w:val="auto"/>
              </w:rPr>
            </w:pPr>
          </w:p>
        </w:tc>
        <w:tc>
          <w:tcPr>
            <w:tcW w:w="940" w:type="dxa"/>
            <w:vAlign w:val="bottom"/>
            <w:gridSpan w:val="3"/>
            <w:vMerge w:val="restart"/>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2720" w:type="dxa"/>
            <w:vAlign w:val="bottom"/>
            <w:vMerge w:val="restart"/>
          </w:tcPr>
          <w:p>
            <w:pPr>
              <w:spacing w:after="0"/>
              <w:rPr>
                <w:sz w:val="3"/>
                <w:szCs w:val="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3"/>
                <w:szCs w:val="3"/>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3"/>
                <w:szCs w:val="3"/>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3"/>
                <w:szCs w:val="3"/>
                <w:color w:val="auto"/>
              </w:rPr>
            </w:pP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gridSpan w:val="2"/>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Borders>
              <w:right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480" w:type="dxa"/>
            <w:vAlign w:val="bottom"/>
            <w:tcBorders>
              <w:top w:val="single" w:sz="8" w:color="CCEEFF"/>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Balance at January 1, 2018</w:t>
            </w: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6,948,566</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97"/>
              </w:rPr>
              <w:t>$ 18,658</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2,158,647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(8,247)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(8,193)</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4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Sale of Series A convertible preferred stock, net of issuance costs of $63</w:t>
            </w:r>
          </w:p>
        </w:tc>
        <w:tc>
          <w:tcPr>
            <w:tcW w:w="7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6,625,442</w:t>
            </w:r>
          </w:p>
        </w:tc>
        <w:tc>
          <w:tcPr>
            <w:tcW w:w="800" w:type="dxa"/>
            <w:vAlign w:val="bottom"/>
            <w:gridSpan w:val="3"/>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17,937</w:t>
            </w:r>
          </w:p>
        </w:tc>
        <w:tc>
          <w:tcPr>
            <w:tcW w:w="6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Borders>
              <w:right w:val="single" w:sz="8" w:color="auto"/>
            </w:tcBorders>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448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Stock-based compensation expense, including issuance of restricted stock</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594,383</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70"/>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w:t>
            </w: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4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Borders>
              <w:right w:val="single" w:sz="8" w:color="auto"/>
            </w:tcBorders>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(14,680)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(14,680)</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4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13,574,008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36,595</w:t>
            </w:r>
          </w:p>
        </w:tc>
        <w:tc>
          <w:tcPr>
            <w:tcW w:w="68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2,753,030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234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(22,927)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(22,693)</w:t>
            </w:r>
          </w:p>
        </w:tc>
        <w:tc>
          <w:tcPr>
            <w:tcW w:w="0" w:type="dxa"/>
            <w:vAlign w:val="bottom"/>
          </w:tcPr>
          <w:p>
            <w:pPr>
              <w:spacing w:after="0"/>
              <w:rPr>
                <w:sz w:val="1"/>
                <w:szCs w:val="1"/>
                <w:color w:val="auto"/>
              </w:rPr>
            </w:pPr>
          </w:p>
        </w:tc>
      </w:tr>
      <w:tr>
        <w:trPr>
          <w:trHeight w:val="147"/>
        </w:trPr>
        <w:tc>
          <w:tcPr>
            <w:tcW w:w="44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Borders>
              <w:right w:val="single" w:sz="8" w:color="auto"/>
            </w:tcBorders>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3,750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7"/>
        </w:trPr>
        <w:tc>
          <w:tcPr>
            <w:tcW w:w="44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Sale of Series B convertible preferred stock, net of issuance costs of $152</w:t>
            </w:r>
          </w:p>
        </w:tc>
        <w:tc>
          <w:tcPr>
            <w:tcW w:w="7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8,823,529</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29,848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44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color w:val="auto"/>
              </w:rPr>
              <w:t>Stock-based compensation expense, including issuance of restricted stock</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900,000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846</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70"/>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awards</w:t>
            </w: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4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(27,570)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(27,570)</w:t>
            </w:r>
          </w:p>
        </w:tc>
        <w:tc>
          <w:tcPr>
            <w:tcW w:w="0" w:type="dxa"/>
            <w:vAlign w:val="bottom"/>
          </w:tcPr>
          <w:p>
            <w:pPr>
              <w:spacing w:after="0"/>
              <w:rPr>
                <w:sz w:val="1"/>
                <w:szCs w:val="1"/>
                <w:color w:val="auto"/>
              </w:rPr>
            </w:pPr>
          </w:p>
        </w:tc>
      </w:tr>
      <w:tr>
        <w:trPr>
          <w:trHeight w:val="154"/>
        </w:trPr>
        <w:tc>
          <w:tcPr>
            <w:tcW w:w="448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13,574,008</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97"/>
              </w:rPr>
              <w:t>$ 36,595</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8,823,529</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29,848</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3,656,780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1,085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(50,497)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97"/>
              </w:rPr>
              <w:t>(49,412</w:t>
            </w:r>
          </w:p>
        </w:tc>
        <w:tc>
          <w:tcPr>
            <w:tcW w:w="10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454" w:right="3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5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42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Cash flows used in operating activities:</w:t>
            </w: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(14,680)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(27,570)</w:t>
            </w: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4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4"/>
        </w:trPr>
        <w:tc>
          <w:tcPr>
            <w:tcW w:w="94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(12,954)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(25,665)</w:t>
            </w:r>
          </w:p>
        </w:tc>
        <w:tc>
          <w:tcPr>
            <w:tcW w:w="0" w:type="dxa"/>
            <w:vAlign w:val="bottom"/>
          </w:tcPr>
          <w:p>
            <w:pPr>
              <w:spacing w:after="0"/>
              <w:rPr>
                <w:sz w:val="1"/>
                <w:szCs w:val="1"/>
                <w:color w:val="auto"/>
              </w:rPr>
            </w:pPr>
          </w:p>
        </w:tc>
      </w:tr>
      <w:tr>
        <w:trPr>
          <w:trHeight w:val="221"/>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7"/>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the sale of Series A convertible preferred stock, net</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Series B convertible preferred stock, net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29,848</w:t>
            </w:r>
          </w:p>
        </w:tc>
        <w:tc>
          <w:tcPr>
            <w:tcW w:w="0" w:type="dxa"/>
            <w:vAlign w:val="bottom"/>
          </w:tcPr>
          <w:p>
            <w:pPr>
              <w:spacing w:after="0"/>
              <w:rPr>
                <w:sz w:val="1"/>
                <w:szCs w:val="1"/>
                <w:color w:val="auto"/>
              </w:rPr>
            </w:pPr>
          </w:p>
        </w:tc>
      </w:tr>
      <w:tr>
        <w:trPr>
          <w:trHeight w:val="21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Payment of capital lease obligation</w:t>
            </w:r>
          </w:p>
        </w:tc>
        <w:tc>
          <w:tcPr>
            <w:tcW w:w="1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7"/>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1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15,595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18,879</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capital lease obligation in connection with purchase of property and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2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454" w:right="3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18"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Prelude Therapeutics Incorporated (the “Company”) was incorporated in Delaware on February 5, 2016 and is a clinical-stage biotechnology company focused on discovering and developing new medicines targeting chromatin function to treat cancer and rare diseases. Since beginning operations, the Company has devoted substantially all its efforts to research and development, conducting preclinical and clinical studies, recruiting management and technical staff, administration, and raising capital.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118"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9" w:lineRule="exact"/>
        <w:rPr>
          <w:sz w:val="20"/>
          <w:szCs w:val="20"/>
          <w:color w:val="auto"/>
        </w:rPr>
      </w:pPr>
    </w:p>
    <w:p>
      <w:pPr>
        <w:ind w:right="100" w:firstLine="449"/>
        <w:spacing w:after="0" w:line="263" w:lineRule="auto"/>
        <w:rPr>
          <w:sz w:val="20"/>
          <w:szCs w:val="20"/>
          <w:color w:val="auto"/>
        </w:rPr>
      </w:pPr>
      <w:r>
        <w:rPr>
          <w:rFonts w:ascii="Times New Roman" w:cs="Times New Roman" w:eastAsia="Times New Roman" w:hAnsi="Times New Roman"/>
          <w:sz w:val="18"/>
          <w:szCs w:val="18"/>
          <w:color w:val="auto"/>
        </w:rPr>
        <w:t>The Company follows the provisions of Financial Accounting Standards Board (“FASB”) Accounting Standards Codification (“ASC”) Topic 205-40, Presentation of Financial Statements—Going Concern, which requires management to assess the Company’s ability to continue as a going concern within one year after the date the financial statements are issued.</w:t>
      </w:r>
    </w:p>
    <w:p>
      <w:pPr>
        <w:spacing w:after="0" w:line="175"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has an accumulated deficit of $50.5 million at December 31, 2019. The Company has no revenue to date and devotes its efforts to research and development. The Company anticipates incurring additional losses until such time, if ever, that it can generate significant sales of its product candidates currently in development. The Company’s activities have been primarily funded by the sale of Convertible Preferred Stock (Note 8). These factors and the Company’s recurring losses from operations, negative cash from operations, and accumulated deficit since inception raise substantial doubt about the Company’s ability to continue as a going concern within one year after the date these financial statements are issued.</w:t>
      </w:r>
    </w:p>
    <w:p>
      <w:pPr>
        <w:spacing w:after="0" w:line="184"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The Company’s cash and cash equivalents at December 31, 2019 were $18.9 million. This, combined with approximately $29.9 million raised through a Series B Preferred stock financing in March 2020 (Note 11) is expected to enable the Company to fund its operating expenses and capital expenditure requirements into December 2020, at which time the Company will need to secure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equity under acceptable terms, if at all. If the Company is unable to obtain additional financing, the lack of liquidity could have a material adverse effect on the Company’s future prospects. As a result of these factors, there is substantial doubt about the Company’s ability to continue as a going concern within one year after the date that these financial statements are issued.</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20"/>
          </w:cols>
          <w:pgMar w:left="320" w:top="454" w:right="3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going-concern basis, which contemplates the realization of assets and satisfaction of liabilities in the normal course of business. The financial statements do not include any adjustments related to the recoverability and classification of recorded asset amounts or the amounts and classification of liabilities that might result from the outcome of this uncertainty. Management is currently evaluating different strategies to obtain the required funding of future operations. These strategies may include, but are not limited to, additional funding from current investors, funding from new investors including strategic corporate investors, and an initial public offering of the Company’s common stock. There can be no assurance these future funding efforts will be successful.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8" w:lineRule="exact"/>
        <w:rPr>
          <w:sz w:val="20"/>
          <w:szCs w:val="20"/>
          <w:color w:val="auto"/>
        </w:rPr>
      </w:pPr>
    </w:p>
    <w:p>
      <w:pPr>
        <w:ind w:right="60" w:firstLine="449"/>
        <w:spacing w:after="0" w:line="263"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(“GAAP”). Any reference in these notes to applicable guidance is meant to refer to GAAP as found in the Accounting Standards Codification (“ASC”) and Accounting Standards Updates (“ASU”) promulgated by the Financial Accounting Standards Board (“FASB”).</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8"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75" w:lineRule="exact"/>
        <w:rPr>
          <w:sz w:val="20"/>
          <w:szCs w:val="20"/>
          <w:color w:val="auto"/>
        </w:rPr>
      </w:pPr>
    </w:p>
    <w:p>
      <w:pPr>
        <w:ind w:right="180" w:firstLine="449"/>
        <w:spacing w:after="0" w:line="263"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financial statements in the period they are determined to be necessary. Significant areas that require management’s estimates include the fair value of the Company’s common stock, stock-based compensation assumptions, and accrued clinical trial expenses.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8" w:lineRule="exact"/>
        <w:rPr>
          <w:sz w:val="20"/>
          <w:szCs w:val="20"/>
          <w:color w:val="auto"/>
        </w:rPr>
      </w:pPr>
    </w:p>
    <w:p>
      <w:pPr>
        <w:ind w:right="40" w:firstLine="449"/>
        <w:spacing w:after="0" w:line="26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cash equivalents. The Company maintains deposits in federally insured financial institutions in excess of federally insured limits. The Company has not experienced any losses in such accounts and believes it is not exposed to significant credit risk beyond the normal credit risk associated with commercial banking relationships.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18"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and manages its operations as a single operating segment.</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8" w:lineRule="exact"/>
        <w:rPr>
          <w:sz w:val="20"/>
          <w:szCs w:val="20"/>
          <w:color w:val="auto"/>
        </w:rPr>
      </w:pPr>
    </w:p>
    <w:p>
      <w:pPr>
        <w:ind w:right="220" w:firstLine="449"/>
        <w:spacing w:after="0" w:line="278" w:lineRule="auto"/>
        <w:rPr>
          <w:sz w:val="20"/>
          <w:szCs w:val="20"/>
          <w:color w:val="auto"/>
        </w:rPr>
      </w:pPr>
      <w:r>
        <w:rPr>
          <w:rFonts w:ascii="Times New Roman" w:cs="Times New Roman" w:eastAsia="Times New Roman" w:hAnsi="Times New Roman"/>
          <w:sz w:val="18"/>
          <w:szCs w:val="18"/>
          <w:color w:val="auto"/>
        </w:rPr>
        <w:t>Management believes that the carrying amounts of the Company’s financial instruments, including cash, accounts payable, accrued expenses and a capital lease obligation, approximate fair value due to the short-term nature of these instruments.</w:t>
      </w:r>
    </w:p>
    <w:p>
      <w:pPr>
        <w:spacing w:after="0" w:line="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4" w:right="4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18" w:lineRule="exact"/>
        <w:rPr>
          <w:sz w:val="20"/>
          <w:szCs w:val="20"/>
          <w:color w:val="auto"/>
        </w:rPr>
      </w:pPr>
    </w:p>
    <w:p>
      <w:pPr>
        <w:ind w:right="260" w:firstLine="449"/>
        <w:spacing w:after="0" w:line="278"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18" w:lineRule="exact"/>
        <w:rPr>
          <w:sz w:val="20"/>
          <w:szCs w:val="20"/>
          <w:color w:val="auto"/>
        </w:rPr>
      </w:pPr>
    </w:p>
    <w:p>
      <w:pPr>
        <w:ind w:right="120" w:firstLine="449"/>
        <w:spacing w:after="0" w:line="27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expense is recognized using the straight-line method over the estimated useful life of the asset, ranging from 5-7 years as follows:</w:t>
      </w:r>
    </w:p>
    <w:p>
      <w:pPr>
        <w:spacing w:after="0" w:line="183" w:lineRule="exact"/>
        <w:rPr>
          <w:sz w:val="20"/>
          <w:szCs w:val="20"/>
          <w:color w:val="auto"/>
        </w:rPr>
      </w:pPr>
    </w:p>
    <w:tbl>
      <w:tblPr>
        <w:tblLayout w:type="fixed"/>
        <w:tblInd w:w="1420" w:type="dxa"/>
        <w:tblCellMar>
          <w:top w:w="0" w:type="dxa"/>
          <w:left w:w="0" w:type="dxa"/>
          <w:bottom w:w="0" w:type="dxa"/>
          <w:right w:w="0" w:type="dxa"/>
        </w:tblCellMar>
      </w:tblPr>
      <w:tr>
        <w:trPr>
          <w:trHeight w:val="172"/>
        </w:trPr>
        <w:tc>
          <w:tcPr>
            <w:tcW w:w="7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Fixed Asset Type</w:t>
            </w:r>
          </w:p>
        </w:tc>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Computers</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340" w:firstLine="449"/>
        <w:spacing w:after="0" w:line="278"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estimated useful life of the assets or the remaining lease term. Assets under capital leases are recorded in property and equipment, net on the balance sheets and depreciated in a manner similar to other property and equipment.</w:t>
      </w:r>
    </w:p>
    <w:p>
      <w:pPr>
        <w:spacing w:after="0" w:line="162" w:lineRule="exact"/>
        <w:rPr>
          <w:sz w:val="20"/>
          <w:szCs w:val="20"/>
          <w:color w:val="auto"/>
        </w:rPr>
      </w:pPr>
    </w:p>
    <w:p>
      <w:pPr>
        <w:ind w:right="220" w:firstLine="449"/>
        <w:spacing w:after="0" w:line="263"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while major betterments are capitalized. Upon retirement or sale, the cost and related accumulated depreciation of assets disposed of are removed from the accounts and any resulting gain or loss is included in the statements of operations.</w:t>
      </w:r>
    </w:p>
    <w:p>
      <w:pPr>
        <w:spacing w:after="0" w:line="175"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amount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then the asset is considered to be impaired and its carrying value is written down to fair value, based on the related estimated discounted future cash flows.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8"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The Company measures the cost of employee services received in exchange for stock-based awards based on the grant-date fair value of the award. The Company recognizes compensation expense using the straight-line method over the vesting period of the awards. The Company accounts for forfeitures as they occur.</w:t>
      </w:r>
    </w:p>
    <w:p>
      <w:pPr>
        <w:spacing w:after="0" w:line="175" w:lineRule="exact"/>
        <w:rPr>
          <w:sz w:val="20"/>
          <w:szCs w:val="20"/>
          <w:color w:val="auto"/>
        </w:rPr>
      </w:pPr>
    </w:p>
    <w:p>
      <w:pPr>
        <w:ind w:right="60" w:firstLine="449"/>
        <w:spacing w:after="0" w:line="263" w:lineRule="auto"/>
        <w:rPr>
          <w:sz w:val="20"/>
          <w:szCs w:val="20"/>
          <w:color w:val="auto"/>
        </w:rPr>
      </w:pPr>
      <w:r>
        <w:rPr>
          <w:rFonts w:ascii="Times New Roman" w:cs="Times New Roman" w:eastAsia="Times New Roman" w:hAnsi="Times New Roman"/>
          <w:sz w:val="18"/>
          <w:szCs w:val="18"/>
          <w:color w:val="auto"/>
        </w:rPr>
        <w:t>Estimating the fair value of stock-based awards requires the input of subjective assumptions, including the estimated fair value of the Company’s common stock, and, for stock options, the expected life of the options and stock price volatility. The Company uses the Black-Scholes option pricing model to value its stock option awards.</w:t>
      </w:r>
    </w:p>
    <w:p>
      <w:pPr>
        <w:spacing w:after="0" w:line="175"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 xml:space="preserve">As the Company’s common stock has not been publicly traded,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w:t>
      </w:r>
      <w:r>
        <w:rPr>
          <w:rFonts w:ascii="Times New Roman" w:cs="Times New Roman" w:eastAsia="Times New Roman" w:hAnsi="Times New Roman"/>
          <w:sz w:val="18"/>
          <w:szCs w:val="18"/>
          <w:i w:val="1"/>
          <w:iCs w:val="1"/>
          <w:color w:val="auto"/>
        </w:rPr>
        <w:t>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 The expected life of the stock options is estimated using the “simplified method,” as prescribed in SEC’s Staff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Bulletin (SAB) No. 107, as the Company has no</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60"/>
          </w:cols>
          <w:pgMar w:left="320" w:top="454" w:right="41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comparable public companies as a basis for its expected volatility to calculate the fair value of option grants. The risk-free rate is based on the U.S. Treasury yield curve commensurate with the expected life of the option.</w:t>
      </w:r>
    </w:p>
    <w:p>
      <w:pPr>
        <w:spacing w:after="0" w:line="180" w:lineRule="exact"/>
        <w:rPr>
          <w:sz w:val="20"/>
          <w:szCs w:val="20"/>
          <w:color w:val="auto"/>
        </w:rPr>
      </w:pPr>
    </w:p>
    <w:p>
      <w:pPr>
        <w:jc w:val="both"/>
        <w:ind w:right="120" w:firstLine="449"/>
        <w:spacing w:after="0" w:line="263" w:lineRule="auto"/>
        <w:rPr>
          <w:sz w:val="20"/>
          <w:szCs w:val="20"/>
          <w:color w:val="auto"/>
        </w:rPr>
      </w:pPr>
      <w:r>
        <w:rPr>
          <w:rFonts w:ascii="Times New Roman" w:cs="Times New Roman" w:eastAsia="Times New Roman" w:hAnsi="Times New Roman"/>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Grant Income and Research and Development Tax Credits</w:t>
      </w:r>
    </w:p>
    <w:p>
      <w:pPr>
        <w:spacing w:after="0" w:line="118" w:lineRule="exact"/>
        <w:rPr>
          <w:sz w:val="20"/>
          <w:szCs w:val="20"/>
          <w:color w:val="auto"/>
        </w:rPr>
      </w:pPr>
    </w:p>
    <w:p>
      <w:pPr>
        <w:jc w:val="both"/>
        <w:ind w:right="200" w:firstLine="449"/>
        <w:spacing w:after="0" w:line="263" w:lineRule="auto"/>
        <w:rPr>
          <w:sz w:val="20"/>
          <w:szCs w:val="20"/>
          <w:color w:val="auto"/>
        </w:rPr>
      </w:pPr>
      <w:r>
        <w:rPr>
          <w:rFonts w:ascii="Times New Roman" w:cs="Times New Roman" w:eastAsia="Times New Roman" w:hAnsi="Times New Roman"/>
          <w:sz w:val="18"/>
          <w:szCs w:val="18"/>
          <w:color w:val="auto"/>
        </w:rPr>
        <w:t>The Company recognizes grant income and Delaware research and development tax credits, which are refundable irrespective of taxable income, in other income, net in the statements of operations when it is probable that the amounts will be received and the necessary qualifying conditions, as stated in the agreements, are met.</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8" w:lineRule="exact"/>
        <w:rPr>
          <w:sz w:val="20"/>
          <w:szCs w:val="20"/>
          <w:color w:val="auto"/>
        </w:rPr>
      </w:pPr>
    </w:p>
    <w:p>
      <w:pPr>
        <w:ind w:right="300" w:firstLine="44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of employees, and other operational costs related to the Company’s research and development activities, including allocated facility-related expenses and external costs of outside vendors, such as clinical research organizations and clinical manufacturing organizations, and other direct and indirect costs.</w:t>
      </w:r>
    </w:p>
    <w:p>
      <w:pPr>
        <w:spacing w:after="0" w:line="180"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Management makes estimates of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6"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 xml:space="preserve">Income taxes are accounted for under the asset-and-liability method as required by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84" w:lineRule="exact"/>
        <w:rPr>
          <w:sz w:val="20"/>
          <w:szCs w:val="20"/>
          <w:color w:val="auto"/>
        </w:rPr>
      </w:pPr>
    </w:p>
    <w:p>
      <w:pPr>
        <w:jc w:val="both"/>
        <w:ind w:right="120" w:firstLine="449"/>
        <w:spacing w:after="0" w:line="264" w:lineRule="auto"/>
        <w:rPr>
          <w:sz w:val="20"/>
          <w:szCs w:val="20"/>
          <w:color w:val="auto"/>
        </w:rPr>
      </w:pPr>
      <w:r>
        <w:rPr>
          <w:rFonts w:ascii="Times New Roman" w:cs="Times New Roman" w:eastAsia="Times New Roman" w:hAnsi="Times New Roman"/>
          <w:sz w:val="18"/>
          <w:szCs w:val="18"/>
          <w:color w:val="auto"/>
        </w:rPr>
        <w:t xml:space="preserve">FASB ASC Subtopic 740-10, </w:t>
      </w:r>
      <w:r>
        <w:rPr>
          <w:rFonts w:ascii="Times New Roman" w:cs="Times New Roman" w:eastAsia="Times New Roman" w:hAnsi="Times New Roman"/>
          <w:sz w:val="18"/>
          <w:szCs w:val="18"/>
          <w:i w:val="1"/>
          <w:iCs w:val="1"/>
          <w:color w:val="auto"/>
        </w:rPr>
        <w:t>Accounting for Uncertainty of Income Taxes</w:t>
      </w:r>
      <w:r>
        <w:rPr>
          <w:rFonts w:ascii="Times New Roman" w:cs="Times New Roman" w:eastAsia="Times New Roman" w:hAnsi="Times New Roman"/>
          <w:sz w:val="18"/>
          <w:szCs w:val="18"/>
          <w:color w:val="auto"/>
        </w:rPr>
        <w:t>, (“ASC 740-10”) defines the criterion an individual tax position must meet for any part of the benefit of the tax position to be recognized in financial statements prepared in conformity with GAAP. The Company may recognize the tax benefit from an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454" w:right="3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part of total interest expense and other expense,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and Unaudited Pro Forma Net Loss Per Share</w:t>
      </w:r>
    </w:p>
    <w:p>
      <w:pPr>
        <w:spacing w:after="0" w:line="118" w:lineRule="exact"/>
        <w:rPr>
          <w:sz w:val="20"/>
          <w:szCs w:val="20"/>
          <w:color w:val="auto"/>
        </w:rPr>
      </w:pPr>
    </w:p>
    <w:p>
      <w:pPr>
        <w:ind w:right="20" w:firstLine="449"/>
        <w:spacing w:after="0" w:line="268" w:lineRule="auto"/>
        <w:rPr>
          <w:sz w:val="20"/>
          <w:szCs w:val="20"/>
          <w:color w:val="auto"/>
        </w:rPr>
      </w:pPr>
      <w:r>
        <w:rPr>
          <w:rFonts w:ascii="Times New Roman" w:cs="Times New Roman" w:eastAsia="Times New Roman" w:hAnsi="Times New Roman"/>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and unvested restricted stock have no obligation to fund losses.</w:t>
      </w:r>
    </w:p>
    <w:p>
      <w:pPr>
        <w:spacing w:after="0" w:line="175" w:lineRule="exact"/>
        <w:rPr>
          <w:sz w:val="20"/>
          <w:szCs w:val="20"/>
          <w:color w:val="auto"/>
        </w:rPr>
      </w:pPr>
    </w:p>
    <w:p>
      <w:pPr>
        <w:ind w:right="800" w:firstLine="449"/>
        <w:spacing w:after="0" w:line="278"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spacing w:after="0"/>
              <w:rPr>
                <w:sz w:val="14"/>
                <w:szCs w:val="14"/>
                <w:color w:val="auto"/>
              </w:rPr>
            </w:pPr>
          </w:p>
        </w:tc>
        <w:tc>
          <w:tcPr>
            <w:tcW w:w="23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0"/>
        </w:trPr>
        <w:tc>
          <w:tcPr>
            <w:tcW w:w="888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6"/>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7"/>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13,574,008</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13,574,008</w:t>
            </w:r>
          </w:p>
        </w:tc>
        <w:tc>
          <w:tcPr>
            <w:tcW w:w="60" w:type="dxa"/>
            <w:vAlign w:val="bottom"/>
            <w:shd w:val="clear" w:color="auto" w:fill="CCEEFF"/>
          </w:tcPr>
          <w:p>
            <w:pPr>
              <w:spacing w:after="0"/>
              <w:rPr>
                <w:sz w:val="18"/>
                <w:szCs w:val="18"/>
                <w:color w:val="auto"/>
              </w:rPr>
            </w:pPr>
          </w:p>
        </w:tc>
      </w:tr>
      <w:tr>
        <w:trPr>
          <w:trHeight w:val="21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8,823,529</w:t>
            </w:r>
          </w:p>
        </w:tc>
      </w:tr>
      <w:tr>
        <w:trPr>
          <w:trHeight w:val="214"/>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990,562</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1,544,467</w:t>
            </w:r>
          </w:p>
        </w:tc>
      </w:tr>
      <w:tr>
        <w:trPr>
          <w:trHeight w:val="221"/>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681,200</w:t>
            </w:r>
          </w:p>
        </w:tc>
        <w:tc>
          <w:tcPr>
            <w:tcW w:w="1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2,625,200</w:t>
            </w:r>
          </w:p>
        </w:tc>
        <w:tc>
          <w:tcPr>
            <w:tcW w:w="60" w:type="dxa"/>
            <w:vAlign w:val="bottom"/>
          </w:tcPr>
          <w:p>
            <w:pPr>
              <w:spacing w:after="0"/>
              <w:rPr>
                <w:sz w:val="19"/>
                <w:szCs w:val="19"/>
                <w:color w:val="auto"/>
              </w:rPr>
            </w:pPr>
          </w:p>
        </w:tc>
      </w:tr>
      <w:tr>
        <w:trPr>
          <w:trHeight w:val="214"/>
        </w:trPr>
        <w:tc>
          <w:tcPr>
            <w:tcW w:w="8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15,245,770</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26,567,204</w:t>
            </w:r>
          </w:p>
        </w:tc>
      </w:tr>
      <w:tr>
        <w:trPr>
          <w:trHeight w:val="20"/>
        </w:trPr>
        <w:tc>
          <w:tcPr>
            <w:tcW w:w="8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2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unaudited pro forma net loss per share is computed using the weighted average number of shares of common stock outstanding after giving effect to the automatic conversion of all convertible preferred stock, inclusive of the 8,823,529 shares of Series B convertible preferred stock issued in March 2020 and the 3,982,887 shares of Series C convertible preferred stock issued in August 2020, into shares of common stock upon the closing of a qualified initial public offering, as if the qualified initial public offering had occurred at the beginning of the period.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454" w:right="3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calculation of unaudited pro forma basic and diluted net loss per share of common stock for the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7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(27,570)</w:t>
            </w:r>
          </w:p>
        </w:tc>
      </w:tr>
      <w:tr>
        <w:trPr>
          <w:trHeight w:val="20"/>
        </w:trPr>
        <w:tc>
          <w:tcPr>
            <w:tcW w:w="28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1,929,863</w:t>
            </w:r>
          </w:p>
        </w:tc>
        <w:tc>
          <w:tcPr>
            <w:tcW w:w="100" w:type="dxa"/>
            <w:vAlign w:val="bottom"/>
          </w:tcPr>
          <w:p>
            <w:pPr>
              <w:spacing w:after="0"/>
              <w:rPr>
                <w:sz w:val="18"/>
                <w:szCs w:val="18"/>
                <w:color w:val="auto"/>
              </w:rPr>
            </w:pPr>
          </w:p>
        </w:tc>
      </w:tr>
      <w:tr>
        <w:trPr>
          <w:trHeight w:val="214"/>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preferred stock</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35,203,953</w:t>
            </w:r>
          </w:p>
        </w:tc>
      </w:tr>
      <w:tr>
        <w:trPr>
          <w:trHeight w:val="221"/>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in computing unaudited pro forma weighted average basic and diluted shares of common stock outstanding</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37,133,816</w:t>
            </w:r>
          </w:p>
        </w:tc>
        <w:tc>
          <w:tcPr>
            <w:tcW w:w="10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common share,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r>
        <w:trPr>
          <w:trHeight w:val="20"/>
        </w:trPr>
        <w:tc>
          <w:tcPr>
            <w:tcW w:w="28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16"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4"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The standard is effective for the Company beginning January 1, 2022, with early adoption permitted. The Company is currently evaluating the expected impact that the standard will have on its financial statements and related disclosures.</w:t>
      </w:r>
    </w:p>
    <w:p>
      <w:pPr>
        <w:spacing w:after="0" w:line="180" w:lineRule="exact"/>
        <w:rPr>
          <w:sz w:val="20"/>
          <w:szCs w:val="20"/>
          <w:color w:val="auto"/>
        </w:rPr>
      </w:pPr>
    </w:p>
    <w:p>
      <w:pPr>
        <w:jc w:val="both"/>
        <w:ind w:right="100" w:firstLine="449"/>
        <w:spacing w:after="0" w:line="271" w:lineRule="auto"/>
        <w:rPr>
          <w:sz w:val="20"/>
          <w:szCs w:val="20"/>
          <w:color w:val="auto"/>
        </w:rPr>
      </w:pPr>
      <w:r>
        <w:rPr>
          <w:rFonts w:ascii="Times New Roman" w:cs="Times New Roman" w:eastAsia="Times New Roman" w:hAnsi="Times New Roman"/>
          <w:sz w:val="17"/>
          <w:szCs w:val="17"/>
          <w:color w:val="auto"/>
        </w:rPr>
        <w:t xml:space="preserve">In June 2018, the FASB issued ASU 2018-07, Compensation-Stock Compensation (Topic 718): </w:t>
      </w:r>
      <w:r>
        <w:rPr>
          <w:rFonts w:ascii="Times New Roman" w:cs="Times New Roman" w:eastAsia="Times New Roman" w:hAnsi="Times New Roman"/>
          <w:sz w:val="17"/>
          <w:szCs w:val="17"/>
          <w:i w:val="1"/>
          <w:iCs w:val="1"/>
          <w:color w:val="auto"/>
        </w:rPr>
        <w:t>Improvements to Nonemployee Share-Based Payment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w:t>
      </w:r>
      <w:r>
        <w:rPr>
          <w:rFonts w:ascii="Times New Roman" w:cs="Times New Roman" w:eastAsia="Times New Roman" w:hAnsi="Times New Roman"/>
          <w:sz w:val="17"/>
          <w:szCs w:val="17"/>
          <w:color w:val="auto"/>
        </w:rPr>
        <w:t>(“ASU 2018-07”), as part of an initiative to reduce the cost and complexity in financial reporting and improve the usefulness of the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related to stock-based payment transaction for acquiring goods and services from nonemployees. Under ASU 2018-07, the guidance under</w:t>
      </w:r>
    </w:p>
    <w:p>
      <w:pPr>
        <w:spacing w:after="0" w:line="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 xml:space="preserve">ASC 505-50, </w:t>
      </w:r>
      <w:r>
        <w:rPr>
          <w:rFonts w:ascii="Times New Roman" w:cs="Times New Roman" w:eastAsia="Times New Roman" w:hAnsi="Times New Roman"/>
          <w:sz w:val="18"/>
          <w:szCs w:val="18"/>
          <w:i w:val="1"/>
          <w:iCs w:val="1"/>
          <w:color w:val="auto"/>
        </w:rPr>
        <w:t>Equity-Based Payments to Non-Employees</w:t>
      </w:r>
      <w:r>
        <w:rPr>
          <w:rFonts w:ascii="Times New Roman" w:cs="Times New Roman" w:eastAsia="Times New Roman" w:hAnsi="Times New Roman"/>
          <w:sz w:val="18"/>
          <w:szCs w:val="18"/>
          <w:color w:val="auto"/>
        </w:rPr>
        <w:t xml:space="preserve"> is superseded as ASC 718 is expanded to include awards to nonemployees. In general, companies will no longer be required to remeasure (i.e., mark-to-market) the fair value of awards granted to nonemployees at each reporting date until the awards vest (the date the vesting condition is achieved). Instead, grants to nonemployees will be valued and accounted for much in the same way as awards to employees, including the ability to use the simplified method/practical expedient when determining the expected term assumption. The Company adopted ASU 2018-07 effective January 1, 2019, and the adoption did not have an impact on the Company’s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454" w:right="3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6" w:lineRule="exact"/>
        <w:rPr>
          <w:sz w:val="20"/>
          <w:szCs w:val="20"/>
          <w:color w:val="auto"/>
        </w:rPr>
      </w:pPr>
    </w:p>
    <w:p>
      <w:pPr>
        <w:jc w:val="both"/>
        <w:ind w:right="260" w:firstLine="449"/>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Framework—Changes to the Disclosure Requirements for Fair Value Measurements,</w:t>
      </w:r>
      <w:r>
        <w:rPr>
          <w:rFonts w:ascii="Times New Roman" w:cs="Times New Roman" w:eastAsia="Times New Roman" w:hAnsi="Times New Roman"/>
          <w:sz w:val="18"/>
          <w:szCs w:val="18"/>
          <w:color w:val="auto"/>
        </w:rPr>
        <w:t xml:space="preserve"> which changes the fair value measurement disclosure requirements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The goal of the ASU is to improve the effectiveness of ASC 820’s disclosure requirements. The standard is effective for fiscal years beginning after December 15, 2019 and interim periods therein. The Company is currently evaluating the potential impact of the adoption of this standard and does not anticipate that the adoption of this standard on January 1, 2020 will have a material impact the Company’s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18"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88" w:lineRule="exact"/>
        <w:rPr>
          <w:sz w:val="20"/>
          <w:szCs w:val="20"/>
          <w:color w:val="auto"/>
        </w:rPr>
      </w:pPr>
    </w:p>
    <w:p>
      <w:pPr>
        <w:ind w:left="1000" w:hanging="552"/>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27" w:lineRule="exact"/>
        <w:rPr>
          <w:rFonts w:ascii="Times New Roman" w:cs="Times New Roman" w:eastAsia="Times New Roman" w:hAnsi="Times New Roman"/>
          <w:sz w:val="18"/>
          <w:szCs w:val="18"/>
          <w:color w:val="auto"/>
        </w:rPr>
      </w:pPr>
    </w:p>
    <w:p>
      <w:pPr>
        <w:ind w:left="1000" w:right="80" w:hanging="552"/>
        <w:spacing w:after="0" w:line="280"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65" w:lineRule="exact"/>
        <w:rPr>
          <w:rFonts w:ascii="Times New Roman" w:cs="Times New Roman" w:eastAsia="Times New Roman" w:hAnsi="Times New Roman"/>
          <w:sz w:val="18"/>
          <w:szCs w:val="18"/>
          <w:color w:val="auto"/>
        </w:rPr>
      </w:pPr>
    </w:p>
    <w:p>
      <w:pPr>
        <w:ind w:left="1000" w:right="940" w:hanging="552"/>
        <w:spacing w:after="0" w:line="280"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(i.e., supported by little or no market activity).</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960" w:type="dxa"/>
            <w:vAlign w:val="bottom"/>
            <w:gridSpan w:val="3"/>
          </w:tcPr>
          <w:p>
            <w:pPr>
              <w:jc w:val="center"/>
              <w:ind w:right="100"/>
              <w:spacing w:after="0" w:line="116"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620" w:type="dxa"/>
            <w:vAlign w:val="bottom"/>
          </w:tcPr>
          <w:p>
            <w:pPr>
              <w:spacing w:after="0"/>
              <w:rPr>
                <w:sz w:val="10"/>
                <w:szCs w:val="10"/>
                <w:color w:val="auto"/>
              </w:rPr>
            </w:pPr>
          </w:p>
        </w:tc>
        <w:tc>
          <w:tcPr>
            <w:tcW w:w="1400" w:type="dxa"/>
            <w:vAlign w:val="bottom"/>
            <w:gridSpan w:val="3"/>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6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markets for</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620" w:type="dxa"/>
            <w:vAlign w:val="bottom"/>
          </w:tcPr>
          <w:p>
            <w:pPr>
              <w:spacing w:after="0"/>
              <w:rPr>
                <w:sz w:val="12"/>
                <w:szCs w:val="12"/>
                <w:color w:val="auto"/>
              </w:rPr>
            </w:pPr>
          </w:p>
        </w:tc>
        <w:tc>
          <w:tcPr>
            <w:tcW w:w="1400" w:type="dxa"/>
            <w:vAlign w:val="bottom"/>
            <w:gridSpan w:val="3"/>
          </w:tcPr>
          <w:p>
            <w:pPr>
              <w:jc w:val="center"/>
              <w:ind w:right="740"/>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6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50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6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Pr>
          <w:p>
            <w:pPr>
              <w:spacing w:after="0"/>
              <w:rPr>
                <w:sz w:val="15"/>
                <w:szCs w:val="15"/>
                <w:color w:val="auto"/>
              </w:rPr>
            </w:pPr>
          </w:p>
        </w:tc>
        <w:tc>
          <w:tcPr>
            <w:tcW w:w="1400" w:type="dxa"/>
            <w:vAlign w:val="bottom"/>
            <w:gridSpan w:val="3"/>
          </w:tcPr>
          <w:p>
            <w:pPr>
              <w:jc w:val="center"/>
              <w:ind w:right="740"/>
              <w:spacing w:after="0" w:line="15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76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87"/>
        </w:trPr>
        <w:tc>
          <w:tcPr>
            <w:tcW w:w="438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 2018:</w:t>
            </w:r>
          </w:p>
        </w:tc>
        <w:tc>
          <w:tcPr>
            <w:tcW w:w="3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7"/>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3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3"/>
        </w:trPr>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140" w:type="dxa"/>
            <w:vAlign w:val="bottom"/>
            <w:gridSpan w:val="2"/>
          </w:tcPr>
          <w:p>
            <w:pPr>
              <w:jc w:val="right"/>
              <w:ind w:right="1651"/>
              <w:spacing w:after="0"/>
              <w:rPr>
                <w:sz w:val="20"/>
                <w:szCs w:val="20"/>
                <w:color w:val="auto"/>
              </w:rPr>
            </w:pPr>
            <w:r>
              <w:rPr>
                <w:rFonts w:ascii="Times New Roman" w:cs="Times New Roman" w:eastAsia="Times New Roman" w:hAnsi="Times New Roman"/>
                <w:sz w:val="18"/>
                <w:szCs w:val="18"/>
                <w:color w:val="auto"/>
              </w:rPr>
              <w:t>F-13</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16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5160" w:type="dxa"/>
            <w:vAlign w:val="bottom"/>
            <w:vMerge w:val="continue"/>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27"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3"/>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04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Lab equipment</w:t>
            </w:r>
          </w:p>
        </w:tc>
        <w:tc>
          <w:tcPr>
            <w:tcW w:w="3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674</w:t>
            </w: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6"/>
              </w:rPr>
              <w:t>$1,842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4"/>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3"/>
              </w:rPr>
              <w:t>1,002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(191)</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4"/>
        </w:trPr>
        <w:tc>
          <w:tcPr>
            <w:tcW w:w="6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4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and amortization expense was $0.1 million and $0.4 million for the years ended December 31, 2018 and 2019, respectively.</w:t>
      </w:r>
    </w:p>
    <w:p>
      <w:pPr>
        <w:spacing w:after="0" w:line="221" w:lineRule="exact"/>
        <w:rPr>
          <w:sz w:val="20"/>
          <w:szCs w:val="20"/>
          <w:color w:val="auto"/>
        </w:rPr>
      </w:pPr>
    </w:p>
    <w:p>
      <w:pPr>
        <w:ind w:right="400" w:firstLine="449"/>
        <w:spacing w:after="0" w:line="263" w:lineRule="auto"/>
        <w:rPr>
          <w:sz w:val="20"/>
          <w:szCs w:val="20"/>
          <w:color w:val="auto"/>
        </w:rPr>
      </w:pPr>
      <w:r>
        <w:rPr>
          <w:rFonts w:ascii="Times New Roman" w:cs="Times New Roman" w:eastAsia="Times New Roman" w:hAnsi="Times New Roman"/>
          <w:sz w:val="18"/>
          <w:szCs w:val="18"/>
          <w:color w:val="auto"/>
        </w:rPr>
        <w:t>In September 2019, the Company signed a 12-month capital lease for $0.4 million of lab equipment with an effective interest rate of 9.67%. At December 31, 2019, the Company had $0.1 million of accumulated amortization related to the capital lease. At December 31, 2019, the Company owed $0.3 million in future minimum lease payments under the capital lease that are expected to be paid in 2020.</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9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27"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4"/>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98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Compensation and related benefits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873</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2"/>
              </w:rPr>
              <w:t>$ 1,631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4"/>
        </w:trPr>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1,085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$ 2,603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8"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two separate noncancelable leases, which expire in November 2020 and March 2021, respectively. The Company has an option to renew both leases for additional 1-year and 6-months periods, respectively. The leases are classified as operating leases and the Company recognizes rent expense on a straight-line basis over the lease terms. The Company recognized rent expense of $0.7 and $0.9 million during the years ended December 31, 2018 and 2019, respectively, related to these leases.</w:t>
      </w:r>
    </w:p>
    <w:p>
      <w:pPr>
        <w:spacing w:after="0" w:line="180" w:lineRule="exact"/>
        <w:rPr>
          <w:sz w:val="20"/>
          <w:szCs w:val="20"/>
          <w:color w:val="auto"/>
        </w:rPr>
      </w:pPr>
    </w:p>
    <w:p>
      <w:pPr>
        <w:ind w:right="40" w:firstLine="449"/>
        <w:spacing w:after="0" w:line="308" w:lineRule="auto"/>
        <w:rPr>
          <w:sz w:val="20"/>
          <w:szCs w:val="20"/>
          <w:color w:val="auto"/>
        </w:rPr>
      </w:pPr>
      <w:r>
        <w:rPr>
          <w:rFonts w:ascii="Times New Roman" w:cs="Times New Roman" w:eastAsia="Times New Roman" w:hAnsi="Times New Roman"/>
          <w:sz w:val="17"/>
          <w:szCs w:val="17"/>
          <w:color w:val="auto"/>
        </w:rPr>
        <w:t>The future minimum lease payments under the Company’s operating lease agreements as of December 31, 2019 are $1.0 million for 2020 and $21,000 for 2021, with no commitments thereafter. In June 2020, the Company extended the lease that was set to expire in November 2020 until December 2021.</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454" w:right="3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18" w:lineRule="exact"/>
        <w:rPr>
          <w:sz w:val="20"/>
          <w:szCs w:val="20"/>
          <w:color w:val="auto"/>
        </w:rPr>
      </w:pPr>
    </w:p>
    <w:p>
      <w:pPr>
        <w:ind w:firstLine="449"/>
        <w:spacing w:after="0" w:line="278"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118" w:lineRule="exact"/>
        <w:rPr>
          <w:sz w:val="20"/>
          <w:szCs w:val="20"/>
          <w:color w:val="auto"/>
        </w:rPr>
      </w:pPr>
    </w:p>
    <w:p>
      <w:pPr>
        <w:ind w:right="620" w:firstLine="449"/>
        <w:spacing w:after="0" w:line="278" w:lineRule="auto"/>
        <w:rPr>
          <w:sz w:val="20"/>
          <w:szCs w:val="20"/>
          <w:color w:val="auto"/>
        </w:rPr>
      </w:pPr>
      <w:r>
        <w:rPr>
          <w:rFonts w:ascii="Times New Roman" w:cs="Times New Roman" w:eastAsia="Times New Roman" w:hAnsi="Times New Roman"/>
          <w:sz w:val="18"/>
          <w:szCs w:val="18"/>
          <w:color w:val="auto"/>
        </w:rPr>
        <w:t>The Company enters into agreements with contract research organizations (“CROs”) to assist in the performance of research and development activities. Expenditures to CROs will represent a significant cost in clinical development for the Company.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Preferred Stock and Common Stock</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18" w:lineRule="exact"/>
        <w:rPr>
          <w:sz w:val="20"/>
          <w:szCs w:val="20"/>
          <w:color w:val="auto"/>
        </w:rPr>
      </w:pPr>
    </w:p>
    <w:p>
      <w:pPr>
        <w:ind w:right="340" w:firstLine="449"/>
        <w:spacing w:after="0" w:line="278" w:lineRule="auto"/>
        <w:rPr>
          <w:sz w:val="20"/>
          <w:szCs w:val="20"/>
          <w:color w:val="auto"/>
        </w:rPr>
      </w:pPr>
      <w:r>
        <w:rPr>
          <w:rFonts w:ascii="Times New Roman" w:cs="Times New Roman" w:eastAsia="Times New Roman" w:hAnsi="Times New Roman"/>
          <w:sz w:val="18"/>
          <w:szCs w:val="18"/>
          <w:color w:val="auto"/>
        </w:rPr>
        <w:t>In August 2018, the Company issued an aggregate of 6,625,442 shares of Series A convertible preferred stock (“Series A”) for $2.72 per share for aggregate net proceeds of $17.9 million.</w:t>
      </w:r>
    </w:p>
    <w:p>
      <w:pPr>
        <w:spacing w:after="0" w:line="162" w:lineRule="exact"/>
        <w:rPr>
          <w:sz w:val="20"/>
          <w:szCs w:val="20"/>
          <w:color w:val="auto"/>
        </w:rPr>
      </w:pPr>
    </w:p>
    <w:p>
      <w:pPr>
        <w:ind w:right="100" w:firstLine="449"/>
        <w:spacing w:after="0" w:line="278" w:lineRule="auto"/>
        <w:rPr>
          <w:sz w:val="20"/>
          <w:szCs w:val="20"/>
          <w:color w:val="auto"/>
        </w:rPr>
      </w:pPr>
      <w:r>
        <w:rPr>
          <w:rFonts w:ascii="Times New Roman" w:cs="Times New Roman" w:eastAsia="Times New Roman" w:hAnsi="Times New Roman"/>
          <w:sz w:val="18"/>
          <w:szCs w:val="18"/>
          <w:color w:val="auto"/>
        </w:rPr>
        <w:t>In May 2019, the Company issued an aggregate of 8,823,529 shares of Series B convertible preferred stock (“Series B”) to existing investors at $3.40 per share for aggregate net proceeds of $29.8 million.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rights, preferences, and terms of the Series A and Series B (collectively, “Convertible Preferred Stock”):</w:t>
      </w:r>
    </w:p>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8" w:lineRule="exact"/>
        <w:rPr>
          <w:sz w:val="20"/>
          <w:szCs w:val="20"/>
          <w:color w:val="auto"/>
        </w:rPr>
      </w:pPr>
    </w:p>
    <w:p>
      <w:pPr>
        <w:ind w:right="80" w:firstLine="449"/>
        <w:spacing w:after="0" w:line="263" w:lineRule="auto"/>
        <w:rPr>
          <w:sz w:val="20"/>
          <w:szCs w:val="20"/>
          <w:color w:val="auto"/>
        </w:rPr>
      </w:pPr>
      <w:r>
        <w:rPr>
          <w:rFonts w:ascii="Times New Roman" w:cs="Times New Roman" w:eastAsia="Times New Roman" w:hAnsi="Times New Roman"/>
          <w:sz w:val="18"/>
          <w:szCs w:val="18"/>
          <w:color w:val="auto"/>
        </w:rPr>
        <w:t>The holders of the Convertible Preferred Stock are also entitled to receive dividends payable when, as and if declared by the Board of Directors of the Company, with the holders of common stock, paid out of any assets or on the common stock of the Company, on an as-converted to common stock basis. Dividends are non-cumulative and no dividends on common stock were declared or paid from inception through December 31, 2019.</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18" w:lineRule="exact"/>
        <w:rPr>
          <w:sz w:val="20"/>
          <w:szCs w:val="20"/>
          <w:color w:val="auto"/>
        </w:rPr>
      </w:pPr>
    </w:p>
    <w:p>
      <w:pPr>
        <w:ind w:right="380" w:firstLine="449"/>
        <w:spacing w:after="0" w:line="263" w:lineRule="auto"/>
        <w:rPr>
          <w:sz w:val="20"/>
          <w:szCs w:val="20"/>
          <w:color w:val="auto"/>
        </w:rPr>
      </w:pPr>
      <w:r>
        <w:rPr>
          <w:rFonts w:ascii="Times New Roman" w:cs="Times New Roman" w:eastAsia="Times New Roman" w:hAnsi="Times New Roman"/>
          <w:sz w:val="18"/>
          <w:szCs w:val="18"/>
          <w:color w:val="auto"/>
        </w:rPr>
        <w:t>Holders of the Convertible Preferred Stock are entitled to one vote for each share of common stock into which their shares may be converted and, subject to certain Convertible Preferred Stock class votes specified in the Company’s certificate of incorporation or as required by law, holders of the Convertible Preferred Stock and common stock vote together on an as-converted basis.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18"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either voluntary or involuntary, or in the event of a deemed liquidation event, which includes a sale of the Company as defined in the Company’s articles of incorporation, holders of the Convertible Preferred Stock are entitled to receive, in preference to all other stockholders, an amount equal to the greater of their original investment amount plus any declared but unpaid dividends or the fair value of the common stock on a fully converted basis prior to the deemed liquidation event. If, upon the occurrence of such event, the assets and funds available for distribution are insufficient to pay such holders the full amount to which they are entitled, then the entire assets and funds legally available for distribution shall be distributed ratably among the holders of the Convertible Preferred Stock in proportion to the full amounts to which they would otherwise be entitled.</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20"/>
          </w:cols>
          <w:pgMar w:left="320" w:top="454" w:right="3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8"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Each share of Convertible Preferred Stock is convertible into one share of common stock at any time at the option of the holder at a conversion price then in effect. As of December 31, 2019, the conversion price of the Series A is $2.72 per share and the conversion price of the Series B is $3.40 per share. All outstanding Convertible Preferred Stock will automatically convert into common stock at the conversion price then in effect upon (i) a qualified initial public offering of common stock with a public offering price of at least $10.20 per share and aggregate gross proceeds of at least $50.0 million or (ii) the affirmative election of 66% of the holders of the outstanding shares of Convertible Preferred Stock.</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18" w:lineRule="exact"/>
        <w:rPr>
          <w:sz w:val="20"/>
          <w:szCs w:val="20"/>
          <w:color w:val="auto"/>
        </w:rPr>
      </w:pPr>
    </w:p>
    <w:p>
      <w:pPr>
        <w:ind w:right="140" w:firstLine="449"/>
        <w:spacing w:after="0" w:line="308" w:lineRule="auto"/>
        <w:rPr>
          <w:sz w:val="20"/>
          <w:szCs w:val="20"/>
          <w:color w:val="auto"/>
        </w:rPr>
      </w:pPr>
      <w:r>
        <w:rPr>
          <w:rFonts w:ascii="Times New Roman" w:cs="Times New Roman" w:eastAsia="Times New Roman" w:hAnsi="Times New Roman"/>
          <w:sz w:val="17"/>
          <w:szCs w:val="17"/>
          <w:color w:val="auto"/>
        </w:rPr>
        <w:t>The Convertible Preferred Stock is subject to redemption under certain deemed liquidation events not solely within the control of the Company, as defined, and as such is considered contingently redeemable for accounting purposes and is classified as temporary equity in the Company’s balance sheets.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Tranche Right Feature</w:t>
      </w:r>
    </w:p>
    <w:p>
      <w:pPr>
        <w:spacing w:after="0" w:line="118"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auto"/>
        </w:rPr>
        <w:t>Pursuant to the October 2017 Series A Stock Purchase Agreement, the Series A investors could elect to purchase up to an aggregate of 6,625,442 additional shares of the Company’s Series A at a fixed purchase price of $2.72 per share (the “Series A Future Tranche Right”). Additionally, upon the successful filing of an investigational new drug application (“IND”), the Series A investors were obligated to purchase the additional shares of Series A. In the event the holders did not purchase additional shares of Series A, their initial shares of Series A would have automatically converted into shares of the Company’s common stock at a conversion ratio of 10 shares of Series A for 1 share of common stock. In August 2018, the Series A Future Tranche Right was exercised in full by the Series A investors.</w:t>
      </w:r>
    </w:p>
    <w:p>
      <w:pPr>
        <w:spacing w:after="0" w:line="184" w:lineRule="exact"/>
        <w:rPr>
          <w:sz w:val="20"/>
          <w:szCs w:val="20"/>
          <w:color w:val="auto"/>
        </w:rPr>
      </w:pPr>
    </w:p>
    <w:p>
      <w:pPr>
        <w:ind w:right="300" w:firstLine="449"/>
        <w:spacing w:after="0" w:line="255" w:lineRule="auto"/>
        <w:rPr>
          <w:sz w:val="20"/>
          <w:szCs w:val="20"/>
          <w:color w:val="auto"/>
        </w:rPr>
      </w:pPr>
      <w:r>
        <w:rPr>
          <w:rFonts w:ascii="Times New Roman" w:cs="Times New Roman" w:eastAsia="Times New Roman" w:hAnsi="Times New Roman"/>
          <w:sz w:val="18"/>
          <w:szCs w:val="18"/>
          <w:color w:val="auto"/>
        </w:rPr>
        <w:t>Pursuant to the May 2019 Series B Stock Purchase Agreement, the Series B investors could elect to purchase an aggregate of 8,823,529 additional shares of the Company’s Series B at a fixed purchase price of $3.40 per share (the “Series B Future Tranche Right”). Additionally, upon the successful demonstration of certain pharmacokinetic and safety profile milestones by the Company, the holders were obligated to purchase the additional shares of Series B. In the event the holders did not purchase additional shares of Series B, their initial shares of Series B would have automatically converted into shares of the Company’s common stock at a conversion ratio of 10 shares of Series B for 1 share of common stock.</w:t>
      </w:r>
    </w:p>
    <w:p>
      <w:pPr>
        <w:spacing w:after="0" w:line="184"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Series A Future Tranche Right and Series B Future Tranche Right (Collectively, “Future Tranche Rights”) did not meet the definition of a freestanding financial instrument as they were not legally detachable. The Future Tranche Rights were also evaluated as an embedded derivative and the Company determined they did not meet the definition of a derivative instrument for which bifurcation would be required. In March 2020, the Series B Future Tranche Right was exercised in full by the Series B investors (Note 11).</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8" w:lineRule="exact"/>
        <w:rPr>
          <w:sz w:val="20"/>
          <w:szCs w:val="20"/>
          <w:color w:val="auto"/>
        </w:rPr>
      </w:pPr>
    </w:p>
    <w:p>
      <w:pPr>
        <w:jc w:val="both"/>
        <w:ind w:firstLine="449"/>
        <w:spacing w:after="0" w:line="263" w:lineRule="auto"/>
        <w:rPr>
          <w:sz w:val="20"/>
          <w:szCs w:val="20"/>
          <w:color w:val="auto"/>
        </w:rPr>
      </w:pPr>
      <w:r>
        <w:rPr>
          <w:rFonts w:ascii="Times New Roman" w:cs="Times New Roman" w:eastAsia="Times New Roman" w:hAnsi="Times New Roman"/>
          <w:sz w:val="18"/>
          <w:szCs w:val="18"/>
          <w:color w:val="auto"/>
        </w:rPr>
        <w:t>The holders of the common stock are entitled to one vote for each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Convertible Preferred Stock, the remaining</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00"/>
          </w:cols>
          <w:pgMar w:left="320" w:top="454" w:right="37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color w:val="auto"/>
        </w:rPr>
        <w:t>funds and assets available for distribution to the stockholders of the Company will be distributed among the holders of shares of common stock, pro rata based on the number of shares of common stock held by each such holder.</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8" w:lineRule="exact"/>
        <w:rPr>
          <w:sz w:val="20"/>
          <w:szCs w:val="20"/>
          <w:color w:val="auto"/>
        </w:rPr>
      </w:pPr>
    </w:p>
    <w:p>
      <w:pPr>
        <w:ind w:right="300" w:firstLine="449"/>
        <w:spacing w:after="0" w:line="255" w:lineRule="auto"/>
        <w:rPr>
          <w:sz w:val="20"/>
          <w:szCs w:val="20"/>
          <w:color w:val="auto"/>
        </w:rPr>
      </w:pPr>
      <w:r>
        <w:rPr>
          <w:rFonts w:ascii="Times New Roman" w:cs="Times New Roman" w:eastAsia="Times New Roman" w:hAnsi="Times New Roman"/>
          <w:sz w:val="18"/>
          <w:szCs w:val="18"/>
          <w:color w:val="auto"/>
        </w:rPr>
        <w:t>Under the Prelude Therapeutics Incorporated 2016 Stock Incentive Plan, as amended (the “Plan”), the Company may grant stock options, stock appreciation rights, restricted stock awards, restricted stock unit awards, performance stock awards and other forms of equity compensation to Company employees, directors and consultants. As of December 31, 2019, there were 421,989 shares of common stock available for issuance under the Plan. The Company’s stock options vest based on the terms in each award agreement, generally over four-year periods with 25% of options vesting after 1 year and then monthly thereafter, and have a term of ten years.</w:t>
      </w:r>
    </w:p>
    <w:p>
      <w:pPr>
        <w:spacing w:after="0" w:line="184" w:lineRule="exact"/>
        <w:rPr>
          <w:sz w:val="20"/>
          <w:szCs w:val="20"/>
          <w:color w:val="auto"/>
        </w:rPr>
      </w:pPr>
    </w:p>
    <w:p>
      <w:pPr>
        <w:ind w:right="240" w:firstLine="449"/>
        <w:spacing w:after="0" w:line="263"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33590" cy="144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33590" cy="135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stock option activity for the Plan in the years indicated: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left="-2039"/>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2039"/>
        <w:spacing w:after="0" w:line="235"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24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3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3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$178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94"/>
              </w:rPr>
              <w:t>$437</w:t>
            </w:r>
          </w:p>
        </w:tc>
        <w:tc>
          <w:tcPr>
            <w:tcW w:w="20" w:type="dxa"/>
            <w:vAlign w:val="bottom"/>
          </w:tcPr>
          <w:p>
            <w:pPr>
              <w:spacing w:after="0"/>
              <w:rPr>
                <w:sz w:val="16"/>
                <w:szCs w:val="16"/>
                <w:color w:val="auto"/>
              </w:rPr>
            </w:pPr>
          </w:p>
        </w:tc>
      </w:tr>
      <w:tr>
        <w:trPr>
          <w:trHeight w:val="232"/>
        </w:trPr>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409</w:t>
            </w:r>
          </w:p>
        </w:tc>
      </w:tr>
      <w:tr>
        <w:trPr>
          <w:trHeight w:val="221"/>
        </w:trPr>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180</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846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150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7"/>
        </w:trPr>
        <w:tc>
          <w:tcPr>
            <w:tcW w:w="880" w:type="dxa"/>
            <w:vAlign w:val="bottom"/>
            <w:vMerge w:val="restart"/>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00" w:type="dxa"/>
            <w:vAlign w:val="bottom"/>
            <w:vMerge w:val="continue"/>
          </w:tcPr>
          <w:p>
            <w:pPr>
              <w:spacing w:after="0"/>
              <w:rPr>
                <w:sz w:val="12"/>
                <w:szCs w:val="12"/>
                <w:color w:val="auto"/>
              </w:rPr>
            </w:pPr>
          </w:p>
        </w:tc>
        <w:tc>
          <w:tcPr>
            <w:tcW w:w="1040" w:type="dxa"/>
            <w:vAlign w:val="bottom"/>
          </w:tcPr>
          <w:p>
            <w:pPr>
              <w:jc w:val="center"/>
              <w:ind w:left="249"/>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1500" w:type="dxa"/>
            <w:vAlign w:val="bottom"/>
          </w:tcPr>
          <w:p>
            <w:pPr>
              <w:jc w:val="center"/>
              <w:ind w:left="29"/>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jc w:val="center"/>
              <w:ind w:left="229"/>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7"/>
        </w:trPr>
        <w:tc>
          <w:tcPr>
            <w:tcW w:w="880" w:type="dxa"/>
            <w:vAlign w:val="bottom"/>
          </w:tcPr>
          <w:p>
            <w:pPr>
              <w:jc w:val="center"/>
              <w:ind w:right="329"/>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150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40" w:type="dxa"/>
            <w:vAlign w:val="bottom"/>
          </w:tcPr>
          <w:p>
            <w:pPr>
              <w:jc w:val="center"/>
              <w:ind w:left="229"/>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0"/>
        </w:trPr>
        <w:tc>
          <w:tcPr>
            <w:tcW w:w="88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50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4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040" w:space="720"/>
            <w:col w:w="3480"/>
          </w:cols>
          <w:pgMar w:left="320" w:top="454"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2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9.14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651,200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0.99</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681,200</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0.96</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4"/>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1,970,500</w:t>
            </w:r>
          </w:p>
        </w:tc>
        <w:tc>
          <w:tcPr>
            <w:tcW w:w="60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1.59</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(22,750)</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(3,750)</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0.88</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2,625,200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1.43</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2019</w:t>
            </w:r>
          </w:p>
        </w:tc>
        <w:tc>
          <w:tcPr>
            <w:tcW w:w="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0.90</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line="20" w:lineRule="exact"/>
              <w:rPr>
                <w:sz w:val="1"/>
                <w:szCs w:val="1"/>
                <w:color w:val="auto"/>
              </w:rPr>
            </w:pPr>
          </w:p>
        </w:tc>
      </w:tr>
      <w:tr>
        <w:trPr>
          <w:trHeight w:val="207"/>
        </w:trPr>
        <w:tc>
          <w:tcPr>
            <w:tcW w:w="762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284,301</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left="520" w:right="260"/>
        <w:spacing w:after="0" w:line="448" w:lineRule="auto"/>
        <w:rPr>
          <w:sz w:val="20"/>
          <w:szCs w:val="20"/>
          <w:color w:val="auto"/>
        </w:rPr>
      </w:pPr>
      <w:r>
        <w:rPr>
          <w:rFonts w:ascii="Times New Roman" w:cs="Times New Roman" w:eastAsia="Times New Roman" w:hAnsi="Times New Roman"/>
          <w:sz w:val="18"/>
          <w:szCs w:val="18"/>
          <w:color w:val="auto"/>
        </w:rPr>
        <w:t>At December 31, 2019, the aggregate intrinsic value of outstanding options and exercisable options was $0.5 million and $0.2 million, respectively. F-17</w:t>
      </w:r>
    </w:p>
    <w:p>
      <w:pPr>
        <w:sectPr>
          <w:pgSz w:w="11900" w:h="16838" w:orient="portrait"/>
          <w:cols w:equalWidth="0" w:num="1">
            <w:col w:w="11240"/>
          </w:cols>
          <w:pgMar w:left="320" w:top="454" w:right="339" w:bottom="1440" w:gutter="0" w:footer="0" w:header="0"/>
          <w:type w:val="continuous"/>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2019 under the Plan: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center"/>
              <w:ind w:right="440"/>
              <w:spacing w:after="0" w:line="116"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580" w:type="dxa"/>
            <w:vAlign w:val="bottom"/>
            <w:tcBorders>
              <w:top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158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4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64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4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4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4100" w:type="dxa"/>
            <w:vAlign w:val="bottom"/>
          </w:tcPr>
          <w:p>
            <w:pPr>
              <w:spacing w:after="0"/>
              <w:rPr>
                <w:sz w:val="15"/>
                <w:szCs w:val="15"/>
                <w:color w:val="auto"/>
              </w:rPr>
            </w:pPr>
          </w:p>
        </w:tc>
        <w:tc>
          <w:tcPr>
            <w:tcW w:w="92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5"/>
                <w:szCs w:val="15"/>
                <w:color w:val="auto"/>
              </w:rPr>
            </w:pPr>
          </w:p>
        </w:tc>
        <w:tc>
          <w:tcPr>
            <w:tcW w:w="1580" w:type="dxa"/>
            <w:vAlign w:val="bottom"/>
            <w:gridSpan w:val="2"/>
          </w:tcPr>
          <w:p>
            <w:pPr>
              <w:jc w:val="center"/>
              <w:ind w:right="4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(in years)</w:t>
            </w:r>
          </w:p>
        </w:tc>
        <w:tc>
          <w:tcPr>
            <w:tcW w:w="100" w:type="dxa"/>
            <w:vAlign w:val="bottom"/>
          </w:tcPr>
          <w:p>
            <w:pPr>
              <w:spacing w:after="0"/>
              <w:rPr>
                <w:sz w:val="15"/>
                <w:szCs w:val="15"/>
                <w:color w:val="auto"/>
              </w:rPr>
            </w:pPr>
          </w:p>
        </w:tc>
        <w:tc>
          <w:tcPr>
            <w:tcW w:w="940" w:type="dxa"/>
            <w:vAlign w:val="bottom"/>
            <w:gridSpan w:val="2"/>
          </w:tcPr>
          <w:p>
            <w:pPr>
              <w:jc w:val="center"/>
              <w:ind w:right="580"/>
              <w:spacing w:after="0" w:line="159"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right"/>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1"/>
        </w:trPr>
        <w:tc>
          <w:tcPr>
            <w:tcW w:w="150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$0.26 - $0.88</w:t>
            </w:r>
          </w:p>
        </w:tc>
        <w:tc>
          <w:tcPr>
            <w:tcW w:w="4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458,700</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8.13</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0.84</w:t>
            </w: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218,877</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w w:val="88"/>
              </w:rPr>
              <w:t>0.80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$1.23 - $1.63</w:t>
            </w:r>
          </w:p>
        </w:tc>
        <w:tc>
          <w:tcPr>
            <w:tcW w:w="4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2,166,500</w:t>
            </w:r>
          </w:p>
        </w:tc>
        <w:tc>
          <w:tcPr>
            <w:tcW w:w="140" w:type="dxa"/>
            <w:vAlign w:val="bottom"/>
          </w:tcPr>
          <w:p>
            <w:pPr>
              <w:spacing w:after="0"/>
              <w:rPr>
                <w:sz w:val="18"/>
                <w:szCs w:val="18"/>
                <w:color w:val="auto"/>
              </w:rPr>
            </w:pPr>
          </w:p>
        </w:tc>
        <w:tc>
          <w:tcPr>
            <w:tcW w:w="1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1.55</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65,424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5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284,301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$0.74 and $1.21 per share for the years ended December 31, 2018 and 2019, respectively. The aggregate intrinsic value of options exercised was $3,000 for the year ended December 31, 2019. The Company recorded stock-based compensation expense of $70,000 and $0.4 million for the years ended December 31, 2018 and 2019, respectively, related to stock options. As of December 31, 2019, the total unrecognized compensation expense related to unvested stock option awards was $2.3 million, which the Company expects to recognize over a weighted-average period of 3.47 years.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41"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220"/>
        <w:spacing w:after="0" w:line="235"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0"/>
        </w:trPr>
        <w:tc>
          <w:tcPr>
            <w:tcW w:w="94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07"/>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87.01%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91.60%</w:t>
            </w:r>
          </w:p>
        </w:tc>
      </w:tr>
      <w:tr>
        <w:trPr>
          <w:trHeight w:val="21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r>
      <w:tr>
        <w:trPr>
          <w:trHeight w:val="214"/>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6.25</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r>
      <w:tr>
        <w:trPr>
          <w:trHeight w:val="21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$ 0.99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$ 1.52</w:t>
            </w:r>
          </w:p>
        </w:tc>
      </w:tr>
    </w:tbl>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18" w:lineRule="exact"/>
        <w:rPr>
          <w:sz w:val="20"/>
          <w:szCs w:val="20"/>
          <w:color w:val="auto"/>
        </w:rPr>
      </w:pPr>
    </w:p>
    <w:p>
      <w:pPr>
        <w:ind w:right="40" w:firstLine="449"/>
        <w:spacing w:after="0" w:line="263"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1 year and then monthly thereafter. Any unvested shares will be forfeited upon termination of services. The fair value of an RSA is equal to the fair market value price of the Company’s common stock on the date of grant. RSA expense is amortized straight-line over the vesting period.</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7"/>
        </w:trPr>
        <w:tc>
          <w:tcPr>
            <w:tcW w:w="8080" w:type="dxa"/>
            <w:vAlign w:val="bottom"/>
          </w:tcPr>
          <w:p>
            <w:pPr>
              <w:spacing w:after="0"/>
              <w:rPr>
                <w:sz w:val="12"/>
                <w:szCs w:val="12"/>
                <w:color w:val="auto"/>
              </w:rPr>
            </w:pPr>
          </w:p>
        </w:tc>
        <w:tc>
          <w:tcPr>
            <w:tcW w:w="156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2"/>
        </w:trPr>
        <w:tc>
          <w:tcPr>
            <w:tcW w:w="808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7"/>
        </w:trPr>
        <w:tc>
          <w:tcPr>
            <w:tcW w:w="8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January 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990,562</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0.63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900,000</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(346,095)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21"/>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Unvested balance at December 31, 2019</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1,544,467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40" w:firstLine="449"/>
        <w:spacing w:after="0" w:line="278" w:lineRule="auto"/>
        <w:rPr>
          <w:sz w:val="20"/>
          <w:szCs w:val="20"/>
          <w:color w:val="auto"/>
        </w:rPr>
      </w:pPr>
      <w:r>
        <w:rPr>
          <w:rFonts w:ascii="Times New Roman" w:cs="Times New Roman" w:eastAsia="Times New Roman" w:hAnsi="Times New Roman"/>
          <w:sz w:val="18"/>
          <w:szCs w:val="18"/>
          <w:color w:val="auto"/>
        </w:rPr>
        <w:t>The Company recorded stock-based compensation expense of $0.1 million and $0.4 million for the years ended December 31, 2018 and 2019, respectively, related to RSAs. As of December 31, 2019, the total</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454" w:right="3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expense related to all RSAs was $1.6 million, which the Company expects to recognize over a weighted-average period of 3.14 years.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liabilities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60" w:type="dxa"/>
            <w:vAlign w:val="bottom"/>
            <w:vMerge w:val="restart"/>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5260" w:type="dxa"/>
            <w:vAlign w:val="bottom"/>
            <w:vMerge w:val="continue"/>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14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Deferred tax assets:</w:t>
            </w:r>
          </w:p>
        </w:tc>
        <w:tc>
          <w:tcPr>
            <w:tcW w:w="3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5,461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13,659</w:t>
            </w:r>
          </w:p>
        </w:tc>
        <w:tc>
          <w:tcPr>
            <w:tcW w:w="0" w:type="dxa"/>
            <w:vAlign w:val="bottom"/>
          </w:tcPr>
          <w:p>
            <w:pPr>
              <w:spacing w:after="0"/>
              <w:rPr>
                <w:sz w:val="1"/>
                <w:szCs w:val="1"/>
                <w:color w:val="auto"/>
              </w:rPr>
            </w:pPr>
          </w:p>
        </w:tc>
      </w:tr>
      <w:tr>
        <w:trPr>
          <w:trHeight w:val="214"/>
        </w:trPr>
        <w:tc>
          <w:tcPr>
            <w:tcW w:w="6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(6,164)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(15,409)</w:t>
            </w:r>
          </w:p>
        </w:tc>
        <w:tc>
          <w:tcPr>
            <w:tcW w:w="0" w:type="dxa"/>
            <w:vAlign w:val="bottom"/>
          </w:tcPr>
          <w:p>
            <w:pPr>
              <w:spacing w:after="0"/>
              <w:rPr>
                <w:sz w:val="1"/>
                <w:szCs w:val="1"/>
                <w:color w:val="auto"/>
              </w:rPr>
            </w:pPr>
          </w:p>
        </w:tc>
      </w:tr>
      <w:tr>
        <w:trPr>
          <w:trHeight w:val="227"/>
        </w:trPr>
        <w:tc>
          <w:tcPr>
            <w:tcW w:w="6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4"/>
        </w:trPr>
        <w:tc>
          <w:tcPr>
            <w:tcW w:w="6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7"/>
        </w:trPr>
        <w:tc>
          <w:tcPr>
            <w:tcW w:w="6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8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 likely than not threshold for realizability. Accordingly, a full valuation allowance has been recorded against the Company’s net deferred tax assets as of December 31, 2018 and 2019. The valuation allowance increased by $4.6 million and $9.2 million during the years ended December 31, 2018 and 2019,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is as follows:</w:t>
      </w:r>
    </w:p>
    <w:p>
      <w:pPr>
        <w:spacing w:after="0" w:line="241"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280"/>
        <w:spacing w:after="0" w:line="235"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0"/>
        </w:trPr>
        <w:tc>
          <w:tcPr>
            <w:tcW w:w="3980" w:type="dxa"/>
            <w:vAlign w:val="bottom"/>
            <w:tcBorders>
              <w:bottom w:val="single" w:sz="8" w:color="CCEEFF"/>
            </w:tcBorders>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r>
      <w:tr>
        <w:trPr>
          <w:trHeight w:val="20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benefit at statutory rate</w:t>
            </w:r>
          </w:p>
        </w:tc>
        <w:tc>
          <w:tcPr>
            <w:tcW w:w="5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65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(6.9)</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r>
      <w:tr>
        <w:trPr>
          <w:trHeight w:val="21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5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65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r>
      <w:tr>
        <w:trPr>
          <w:trHeight w:val="21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5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5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31.5</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39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4"/>
        </w:trPr>
        <w:tc>
          <w:tcPr>
            <w:tcW w:w="39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5"/>
        </w:trPr>
        <w:tc>
          <w:tcPr>
            <w:tcW w:w="3980" w:type="dxa"/>
            <w:vAlign w:val="bottom"/>
          </w:tcPr>
          <w:p>
            <w:pPr>
              <w:spacing w:after="0"/>
              <w:rPr>
                <w:sz w:val="24"/>
                <w:szCs w:val="24"/>
                <w:color w:val="auto"/>
              </w:rPr>
            </w:pPr>
          </w:p>
        </w:tc>
        <w:tc>
          <w:tcPr>
            <w:tcW w:w="6580" w:type="dxa"/>
            <w:vAlign w:val="bottom"/>
            <w:gridSpan w:val="3"/>
          </w:tcPr>
          <w:p>
            <w:pPr>
              <w:jc w:val="right"/>
              <w:ind w:right="4760"/>
              <w:spacing w:after="0"/>
              <w:rPr>
                <w:sz w:val="20"/>
                <w:szCs w:val="20"/>
                <w:color w:val="auto"/>
              </w:rPr>
            </w:pPr>
            <w:r>
              <w:rPr>
                <w:rFonts w:ascii="Times New Roman" w:cs="Times New Roman" w:eastAsia="Times New Roman" w:hAnsi="Times New Roman"/>
                <w:sz w:val="18"/>
                <w:szCs w:val="18"/>
                <w:color w:val="auto"/>
              </w:rPr>
              <w:t>F-19</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carryforwards of federal, state and local net operating losses (“NOL”) and research tax credits: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760" w:type="dxa"/>
            <w:vAlign w:val="bottom"/>
            <w:vMerge w:val="restart"/>
          </w:tcPr>
          <w:p>
            <w:pPr>
              <w:spacing w:after="0"/>
              <w:rPr>
                <w:sz w:val="14"/>
                <w:szCs w:val="14"/>
                <w:color w:val="auto"/>
              </w:rPr>
            </w:pP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8760" w:type="dxa"/>
            <w:vAlign w:val="bottom"/>
            <w:vMerge w:val="continue"/>
          </w:tcPr>
          <w:p>
            <w:pPr>
              <w:spacing w:after="0"/>
              <w:rPr>
                <w:sz w:val="12"/>
                <w:szCs w:val="12"/>
                <w:color w:val="auto"/>
              </w:rPr>
            </w:pPr>
          </w:p>
        </w:tc>
        <w:tc>
          <w:tcPr>
            <w:tcW w:w="620" w:type="dxa"/>
            <w:vAlign w:val="bottom"/>
            <w:tcBorders>
              <w:top w:val="single" w:sz="8" w:color="auto"/>
            </w:tcBorders>
          </w:tcPr>
          <w:p>
            <w:pPr>
              <w:jc w:val="right"/>
              <w:ind w:right="77"/>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4"/>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964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NOL carryforwards - Federal</w:t>
            </w: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5"/>
              </w:rPr>
              <w:t>$ 20,298</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8"/>
              </w:rPr>
              <w:t>$ 49,005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NOL carryforwards - State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20,298</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49,005</w:t>
            </w:r>
          </w:p>
        </w:tc>
        <w:tc>
          <w:tcPr>
            <w:tcW w:w="0" w:type="dxa"/>
            <w:vAlign w:val="bottom"/>
          </w:tcPr>
          <w:p>
            <w:pPr>
              <w:spacing w:after="0"/>
              <w:rPr>
                <w:sz w:val="1"/>
                <w:szCs w:val="1"/>
                <w:color w:val="auto"/>
              </w:rPr>
            </w:pPr>
          </w:p>
        </w:tc>
      </w:tr>
      <w:tr>
        <w:trPr>
          <w:trHeight w:val="214"/>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tax credits - Federal</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33"/>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tax credits - State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NOL carryforwards begin expiring in 2036 for federal and Delaware state income tax purposes, however; all federal and Delaware state NOL carryforwards generated subsequent to January 1, 2018, are able to be carried forward indefinitely. As of December 31, 2019, the Company also had federal and Delaware research and development tax credit carryforwards of $2.2 million and $43,000, respectively that will begin to expire in 2036, unless previously utilized.</w:t>
      </w:r>
    </w:p>
    <w:p>
      <w:pPr>
        <w:spacing w:after="0" w:line="180"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 Delaware state NOLs may also be limited.</w:t>
      </w:r>
    </w:p>
    <w:p>
      <w:pPr>
        <w:spacing w:after="0" w:line="184" w:lineRule="exact"/>
        <w:rPr>
          <w:sz w:val="20"/>
          <w:szCs w:val="20"/>
          <w:color w:val="auto"/>
        </w:rPr>
      </w:pPr>
    </w:p>
    <w:p>
      <w:pPr>
        <w:ind w:right="20" w:firstLine="449"/>
        <w:spacing w:after="0" w:line="263" w:lineRule="auto"/>
        <w:rPr>
          <w:sz w:val="20"/>
          <w:szCs w:val="20"/>
          <w:color w:val="auto"/>
        </w:rPr>
      </w:pPr>
      <w:r>
        <w:rPr>
          <w:rFonts w:ascii="Times New Roman" w:cs="Times New Roman" w:eastAsia="Times New Roman" w:hAnsi="Times New Roman"/>
          <w:sz w:val="18"/>
          <w:szCs w:val="18"/>
          <w:color w:val="auto"/>
        </w:rPr>
        <w:t>As of December 31, 2019, the Company had no accrued interest or penalties related to uncertain tax positions and no amounts have been recognized in the Company’s statement of operations. Due to NOL and tax credit carry forwards that remain unutilized, income tax returns for tax years from 2016, 2017 and 2018 remain subject to examination by the taxing jurisdictions. The NOL carryforwards remain subject to review until utilized.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Transaction</w:t>
      </w:r>
    </w:p>
    <w:p>
      <w:pPr>
        <w:spacing w:after="0" w:line="118" w:lineRule="exact"/>
        <w:rPr>
          <w:sz w:val="20"/>
          <w:szCs w:val="20"/>
          <w:color w:val="auto"/>
        </w:rPr>
      </w:pPr>
    </w:p>
    <w:p>
      <w:pPr>
        <w:ind w:right="20" w:firstLine="449"/>
        <w:spacing w:after="0" w:line="278" w:lineRule="auto"/>
        <w:rPr>
          <w:sz w:val="20"/>
          <w:szCs w:val="20"/>
          <w:color w:val="auto"/>
        </w:rPr>
      </w:pPr>
      <w:r>
        <w:rPr>
          <w:rFonts w:ascii="Times New Roman" w:cs="Times New Roman" w:eastAsia="Times New Roman" w:hAnsi="Times New Roman"/>
          <w:sz w:val="18"/>
          <w:szCs w:val="18"/>
          <w:color w:val="auto"/>
        </w:rPr>
        <w:t>In March 2020, the Company’s Series B investors exercised their Future Tranche Right and purchased 8,823,529 shares of Series B for net proceeds of approximately $29.9 million.</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Coronavirus Pandemic</w:t>
      </w:r>
    </w:p>
    <w:p>
      <w:pPr>
        <w:spacing w:after="0" w:line="118"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On March 10, 2020, the World Health Organization characterized the novel COVID-19 virus as a global pandemic. There is significant uncertainty as to the likely effects of this disease which may, among other things, materially impact the Company’s planned clinical trials. This pandemic or outbreak could result in difficulty securing clinical trial site locations,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454" w:right="3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7"/>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5400" w:type="dxa"/>
            <w:vAlign w:val="bottom"/>
            <w:vMerge w:val="restart"/>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8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4"/>
        </w:trPr>
        <w:tc>
          <w:tcPr>
            <w:tcW w:w="828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18,879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29,716</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79,626</w:t>
            </w:r>
          </w:p>
        </w:tc>
        <w:tc>
          <w:tcPr>
            <w:tcW w:w="0" w:type="dxa"/>
            <w:vAlign w:val="bottom"/>
          </w:tcPr>
          <w:p>
            <w:pPr>
              <w:spacing w:after="0"/>
              <w:rPr>
                <w:sz w:val="1"/>
                <w:szCs w:val="1"/>
                <w:color w:val="auto"/>
              </w:rPr>
            </w:pPr>
          </w:p>
        </w:tc>
      </w:tr>
      <w:tr>
        <w:trPr>
          <w:trHeight w:val="201"/>
        </w:trPr>
        <w:tc>
          <w:tcPr>
            <w:tcW w:w="82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20,224</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80,607</w:t>
            </w:r>
          </w:p>
        </w:tc>
        <w:tc>
          <w:tcPr>
            <w:tcW w:w="0" w:type="dxa"/>
            <w:vAlign w:val="bottom"/>
          </w:tcPr>
          <w:p>
            <w:pPr>
              <w:spacing w:after="0"/>
              <w:rPr>
                <w:sz w:val="1"/>
                <w:szCs w:val="1"/>
                <w:color w:val="auto"/>
              </w:rPr>
            </w:pPr>
          </w:p>
        </w:tc>
      </w:tr>
      <w:tr>
        <w:trPr>
          <w:trHeight w:val="201"/>
        </w:trPr>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1,647</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1,575</w:t>
            </w:r>
          </w:p>
        </w:tc>
        <w:tc>
          <w:tcPr>
            <w:tcW w:w="0" w:type="dxa"/>
            <w:vAlign w:val="bottom"/>
          </w:tcPr>
          <w:p>
            <w:pPr>
              <w:spacing w:after="0"/>
              <w:rPr>
                <w:sz w:val="1"/>
                <w:szCs w:val="1"/>
                <w:color w:val="auto"/>
              </w:rPr>
            </w:pPr>
          </w:p>
        </w:tc>
      </w:tr>
      <w:tr>
        <w:trPr>
          <w:trHeight w:val="201"/>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05"/>
        </w:trPr>
        <w:tc>
          <w:tcPr>
            <w:tcW w:w="82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21,871</w:t>
            </w:r>
          </w:p>
        </w:tc>
        <w:tc>
          <w:tcPr>
            <w:tcW w:w="4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 equity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Capital lease obligation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1"/>
        </w:trPr>
        <w:tc>
          <w:tcPr>
            <w:tcW w:w="82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1,974</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3,471</w:t>
            </w:r>
          </w:p>
        </w:tc>
        <w:tc>
          <w:tcPr>
            <w:tcW w:w="0" w:type="dxa"/>
            <w:vAlign w:val="bottom"/>
          </w:tcPr>
          <w:p>
            <w:pPr>
              <w:spacing w:after="0"/>
              <w:rPr>
                <w:sz w:val="1"/>
                <w:szCs w:val="1"/>
                <w:color w:val="auto"/>
              </w:rPr>
            </w:pPr>
          </w:p>
        </w:tc>
      </w:tr>
      <w:tr>
        <w:trPr>
          <w:trHeight w:val="201"/>
        </w:trPr>
        <w:tc>
          <w:tcPr>
            <w:tcW w:w="8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2,603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205"/>
        </w:trPr>
        <w:tc>
          <w:tcPr>
            <w:tcW w:w="82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4,835</w:t>
            </w: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4"/>
        </w:trPr>
        <w:tc>
          <w:tcPr>
            <w:tcW w:w="82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4,840</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 $0.0001 par value: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2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Series A convertible preferred stock: actual: 13,574,008 shares authorized, issued and outstanding at</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December 31, 2019 and June 30, 2020 (liquidation value of $36,878 at June 30, 2020); pro forma: no shares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authorized, issued or outstanding</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36,595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Series B convertible preferred stock: actual: 18,500,000 shares authorized at December 31, 2019 and June 30,</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2020; 8,823,529 and 17,647,058 shares issued and outstanding at December 31, 2019 and June 30, 2020,</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respectively (liquidation value of $60,000 at June 30, 2020); pro forma: no shares authorized, issued or</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29,848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82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Series C convertible preferred stock: actual: no shares authorized, issued or outstanding at June 30, 2020; pro</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forma: no shares authorized, issued or outstanding</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
        </w:trPr>
        <w:tc>
          <w:tcPr>
            <w:tcW w:w="28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convertible preferred stock</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66,443</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 equity: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2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Voting common stock, $0.0001 par value: actual: 42,000,000 shares authorized at December 31, 2019 and June 30,</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2020; pro forma: 46,000,000 authorized; actual: 3,656,780 and 4,199,280 shares issued and outstanding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December 31, 2019 and June 30, 2020, respectively; pro forma: 26,552,974 shares issued and outstanding;</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Non-voting common stock, $0.0001 par value; actual: no shares authorized, issued or outstanding at December 31,</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2019 and June 30, 2020; pro forma: 12,850,259 shares authorized, issued and outstanding</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1"/>
        </w:trPr>
        <w:tc>
          <w:tcPr>
            <w:tcW w:w="82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148,396</w:t>
            </w:r>
          </w:p>
        </w:tc>
        <w:tc>
          <w:tcPr>
            <w:tcW w:w="0" w:type="dxa"/>
            <w:vAlign w:val="bottom"/>
          </w:tcPr>
          <w:p>
            <w:pPr>
              <w:spacing w:after="0"/>
              <w:rPr>
                <w:sz w:val="1"/>
                <w:szCs w:val="1"/>
                <w:color w:val="auto"/>
              </w:rPr>
            </w:pPr>
          </w:p>
        </w:tc>
      </w:tr>
      <w:tr>
        <w:trPr>
          <w:trHeight w:val="201"/>
        </w:trPr>
        <w:tc>
          <w:tcPr>
            <w:tcW w:w="8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(50,497)</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8"/>
              </w:rPr>
              <w:t>(71,416)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(71,416)</w:t>
            </w:r>
          </w:p>
        </w:tc>
        <w:tc>
          <w:tcPr>
            <w:tcW w:w="0" w:type="dxa"/>
            <w:vAlign w:val="bottom"/>
          </w:tcPr>
          <w:p>
            <w:pPr>
              <w:spacing w:after="0"/>
              <w:rPr>
                <w:sz w:val="1"/>
                <w:szCs w:val="1"/>
                <w:color w:val="auto"/>
              </w:rPr>
            </w:pPr>
          </w:p>
        </w:tc>
      </w:tr>
      <w:tr>
        <w:trPr>
          <w:trHeight w:val="214"/>
        </w:trPr>
        <w:tc>
          <w:tcPr>
            <w:tcW w:w="82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(49,412)</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(69,311)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21,871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32,747</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82,657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454" w:right="3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900" w:type="dxa"/>
            <w:vAlign w:val="bottom"/>
            <w:vMerge w:val="restart"/>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7"/>
        </w:trPr>
        <w:tc>
          <w:tcPr>
            <w:tcW w:w="2880" w:type="dxa"/>
            <w:vAlign w:val="bottom"/>
            <w:tcBorders>
              <w:bottom w:val="single" w:sz="8" w:color="auto"/>
            </w:tcBorders>
            <w:vMerge w:val="continue"/>
          </w:tcPr>
          <w:p>
            <w:pPr>
              <w:spacing w:after="0"/>
              <w:rPr>
                <w:sz w:val="12"/>
                <w:szCs w:val="12"/>
                <w:color w:val="auto"/>
              </w:rPr>
            </w:pPr>
          </w:p>
        </w:tc>
        <w:tc>
          <w:tcPr>
            <w:tcW w:w="390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27"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78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Operating expenses:</w:t>
            </w:r>
          </w:p>
        </w:tc>
        <w:tc>
          <w:tcPr>
            <w:tcW w:w="2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(11,130)</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(21,173)</w:t>
            </w:r>
          </w:p>
        </w:tc>
        <w:tc>
          <w:tcPr>
            <w:tcW w:w="0" w:type="dxa"/>
            <w:vAlign w:val="bottom"/>
          </w:tcPr>
          <w:p>
            <w:pPr>
              <w:spacing w:after="0"/>
              <w:rPr>
                <w:sz w:val="1"/>
                <w:szCs w:val="1"/>
                <w:color w:val="auto"/>
              </w:rPr>
            </w:pPr>
          </w:p>
        </w:tc>
      </w:tr>
      <w:tr>
        <w:trPr>
          <w:trHeight w:val="214"/>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(10,797)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(20,919)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gridSpan w:val="2"/>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gridSpan w:val="2"/>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1,823,259</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2,272,044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of common stock, basic and diluted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basic and diluted</w:t>
            </w: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gridSpan w:val="2"/>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37,475,997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454" w:right="3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CHANGES IN CONVERTIBLE PREFERRED STOCK AND STOCKHOLDERS’ DEFICIT (UNAUDITED)</w:t>
      </w:r>
    </w:p>
    <w:p>
      <w:pPr>
        <w:sectPr>
          <w:pgSz w:w="11900" w:h="16838" w:orient="portrait"/>
          <w:cols w:equalWidth="0" w:num="1">
            <w:col w:w="11240"/>
          </w:cols>
          <w:pgMar w:left="320" w:top="454" w:right="33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8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60" w:type="dxa"/>
            <w:vAlign w:val="bottom"/>
          </w:tcPr>
          <w:p>
            <w:pPr>
              <w:spacing w:after="0"/>
              <w:rPr>
                <w:sz w:val="18"/>
                <w:szCs w:val="18"/>
                <w:color w:val="auto"/>
              </w:rPr>
            </w:pPr>
          </w:p>
        </w:tc>
        <w:tc>
          <w:tcPr>
            <w:tcW w:w="12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11"/>
        </w:trPr>
        <w:tc>
          <w:tcPr>
            <w:tcW w:w="176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Balance at January 1, 2019</w:t>
            </w:r>
          </w:p>
        </w:tc>
        <w:tc>
          <w:tcPr>
            <w:tcW w:w="2720" w:type="dxa"/>
            <w:vAlign w:val="bottom"/>
          </w:tcPr>
          <w:p>
            <w:pPr>
              <w:spacing w:after="0"/>
              <w:rPr>
                <w:sz w:val="9"/>
                <w:szCs w:val="9"/>
                <w:color w:val="auto"/>
              </w:rPr>
            </w:pPr>
          </w:p>
        </w:tc>
        <w:tc>
          <w:tcPr>
            <w:tcW w:w="68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13,574,008</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$ 36,595</w:t>
            </w:r>
          </w:p>
        </w:tc>
        <w:tc>
          <w:tcPr>
            <w:tcW w:w="160" w:type="dxa"/>
            <w:vAlign w:val="bottom"/>
          </w:tcPr>
          <w:p>
            <w:pPr>
              <w:spacing w:after="0"/>
              <w:rPr>
                <w:sz w:val="9"/>
                <w:szCs w:val="9"/>
                <w:color w:val="auto"/>
              </w:rPr>
            </w:pPr>
          </w:p>
        </w:tc>
        <w:tc>
          <w:tcPr>
            <w:tcW w:w="60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44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44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Sale of Series B convertible preferred stock, net of issuance costs of $152</w:t>
            </w:r>
          </w:p>
        </w:tc>
        <w:tc>
          <w:tcPr>
            <w:tcW w:w="7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8,823,529</w:t>
            </w: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29,848</w:t>
            </w:r>
          </w:p>
        </w:tc>
        <w:tc>
          <w:tcPr>
            <w:tcW w:w="0" w:type="dxa"/>
            <w:vAlign w:val="bottom"/>
          </w:tcPr>
          <w:p>
            <w:pPr>
              <w:spacing w:after="0"/>
              <w:rPr>
                <w:sz w:val="1"/>
                <w:szCs w:val="1"/>
                <w:color w:val="auto"/>
              </w:rPr>
            </w:pPr>
          </w:p>
        </w:tc>
      </w:tr>
      <w:tr>
        <w:trPr>
          <w:trHeight w:val="147"/>
        </w:trPr>
        <w:tc>
          <w:tcPr>
            <w:tcW w:w="44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Stock-based compensation expense, including issuance of restricted stock</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448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4"/>
                <w:szCs w:val="14"/>
                <w:color w:val="auto"/>
              </w:rPr>
              <w:t>awards</w:t>
            </w: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448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Balance at June 30, 2019</w:t>
            </w:r>
          </w:p>
        </w:tc>
        <w:tc>
          <w:tcPr>
            <w:tcW w:w="700" w:type="dxa"/>
            <w:vAlign w:val="bottom"/>
            <w:tcBorders>
              <w:top w:val="single" w:sz="8" w:color="auto"/>
              <w:bottom w:val="single" w:sz="8" w:color="auto"/>
            </w:tcBorders>
            <w:gridSpan w:val="2"/>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13,574,008</w:t>
            </w:r>
          </w:p>
        </w:tc>
        <w:tc>
          <w:tcPr>
            <w:tcW w:w="1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97"/>
              </w:rPr>
              <w:t>$ 36,595</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8,823,529</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29,848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-1086485</wp:posOffset>
            </wp:positionV>
            <wp:extent cx="7133590" cy="10953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3590" cy="1095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Stockholders’ deficit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11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120" w:type="dxa"/>
            <w:vAlign w:val="bottom"/>
            <w:tcBorders>
              <w:bottom w:val="single" w:sz="8" w:color="auto"/>
            </w:tcBorders>
            <w:gridSpan w:val="4"/>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jc w:val="right"/>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7"/>
                <w:szCs w:val="7"/>
                <w:color w:val="auto"/>
              </w:rPr>
            </w:pPr>
          </w:p>
        </w:tc>
        <w:tc>
          <w:tcPr>
            <w:tcW w:w="940" w:type="dxa"/>
            <w:vAlign w:val="bottom"/>
            <w:gridSpan w:val="3"/>
            <w:vMerge w:val="restart"/>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3"/>
                <w:szCs w:val="3"/>
                <w:color w:val="auto"/>
              </w:rPr>
            </w:pP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2"/>
        </w:trPr>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2,753,030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Borders>
              <w:top w:val="single" w:sz="8" w:color="auto"/>
            </w:tcBorders>
          </w:tcPr>
          <w:p>
            <w:pPr>
              <w:jc w:val="right"/>
              <w:ind w:right="219"/>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234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(22,927)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w w:val="98"/>
              </w:rPr>
              <w:t>$(22,693)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3,750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5"/>
        </w:trPr>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400,000</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70"/>
        </w:trPr>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(10,797)</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(10,797)</w:t>
            </w:r>
          </w:p>
        </w:tc>
        <w:tc>
          <w:tcPr>
            <w:tcW w:w="0" w:type="dxa"/>
            <w:vAlign w:val="bottom"/>
          </w:tcPr>
          <w:p>
            <w:pPr>
              <w:spacing w:after="0"/>
              <w:rPr>
                <w:sz w:val="1"/>
                <w:szCs w:val="1"/>
                <w:color w:val="auto"/>
              </w:rPr>
            </w:pPr>
          </w:p>
        </w:tc>
      </w:tr>
      <w:tr>
        <w:trPr>
          <w:trHeight w:val="154"/>
        </w:trPr>
        <w:tc>
          <w:tcPr>
            <w:tcW w:w="640" w:type="dxa"/>
            <w:vAlign w:val="bottom"/>
            <w:tcBorders>
              <w:top w:val="single" w:sz="8" w:color="auto"/>
              <w:bottom w:val="single" w:sz="8" w:color="auto"/>
            </w:tcBorders>
            <w:gridSpan w:val="2"/>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3,156,780</w:t>
            </w:r>
          </w:p>
        </w:tc>
        <w:tc>
          <w:tcPr>
            <w:tcW w:w="14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(33,724)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(33,262</w:t>
            </w:r>
          </w:p>
        </w:tc>
        <w:tc>
          <w:tcPr>
            <w:tcW w:w="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200"/>
            <w:col w:w="3860"/>
          </w:cols>
          <w:pgMar w:left="320" w:top="454" w:right="3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17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4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gridSpan w:val="9"/>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17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40" w:type="dxa"/>
            <w:vAlign w:val="bottom"/>
            <w:tcBorders>
              <w:bottom w:val="single" w:sz="8" w:color="auto"/>
            </w:tcBorders>
            <w:gridSpan w:val="6"/>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9"/>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7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3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40" w:type="dxa"/>
            <w:vAlign w:val="bottom"/>
            <w:vMerge w:val="restart"/>
          </w:tcPr>
          <w:p>
            <w:pPr>
              <w:spacing w:after="0"/>
              <w:rPr>
                <w:sz w:val="10"/>
                <w:szCs w:val="10"/>
                <w:color w:val="auto"/>
              </w:rPr>
            </w:pPr>
          </w:p>
        </w:tc>
        <w:tc>
          <w:tcPr>
            <w:tcW w:w="1280" w:type="dxa"/>
            <w:vAlign w:val="bottom"/>
            <w:gridSpan w:val="3"/>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20" w:type="dxa"/>
            <w:vAlign w:val="bottom"/>
            <w:tcBorders>
              <w:right w:val="single" w:sz="8" w:color="auto"/>
            </w:tcBorders>
            <w:vMerge w:val="restart"/>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7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80" w:type="dxa"/>
            <w:vAlign w:val="bottom"/>
            <w:tcBorders>
              <w:bottom w:val="single" w:sz="8" w:color="auto"/>
            </w:tcBorders>
            <w:gridSpan w:val="3"/>
            <w:vMerge w:val="continue"/>
          </w:tcPr>
          <w:p>
            <w:pPr>
              <w:spacing w:after="0"/>
              <w:rPr>
                <w:sz w:val="7"/>
                <w:szCs w:val="7"/>
                <w:color w:val="auto"/>
              </w:rPr>
            </w:pPr>
          </w:p>
        </w:tc>
        <w:tc>
          <w:tcPr>
            <w:tcW w:w="1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bottom w:val="single" w:sz="8" w:color="auto"/>
            </w:tcBorders>
            <w:gridSpan w:val="4"/>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jc w:val="right"/>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7"/>
                <w:szCs w:val="7"/>
                <w:color w:val="auto"/>
              </w:rPr>
            </w:pPr>
          </w:p>
        </w:tc>
        <w:tc>
          <w:tcPr>
            <w:tcW w:w="940" w:type="dxa"/>
            <w:vAlign w:val="bottom"/>
            <w:gridSpan w:val="3"/>
            <w:vMerge w:val="restart"/>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2660" w:type="dxa"/>
            <w:vAlign w:val="bottom"/>
            <w:vMerge w:val="restart"/>
          </w:tcPr>
          <w:p>
            <w:pPr>
              <w:spacing w:after="0"/>
              <w:rPr>
                <w:sz w:val="3"/>
                <w:szCs w:val="3"/>
                <w:color w:val="auto"/>
              </w:rPr>
            </w:pPr>
          </w:p>
        </w:tc>
        <w:tc>
          <w:tcPr>
            <w:tcW w:w="6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3"/>
                <w:szCs w:val="3"/>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3"/>
                <w:szCs w:val="3"/>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3"/>
                <w:szCs w:val="3"/>
                <w:color w:val="auto"/>
              </w:rPr>
            </w:pP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420" w:type="dxa"/>
            <w:vAlign w:val="bottom"/>
            <w:tcBorders>
              <w:top w:val="single" w:sz="8" w:color="CCEEFF"/>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Balance at January 1, 2020</w:t>
            </w: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13,574,008</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$ 36,595</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8,823,529</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$ 29,848</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3,656,780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1,085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(50,497)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91"/>
              </w:rPr>
              <w:t>$(49,412)</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4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42,500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7"/>
        </w:trPr>
        <w:tc>
          <w:tcPr>
            <w:tcW w:w="44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Sale of Series B convertible preferred stock, net of issuance costs of $58</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8,823,529</w:t>
            </w:r>
          </w:p>
        </w:tc>
        <w:tc>
          <w:tcPr>
            <w:tcW w:w="64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29,942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442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color w:val="auto"/>
              </w:rPr>
              <w:t>Stock-based compensation expense, including issuance of restricted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989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170"/>
        </w:trPr>
        <w:tc>
          <w:tcPr>
            <w:tcW w:w="4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awards</w:t>
            </w: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4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(20,919)</w:t>
            </w:r>
          </w:p>
        </w:tc>
        <w:tc>
          <w:tcPr>
            <w:tcW w:w="700" w:type="dxa"/>
            <w:vAlign w:val="bottom"/>
            <w:gridSpan w:val="3"/>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(20,919)</w:t>
            </w:r>
          </w:p>
        </w:tc>
        <w:tc>
          <w:tcPr>
            <w:tcW w:w="0" w:type="dxa"/>
            <w:vAlign w:val="bottom"/>
          </w:tcPr>
          <w:p>
            <w:pPr>
              <w:spacing w:after="0"/>
              <w:rPr>
                <w:sz w:val="1"/>
                <w:szCs w:val="1"/>
                <w:color w:val="auto"/>
              </w:rPr>
            </w:pPr>
          </w:p>
        </w:tc>
      </w:tr>
      <w:tr>
        <w:trPr>
          <w:trHeight w:val="154"/>
        </w:trPr>
        <w:tc>
          <w:tcPr>
            <w:tcW w:w="442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Balance at June 30, 2020</w:t>
            </w: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13,574,008</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$ 36,595</w:t>
            </w:r>
          </w:p>
        </w:tc>
        <w:tc>
          <w:tcPr>
            <w:tcW w:w="1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17,647,058</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$ 59,790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4,199,280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2,105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(71,416)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(69,311</w:t>
            </w:r>
          </w:p>
        </w:tc>
        <w:tc>
          <w:tcPr>
            <w:tcW w:w="10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454" w:right="339" w:bottom="1440" w:gutter="0" w:footer="0" w:header="0"/>
          <w:type w:val="continuous"/>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5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27"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42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Cash flows used in operating activities:</w:t>
            </w: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(10,797)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(20,919)</w:t>
            </w: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4"/>
        </w:trPr>
        <w:tc>
          <w:tcPr>
            <w:tcW w:w="94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27"/>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(11,567)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(18,823)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1"/>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Series B convertible preferred stock,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29,942</w:t>
            </w:r>
          </w:p>
        </w:tc>
        <w:tc>
          <w:tcPr>
            <w:tcW w:w="0" w:type="dxa"/>
            <w:vAlign w:val="bottom"/>
          </w:tcPr>
          <w:p>
            <w:pPr>
              <w:spacing w:after="0"/>
              <w:rPr>
                <w:sz w:val="1"/>
                <w:szCs w:val="1"/>
                <w:color w:val="auto"/>
              </w:rPr>
            </w:pPr>
          </w:p>
        </w:tc>
      </w:tr>
      <w:tr>
        <w:trPr>
          <w:trHeight w:val="214"/>
        </w:trPr>
        <w:tc>
          <w:tcPr>
            <w:tcW w:w="9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Payment of capital lease obligation</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10,837</w:t>
            </w:r>
          </w:p>
        </w:tc>
        <w:tc>
          <w:tcPr>
            <w:tcW w:w="0" w:type="dxa"/>
            <w:vAlign w:val="bottom"/>
          </w:tcPr>
          <w:p>
            <w:pPr>
              <w:spacing w:after="0"/>
              <w:rPr>
                <w:sz w:val="1"/>
                <w:szCs w:val="1"/>
                <w:color w:val="auto"/>
              </w:rPr>
            </w:pPr>
          </w:p>
        </w:tc>
      </w:tr>
      <w:tr>
        <w:trPr>
          <w:trHeight w:val="21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18,879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29,716</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Deferred offering costs in accrued expenses and other current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2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 in 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454" w:right="3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118"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Prelude Therapeutics Incorporated (the “Company”) was incorporated in Delaware on February 5, 2016 and is a clinical-stage biotechnology company focused on discovering and developing new medicines targeting chromatin function to treat cancer and rare diseases. Since beginning operations, the Company has devoted substantially all its efforts to research and development, conducting preclinical and clinical studies, recruiting management and technical staff, administration, and raising capital.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118"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9" w:lineRule="exact"/>
        <w:rPr>
          <w:sz w:val="20"/>
          <w:szCs w:val="20"/>
          <w:color w:val="auto"/>
        </w:rPr>
      </w:pPr>
    </w:p>
    <w:p>
      <w:pPr>
        <w:ind w:right="120" w:firstLine="449"/>
        <w:spacing w:after="0" w:line="263" w:lineRule="auto"/>
        <w:rPr>
          <w:sz w:val="20"/>
          <w:szCs w:val="20"/>
          <w:color w:val="auto"/>
        </w:rPr>
      </w:pPr>
      <w:r>
        <w:rPr>
          <w:rFonts w:ascii="Times New Roman" w:cs="Times New Roman" w:eastAsia="Times New Roman" w:hAnsi="Times New Roman"/>
          <w:sz w:val="18"/>
          <w:szCs w:val="18"/>
          <w:color w:val="auto"/>
        </w:rPr>
        <w:t>The Company follows the provisions of Financial Accounting Standards Board (“FASB”) Accounting Standards Codification (“ASC”) Topic 205-40, Presentation of Financial Statements—Going Concern, which requires management to assess the Company’s ability to continue as a going concern within one year after the date the financial statements are issued.</w:t>
      </w:r>
    </w:p>
    <w:p>
      <w:pPr>
        <w:spacing w:after="0" w:line="17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has an accumulated deficit of $71.4 million at June 30, 2020. The Company has no revenue to date and devotes its efforts to research and development. The Company anticipates incurring additional losses until such time, if ever, that it can generate significant sales of its product candidates currently in development. The Company’s activities have been primarily funded by the sale of Convertible Preferred Stock (Note 6). These factors and the Company’s recurring losses from operations, negative cash from operations, and accumulated deficit since inception raise substantial doubt about the Company’s ability to continue as a going concern.</w:t>
      </w:r>
    </w:p>
    <w:p>
      <w:pPr>
        <w:spacing w:after="0" w:line="184"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Company’s cash and cash equivalents at June 30, 2020 were $29.7 million. This, combined with approximately $49.9 million raised through a Series C Preferred stock financing in August 2020 (Note 6) is expected to enable the Company to fund its operating expenses and capital expenditure requirements into the third quarter of 2021, at which time the Company will need to secure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equity under acceptable terms, if at all. If the Company is unable to obtain additional financing, the lack of liquidity could have a material adverse effect on the Company’s future prospects. As a result of these factors, there is substantial doubt about the Company’s ability to continue as a going concern.</w:t>
      </w:r>
    </w:p>
    <w:p>
      <w:pPr>
        <w:spacing w:after="0" w:line="184" w:lineRule="exact"/>
        <w:rPr>
          <w:sz w:val="20"/>
          <w:szCs w:val="20"/>
          <w:color w:val="auto"/>
        </w:rPr>
      </w:pPr>
    </w:p>
    <w:p>
      <w:pPr>
        <w:ind w:right="140" w:firstLine="449"/>
        <w:spacing w:after="0" w:line="278"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going-concern basis, which contemplates the realization of assets and satisfaction of liabilities in the normal course of business. The financial statements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454" w:right="3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5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do not include any adjustments related to the recoverability and classification of recorded asset amounts or the amounts and classification of liabilities that might result from the outcome of this uncertainty. Management is currently evaluating different strategies to obtain the required funding of future operations. These strategies may include, but are not limited to, additional funding from current investors, funding from new investors including strategic corporate investors, and an initial public offering of the Company’s common stock. There can be no assurance these future funding efforts will be successful.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18" w:lineRule="exact"/>
        <w:rPr>
          <w:sz w:val="20"/>
          <w:szCs w:val="20"/>
          <w:color w:val="auto"/>
        </w:rPr>
      </w:pPr>
    </w:p>
    <w:p>
      <w:pPr>
        <w:ind w:right="660" w:firstLine="449"/>
        <w:spacing w:after="0" w:line="278"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financial statements for the year ended December 31, 2019, found elsewhere in this prospectus, have not materially changed, except as set forth below.</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8" w:lineRule="exact"/>
        <w:rPr>
          <w:sz w:val="20"/>
          <w:szCs w:val="20"/>
          <w:color w:val="auto"/>
        </w:rPr>
      </w:pPr>
    </w:p>
    <w:p>
      <w:pPr>
        <w:jc w:val="both"/>
        <w:ind w:right="340" w:firstLine="449"/>
        <w:spacing w:after="0" w:line="285" w:lineRule="auto"/>
        <w:rPr>
          <w:sz w:val="20"/>
          <w:szCs w:val="20"/>
          <w:color w:val="auto"/>
        </w:rPr>
      </w:pPr>
      <w:r>
        <w:rPr>
          <w:rFonts w:ascii="Times New Roman" w:cs="Times New Roman" w:eastAsia="Times New Roman" w:hAnsi="Times New Roman"/>
          <w:sz w:val="17"/>
          <w:szCs w:val="17"/>
          <w:color w:val="auto"/>
        </w:rPr>
        <w:t>The accompanying unaudited interim financial statements have been prepared in accordance with accounting principles generally accepted in the United Sates (“GAAP”) for interim financial information. Any reference in these notes to applicable guidance is meant to refer to GAAP as found in the Accounting Standards Codification (“ASC”) and Accounting Standards Updates (“ASU”) of the Financial Accounting Standards Board (FASB).</w:t>
      </w:r>
    </w:p>
    <w:p>
      <w:pPr>
        <w:spacing w:after="0" w:line="160"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financial statements include all normal and recurring adjustments (which consist primarily of accruals, estimates and assumptions that impact the financial statements) considered necessary to present fairly the Company’s balance sheet as of June 30, 2020 and its statements of operations, changes in convertible preferred stock and stockholders’ deficit and cash flows for the six months ended June 30, 2019 and 2020. Operating results for the six months ended June 30, 2020 are not necessarily indicative of the results that may be expected for the year ending December 31, 2020. The unaudited interim financial statements, presented herein do not contain the required disclosures under GAAP for annual financial statements. The accompanying unaudited interim financial statements should be read in conjunction with the annual audited financial statements and related notes as of and for the year ended December 31, 2019 found elsewhere in this prospectus.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8"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U.S.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75" w:lineRule="exact"/>
        <w:rPr>
          <w:sz w:val="20"/>
          <w:szCs w:val="20"/>
          <w:color w:val="auto"/>
        </w:rPr>
      </w:pPr>
    </w:p>
    <w:p>
      <w:pPr>
        <w:ind w:right="180" w:firstLine="449"/>
        <w:spacing w:after="0" w:line="263"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Significant areas that require management’s estimates include the fair value of common stock and stock-based compensation assumptions and accrued clinical trial expenses.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18" w:lineRule="exact"/>
        <w:rPr>
          <w:sz w:val="20"/>
          <w:szCs w:val="20"/>
          <w:color w:val="auto"/>
        </w:rPr>
      </w:pPr>
    </w:p>
    <w:p>
      <w:pPr>
        <w:ind w:right="140" w:firstLine="449"/>
        <w:spacing w:after="0" w:line="278" w:lineRule="auto"/>
        <w:rPr>
          <w:sz w:val="20"/>
          <w:szCs w:val="20"/>
          <w:color w:val="auto"/>
        </w:rPr>
      </w:pPr>
      <w:r>
        <w:rPr>
          <w:rFonts w:ascii="Times New Roman" w:cs="Times New Roman" w:eastAsia="Times New Roman" w:hAnsi="Times New Roman"/>
          <w:sz w:val="18"/>
          <w:szCs w:val="18"/>
          <w:color w:val="auto"/>
        </w:rPr>
        <w:t>Immediately prior to the closing of a qualified initial public offering, all of the Company’s outstanding convertible preferred stock will automatically convert into common stock. The accompanying unaudited pro</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20"/>
          </w:cols>
          <w:pgMar w:left="320" w:top="454" w:right="3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5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forma balance sheet as of June 30, 2020 assumes (i) the automatic conversion of 31,221,066 shares of our outstanding convertible preferred stock as of June 30, 2020 into an aggregate of 31,221,066 shares of common stock and non-voting common stock (of which 11,894,366 shares are non-voting common stock) immediately prior to the completion of this offering, (ii) the issuance and sale of 3,982,887 shares of Series C convertible preferred stock in August 2020 for net proceeds of $49.9 million and the automatic conversion of such shares into aggregate of 3,982,887 shares of common stock and non-voting common stock (of which 955,893 shares are non-voting common stock) immediately prior to the completion of this offering and (iii) the filing and effectiveness of our restated certificate of incorporation, in each case immediately prior to this offering. In the accompanying statements of operations, the unaudited pro forma net loss per share is computed using the weighted average number of shares of common stock outstanding after giving effect to the automatic conversion of all convertible preferred stock as of June 30, 2020 into shares of common stock upon the closing of a qualified initial public offering, as if the qualified initial public offering had occurred at the later of the beginning of the period or the issuance date of the convertible preferred stock.</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18" w:lineRule="exact"/>
        <w:rPr>
          <w:sz w:val="20"/>
          <w:szCs w:val="20"/>
          <w:color w:val="auto"/>
        </w:rPr>
      </w:pPr>
    </w:p>
    <w:p>
      <w:pPr>
        <w:ind w:right="80" w:firstLine="449"/>
        <w:spacing w:after="0" w:line="263" w:lineRule="auto"/>
        <w:rPr>
          <w:sz w:val="20"/>
          <w:szCs w:val="20"/>
          <w:color w:val="auto"/>
        </w:rPr>
      </w:pPr>
      <w:r>
        <w:rPr>
          <w:rFonts w:ascii="Times New Roman" w:cs="Times New Roman" w:eastAsia="Times New Roman" w:hAnsi="Times New Roman"/>
          <w:sz w:val="18"/>
          <w:szCs w:val="18"/>
          <w:color w:val="auto"/>
        </w:rPr>
        <w:t>The Company capitalizes costs that are directly associated with in-process equity financings until such financings are consummated, at which time such costs are recorded against the gross proceeds from the applicable financing. If a financing is abandoned, deferred offering costs are expensed. Deferred offering costs were $0.5 million at June 30, 2020, and are classified within other assets in the accompanying balance sheets.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8" w:lineRule="exact"/>
        <w:rPr>
          <w:sz w:val="20"/>
          <w:szCs w:val="20"/>
          <w:color w:val="auto"/>
        </w:rPr>
      </w:pPr>
    </w:p>
    <w:p>
      <w:pPr>
        <w:jc w:val="both"/>
        <w:ind w:right="120" w:firstLine="449"/>
        <w:spacing w:after="0" w:line="263"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June 30, 2020 and December 31, 2019.</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and Unaudited Pro Forma Net Loss Per Share</w:t>
      </w:r>
    </w:p>
    <w:p>
      <w:pPr>
        <w:spacing w:after="0" w:line="118" w:lineRule="exact"/>
        <w:rPr>
          <w:sz w:val="20"/>
          <w:szCs w:val="20"/>
          <w:color w:val="auto"/>
        </w:rPr>
      </w:pPr>
    </w:p>
    <w:p>
      <w:pPr>
        <w:ind w:firstLine="449"/>
        <w:spacing w:after="0" w:line="268" w:lineRule="auto"/>
        <w:rPr>
          <w:sz w:val="20"/>
          <w:szCs w:val="20"/>
          <w:color w:val="auto"/>
        </w:rPr>
      </w:pPr>
      <w:r>
        <w:rPr>
          <w:rFonts w:ascii="Times New Roman" w:cs="Times New Roman" w:eastAsia="Times New Roman" w:hAnsi="Times New Roman"/>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and unvested restricted stock have no obligation to fund losses.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20"/>
          </w:cols>
          <w:pgMar w:left="320" w:top="454" w:right="35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52" w:lineRule="exact"/>
        <w:rPr>
          <w:sz w:val="20"/>
          <w:szCs w:val="20"/>
          <w:color w:val="auto"/>
        </w:rPr>
      </w:pPr>
    </w:p>
    <w:p>
      <w:pPr>
        <w:ind w:right="800" w:firstLine="449"/>
        <w:spacing w:after="0" w:line="278"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spacing w:after="0"/>
              <w:rPr>
                <w:sz w:val="14"/>
                <w:szCs w:val="14"/>
                <w:color w:val="auto"/>
              </w:rPr>
            </w:pPr>
          </w:p>
        </w:tc>
        <w:tc>
          <w:tcPr>
            <w:tcW w:w="14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88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16"/>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4"/>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7"/>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13,574,008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13,574,008</w:t>
            </w:r>
          </w:p>
        </w:tc>
        <w:tc>
          <w:tcPr>
            <w:tcW w:w="60" w:type="dxa"/>
            <w:vAlign w:val="bottom"/>
            <w:shd w:val="clear" w:color="auto" w:fill="CCEEFF"/>
          </w:tcPr>
          <w:p>
            <w:pPr>
              <w:spacing w:after="0"/>
              <w:rPr>
                <w:sz w:val="18"/>
                <w:szCs w:val="18"/>
                <w:color w:val="auto"/>
              </w:rPr>
            </w:pPr>
          </w:p>
        </w:tc>
      </w:tr>
      <w:tr>
        <w:trPr>
          <w:trHeight w:val="21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8,823,529</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17,647,058</w:t>
            </w:r>
          </w:p>
        </w:tc>
      </w:tr>
      <w:tr>
        <w:trPr>
          <w:trHeight w:val="214"/>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1,277,413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1,629,939</w:t>
            </w:r>
          </w:p>
        </w:tc>
      </w:tr>
      <w:tr>
        <w:trPr>
          <w:trHeight w:val="221"/>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1,972,200</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4,139,344</w:t>
            </w:r>
          </w:p>
        </w:tc>
        <w:tc>
          <w:tcPr>
            <w:tcW w:w="60" w:type="dxa"/>
            <w:vAlign w:val="bottom"/>
          </w:tcPr>
          <w:p>
            <w:pPr>
              <w:spacing w:after="0"/>
              <w:rPr>
                <w:sz w:val="19"/>
                <w:szCs w:val="19"/>
                <w:color w:val="auto"/>
              </w:rPr>
            </w:pPr>
          </w:p>
        </w:tc>
      </w:tr>
      <w:tr>
        <w:trPr>
          <w:trHeight w:val="214"/>
        </w:trPr>
        <w:tc>
          <w:tcPr>
            <w:tcW w:w="8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25,647,150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36,990,349</w:t>
            </w:r>
          </w:p>
        </w:tc>
      </w:tr>
      <w:tr>
        <w:trPr>
          <w:trHeight w:val="20"/>
        </w:trPr>
        <w:tc>
          <w:tcPr>
            <w:tcW w:w="8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2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unaudited pro forma net loss per share is computed using the weighted average number of shares of common stock and non-voting common stock outstanding after giving effect to the automatic conversion of all convertible preferred stock, inclusive of the 3,982,887 shares of Series C convertible preferred stock issued in August 2020, into shares of common stock and non-voting common stock upon the closing of a qualified initial public offering as if the qualified initial public offering had occurred at the beginning of the period.</w:t>
      </w:r>
    </w:p>
    <w:p>
      <w:pPr>
        <w:spacing w:after="0" w:line="180" w:lineRule="exact"/>
        <w:rPr>
          <w:sz w:val="20"/>
          <w:szCs w:val="20"/>
          <w:color w:val="auto"/>
        </w:rPr>
      </w:pPr>
    </w:p>
    <w:p>
      <w:pPr>
        <w:ind w:right="100" w:firstLine="449"/>
        <w:spacing w:after="0" w:line="278" w:lineRule="auto"/>
        <w:rPr>
          <w:sz w:val="20"/>
          <w:szCs w:val="20"/>
          <w:color w:val="auto"/>
        </w:rPr>
      </w:pPr>
      <w:r>
        <w:rPr>
          <w:rFonts w:ascii="Times New Roman" w:cs="Times New Roman" w:eastAsia="Times New Roman" w:hAnsi="Times New Roman"/>
          <w:sz w:val="18"/>
          <w:szCs w:val="18"/>
          <w:color w:val="auto"/>
        </w:rPr>
        <w:t>The following table summarizes the calculation of unaudited pro forma basic and diluted net loss per share of common stock and non-voting common stock for the six months ended June 30,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7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(20,919)</w:t>
            </w:r>
          </w:p>
        </w:tc>
      </w:tr>
      <w:tr>
        <w:trPr>
          <w:trHeight w:val="20"/>
        </w:trPr>
        <w:tc>
          <w:tcPr>
            <w:tcW w:w="28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 common stock and non-voting common stock outstanding</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2,272,044</w:t>
            </w:r>
          </w:p>
        </w:tc>
        <w:tc>
          <w:tcPr>
            <w:tcW w:w="100" w:type="dxa"/>
            <w:vAlign w:val="bottom"/>
          </w:tcPr>
          <w:p>
            <w:pPr>
              <w:spacing w:after="0"/>
              <w:rPr>
                <w:sz w:val="18"/>
                <w:szCs w:val="18"/>
                <w:color w:val="auto"/>
              </w:rPr>
            </w:pPr>
          </w:p>
        </w:tc>
      </w:tr>
      <w:tr>
        <w:trPr>
          <w:trHeight w:val="214"/>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preferred stock</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35,203,953</w:t>
            </w:r>
          </w:p>
        </w:tc>
      </w:tr>
      <w:tr>
        <w:trPr>
          <w:trHeight w:val="202"/>
        </w:trPr>
        <w:tc>
          <w:tcPr>
            <w:tcW w:w="102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Shares issued in computing unaudited pro forma weighted average basic and diluted shares of common stock and non-voting common</w:t>
            </w: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10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outstanding</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37,475,997</w:t>
            </w:r>
          </w:p>
        </w:tc>
      </w:tr>
      <w:tr>
        <w:trPr>
          <w:trHeight w:val="20"/>
        </w:trPr>
        <w:tc>
          <w:tcPr>
            <w:tcW w:w="28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of common and non-voting common stock,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r>
    </w:tbl>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16"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454" w:right="3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4"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The standard is effective for the Company beginning January 1, 2022, with early adoption permitted. The Company is currently evaluating the expected impact that the standard will have on its financial statements and related disclosures.</w:t>
      </w:r>
    </w:p>
    <w:p>
      <w:pPr>
        <w:spacing w:after="0" w:line="180" w:lineRule="exact"/>
        <w:rPr>
          <w:sz w:val="20"/>
          <w:szCs w:val="20"/>
          <w:color w:val="auto"/>
        </w:rPr>
      </w:pPr>
    </w:p>
    <w:p>
      <w:pPr>
        <w:jc w:val="both"/>
        <w:ind w:right="180" w:firstLine="449"/>
        <w:spacing w:after="0" w:line="278" w:lineRule="auto"/>
        <w:rPr>
          <w:sz w:val="20"/>
          <w:szCs w:val="20"/>
          <w:color w:val="auto"/>
        </w:rPr>
      </w:pPr>
      <w:r>
        <w:rPr>
          <w:rFonts w:ascii="Times New Roman" w:cs="Times New Roman" w:eastAsia="Times New Roman" w:hAnsi="Times New Roman"/>
          <w:sz w:val="17"/>
          <w:szCs w:val="17"/>
          <w:color w:val="auto"/>
        </w:rPr>
        <w:t xml:space="preserve">In August 2018, the FASB issued ASU 2018-13, </w:t>
      </w:r>
      <w:r>
        <w:rPr>
          <w:rFonts w:ascii="Times New Roman" w:cs="Times New Roman" w:eastAsia="Times New Roman" w:hAnsi="Times New Roman"/>
          <w:sz w:val="17"/>
          <w:szCs w:val="17"/>
          <w:i w:val="1"/>
          <w:iCs w:val="1"/>
          <w:color w:val="auto"/>
        </w:rPr>
        <w:t>Disclosure Framework—Changes to the Disclosure Requirements for Fair Value Measurements,</w:t>
      </w:r>
      <w:r>
        <w:rPr>
          <w:rFonts w:ascii="Times New Roman" w:cs="Times New Roman" w:eastAsia="Times New Roman" w:hAnsi="Times New Roman"/>
          <w:sz w:val="17"/>
          <w:szCs w:val="17"/>
          <w:color w:val="auto"/>
        </w:rPr>
        <w:t xml:space="preserve"> which changes the fair value measurement disclosure requirements of ASC Topic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(“ASC 820”). The goal of the ASU is to improve the effectiveness of ASC 820’s disclosure requirements. The standard is effective for fiscal years beginning after December 15, 2019 and interim periods therein. The adoption of this standard on January 1, 2020 did not have a material impact on the Company’s unaudited interim financial statements.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18"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88" w:lineRule="exact"/>
        <w:rPr>
          <w:sz w:val="20"/>
          <w:szCs w:val="20"/>
          <w:color w:val="auto"/>
        </w:rPr>
      </w:pPr>
    </w:p>
    <w:p>
      <w:pPr>
        <w:ind w:left="1000" w:hanging="552"/>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27" w:lineRule="exact"/>
        <w:rPr>
          <w:rFonts w:ascii="Times New Roman" w:cs="Times New Roman" w:eastAsia="Times New Roman" w:hAnsi="Times New Roman"/>
          <w:sz w:val="18"/>
          <w:szCs w:val="18"/>
          <w:color w:val="auto"/>
        </w:rPr>
      </w:pPr>
    </w:p>
    <w:p>
      <w:pPr>
        <w:ind w:left="1000" w:right="40" w:hanging="552"/>
        <w:spacing w:after="0" w:line="280"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65" w:lineRule="exact"/>
        <w:rPr>
          <w:rFonts w:ascii="Times New Roman" w:cs="Times New Roman" w:eastAsia="Times New Roman" w:hAnsi="Times New Roman"/>
          <w:sz w:val="18"/>
          <w:szCs w:val="18"/>
          <w:color w:val="auto"/>
        </w:rPr>
      </w:pPr>
    </w:p>
    <w:p>
      <w:pPr>
        <w:ind w:left="1000" w:right="900" w:hanging="552"/>
        <w:spacing w:after="0" w:line="280"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(i.e., supported by little or no market activity).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00"/>
          </w:cols>
          <w:pgMar w:left="320" w:top="454" w:right="37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8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960" w:type="dxa"/>
            <w:vAlign w:val="bottom"/>
            <w:gridSpan w:val="3"/>
          </w:tcPr>
          <w:p>
            <w:pPr>
              <w:jc w:val="center"/>
              <w:ind w:right="100"/>
              <w:spacing w:after="0" w:line="116"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620" w:type="dxa"/>
            <w:vAlign w:val="bottom"/>
          </w:tcPr>
          <w:p>
            <w:pPr>
              <w:spacing w:after="0"/>
              <w:rPr>
                <w:sz w:val="10"/>
                <w:szCs w:val="10"/>
                <w:color w:val="auto"/>
              </w:rPr>
            </w:pPr>
          </w:p>
        </w:tc>
        <w:tc>
          <w:tcPr>
            <w:tcW w:w="1400" w:type="dxa"/>
            <w:vAlign w:val="bottom"/>
            <w:gridSpan w:val="7"/>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620" w:type="dxa"/>
            <w:vAlign w:val="bottom"/>
          </w:tcPr>
          <w:p>
            <w:pPr>
              <w:spacing w:after="0"/>
              <w:rPr>
                <w:sz w:val="12"/>
                <w:szCs w:val="12"/>
                <w:color w:val="auto"/>
              </w:rPr>
            </w:pPr>
          </w:p>
        </w:tc>
        <w:tc>
          <w:tcPr>
            <w:tcW w:w="1400" w:type="dxa"/>
            <w:vAlign w:val="bottom"/>
            <w:gridSpan w:val="7"/>
            <w:vMerge w:val="continue"/>
          </w:tcPr>
          <w:p>
            <w:pPr>
              <w:spacing w:after="0"/>
              <w:rPr>
                <w:sz w:val="12"/>
                <w:szCs w:val="12"/>
                <w:color w:val="auto"/>
              </w:rPr>
            </w:pPr>
          </w:p>
        </w:tc>
        <w:tc>
          <w:tcPr>
            <w:tcW w:w="86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markets for</w:t>
            </w:r>
          </w:p>
        </w:tc>
        <w:tc>
          <w:tcPr>
            <w:tcW w:w="620" w:type="dxa"/>
            <w:vAlign w:val="bottom"/>
          </w:tcPr>
          <w:p>
            <w:pPr>
              <w:spacing w:after="0"/>
              <w:rPr>
                <w:sz w:val="12"/>
                <w:szCs w:val="12"/>
                <w:color w:val="auto"/>
              </w:rPr>
            </w:pPr>
          </w:p>
        </w:tc>
        <w:tc>
          <w:tcPr>
            <w:tcW w:w="1400" w:type="dxa"/>
            <w:vAlign w:val="bottom"/>
            <w:gridSpan w:val="7"/>
          </w:tcPr>
          <w:p>
            <w:pPr>
              <w:jc w:val="center"/>
              <w:ind w:right="72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620" w:type="dxa"/>
            <w:vAlign w:val="bottom"/>
          </w:tcPr>
          <w:p>
            <w:pPr>
              <w:spacing w:after="0"/>
              <w:rPr>
                <w:sz w:val="12"/>
                <w:szCs w:val="12"/>
                <w:color w:val="auto"/>
              </w:rPr>
            </w:pPr>
          </w:p>
        </w:tc>
        <w:tc>
          <w:tcPr>
            <w:tcW w:w="1400" w:type="dxa"/>
            <w:vAlign w:val="bottom"/>
            <w:gridSpan w:val="7"/>
          </w:tcPr>
          <w:p>
            <w:pPr>
              <w:jc w:val="center"/>
              <w:ind w:right="740"/>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60" w:type="dxa"/>
            <w:vAlign w:val="bottom"/>
            <w:gridSpan w:val="4"/>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5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620" w:type="dxa"/>
            <w:vAlign w:val="bottom"/>
          </w:tcPr>
          <w:p>
            <w:pPr>
              <w:spacing w:after="0"/>
              <w:rPr>
                <w:sz w:val="12"/>
                <w:szCs w:val="12"/>
                <w:color w:val="auto"/>
              </w:rPr>
            </w:pPr>
          </w:p>
        </w:tc>
        <w:tc>
          <w:tcPr>
            <w:tcW w:w="1400" w:type="dxa"/>
            <w:vAlign w:val="bottom"/>
            <w:gridSpan w:val="7"/>
          </w:tcPr>
          <w:p>
            <w:pPr>
              <w:jc w:val="center"/>
              <w:ind w:right="74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76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Pr>
          <w:p>
            <w:pPr>
              <w:spacing w:after="0"/>
              <w:rPr>
                <w:sz w:val="15"/>
                <w:szCs w:val="15"/>
                <w:color w:val="auto"/>
              </w:rPr>
            </w:pPr>
          </w:p>
        </w:tc>
        <w:tc>
          <w:tcPr>
            <w:tcW w:w="1400" w:type="dxa"/>
            <w:vAlign w:val="bottom"/>
            <w:gridSpan w:val="7"/>
          </w:tcPr>
          <w:p>
            <w:pPr>
              <w:jc w:val="center"/>
              <w:ind w:right="740"/>
              <w:spacing w:after="0" w:line="15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760" w:type="dxa"/>
            <w:vAlign w:val="bottom"/>
            <w:gridSpan w:val="3"/>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87"/>
        </w:trPr>
        <w:tc>
          <w:tcPr>
            <w:tcW w:w="740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 2019:</w:t>
            </w: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18,779</w:t>
            </w:r>
          </w:p>
        </w:tc>
        <w:tc>
          <w:tcPr>
            <w:tcW w:w="100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29,168</w:t>
            </w:r>
          </w:p>
        </w:tc>
        <w:tc>
          <w:tcPr>
            <w:tcW w:w="1000" w:type="dxa"/>
            <w:vAlign w:val="bottom"/>
            <w:gridSpan w:val="2"/>
          </w:tcPr>
          <w:p>
            <w:pPr>
              <w:jc w:val="right"/>
              <w:ind w:right="20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17"/>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5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left="142"/>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4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Compensation and related benefits</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gridSpan w:val="3"/>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1,631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$1,570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4"/>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Convertible Preferred Stock and Common Stock</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18"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Prior to December 31, 2019, the Company issued an aggregate of 13,574,008 shares of Series A convertible preferred stock (“Series A”) and 8,823,529 shares of Series B convertible preferred stock (“Series B”). In March 2020, the Company issued an aggregate of 8,823,529 shares of Series B to existing investors at $3.40 per share for aggregate net proceeds of $29.9 million. In August 2020, the Company issued an aggregate of 3,982,887 shares of Series C to new and existing investors at $12.5537 per share for aggregate net proceeds of $49.9 million.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rights, preferences, and terms of the Series A, Series B and Series C (collectively, “Convertible Preferred Stock”):</w:t>
      </w:r>
    </w:p>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8" w:lineRule="exact"/>
        <w:rPr>
          <w:sz w:val="20"/>
          <w:szCs w:val="20"/>
          <w:color w:val="auto"/>
        </w:rPr>
      </w:pPr>
    </w:p>
    <w:p>
      <w:pPr>
        <w:ind w:right="100" w:firstLine="449"/>
        <w:spacing w:after="0" w:line="263" w:lineRule="auto"/>
        <w:rPr>
          <w:sz w:val="20"/>
          <w:szCs w:val="20"/>
          <w:color w:val="auto"/>
        </w:rPr>
      </w:pPr>
      <w:r>
        <w:rPr>
          <w:rFonts w:ascii="Times New Roman" w:cs="Times New Roman" w:eastAsia="Times New Roman" w:hAnsi="Times New Roman"/>
          <w:sz w:val="18"/>
          <w:szCs w:val="18"/>
          <w:color w:val="auto"/>
        </w:rPr>
        <w:t>The holders of the Convertible Preferred Stock are also entitled to receive dividends payable when, as and if declared by the Board of Directors of the Company, with the holders of common stock, paid out of any assets or on the common stock of the Company, on an as-converted to common stock basis. Dividends are non-cumulative and no dividends on common stock were declared or paid from inception through June 30, 2020.</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454" w:right="3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18" w:lineRule="exact"/>
        <w:rPr>
          <w:sz w:val="20"/>
          <w:szCs w:val="20"/>
          <w:color w:val="auto"/>
        </w:rPr>
      </w:pPr>
    </w:p>
    <w:p>
      <w:pPr>
        <w:ind w:right="380" w:firstLine="449"/>
        <w:spacing w:after="0" w:line="263" w:lineRule="auto"/>
        <w:rPr>
          <w:sz w:val="20"/>
          <w:szCs w:val="20"/>
          <w:color w:val="auto"/>
        </w:rPr>
      </w:pPr>
      <w:r>
        <w:rPr>
          <w:rFonts w:ascii="Times New Roman" w:cs="Times New Roman" w:eastAsia="Times New Roman" w:hAnsi="Times New Roman"/>
          <w:sz w:val="18"/>
          <w:szCs w:val="18"/>
          <w:color w:val="auto"/>
        </w:rPr>
        <w:t>Holders of the Convertible Preferred Stock are entitled to one vote for each share of common stock into which their shares may be converted and, subject to certain Convertible Preferred Stock class votes specified in the Company’s certificate of incorporation or as required by law, holders of the Convertible Preferred Stock and common stock vote together on an as-converted basis.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18"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either voluntary or involuntary, or in the event of a deemed liquidation event, which includes a sale of the Company as defined in the Company’s articles of incorporation, holders of the Convertible Preferred Stock are entitled to receive, in preference to all other stockholders, an amount equal to the greater of their original investment amount plus any declared but unpaid dividends or the fair value of the common stock on a fully converted basis prior to the deemed liquidation event. If, upon the occurrence of such event, the assets and funds available for distribution are insufficient to pay such holders the full amount to which they are entitled, then the entire assets and funds legally available for distribution shall be distributed ratably among the holders of the Convertible Preferred Stock in proportion to the full amounts to which they would otherwise be entitled. The holders of the Series C have preference over the Series A and Series B in the instance of a liquidation event.</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8"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Each share of Convertible Preferred Stock is convertible into one share of common stock at any time at the option of the holder at a conversion price then in effect. The conversion price of the Series A is $2.72 per share, the conversion price of the Series B is $3.40 per share and the conversion price of the Series C is $12.5537 per share subject to appropriate adjustment for any stock dividend, stock split, combination or other similar recapitalization. All outstanding Convertible Preferred Stock will automatically convert into common stock at the conversion price then in effect upon (i) a qualified initial public offering of common stock with a public offering price of at least $15.6875 per share and aggregate gross proceeds of at least $50.0 million or (ii) the affirmative election of 66% of the holders of the outstanding shares of Convertible Preferred Stock. Also in connection with the closing of the Series C, the terms of a qualified public offering requiring the conversion of all shares of the Company’s convertible preferred stock into common stock were adjusted as disclosed above from what was disclosed in the annual financial statements included elsewhere in the prospectus.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18" w:lineRule="exact"/>
        <w:rPr>
          <w:sz w:val="20"/>
          <w:szCs w:val="20"/>
          <w:color w:val="auto"/>
        </w:rPr>
      </w:pPr>
    </w:p>
    <w:p>
      <w:pPr>
        <w:ind w:right="160" w:firstLine="449"/>
        <w:spacing w:after="0" w:line="308" w:lineRule="auto"/>
        <w:rPr>
          <w:sz w:val="20"/>
          <w:szCs w:val="20"/>
          <w:color w:val="auto"/>
        </w:rPr>
      </w:pPr>
      <w:r>
        <w:rPr>
          <w:rFonts w:ascii="Times New Roman" w:cs="Times New Roman" w:eastAsia="Times New Roman" w:hAnsi="Times New Roman"/>
          <w:sz w:val="17"/>
          <w:szCs w:val="17"/>
          <w:color w:val="auto"/>
        </w:rPr>
        <w:t>The Convertible Preferred Stock is subject to redemption under certain deemed liquidation events not solely within the control of the Company, as defined, and as such is considered contingently redeemable for accounting purposes and is classified as temporary equity in the Company’s balance sheets.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Tranche Right Feature</w:t>
      </w:r>
    </w:p>
    <w:p>
      <w:pPr>
        <w:spacing w:after="0" w:line="118" w:lineRule="exact"/>
        <w:rPr>
          <w:sz w:val="20"/>
          <w:szCs w:val="20"/>
          <w:color w:val="auto"/>
        </w:rPr>
      </w:pPr>
    </w:p>
    <w:p>
      <w:pPr>
        <w:ind w:right="180" w:firstLine="449"/>
        <w:spacing w:after="0" w:line="254" w:lineRule="auto"/>
        <w:rPr>
          <w:sz w:val="20"/>
          <w:szCs w:val="20"/>
          <w:color w:val="auto"/>
        </w:rPr>
      </w:pPr>
      <w:r>
        <w:rPr>
          <w:rFonts w:ascii="Times New Roman" w:cs="Times New Roman" w:eastAsia="Times New Roman" w:hAnsi="Times New Roman"/>
          <w:sz w:val="18"/>
          <w:szCs w:val="18"/>
          <w:color w:val="auto"/>
        </w:rPr>
        <w:t>Pursuant to the October 2017 Series A Stock Purchase Agreement, the Series A investors could elect to purchase up to an aggregate of 6,625,442 additional shares of the Company’s Series A at a fixed purchase price of $2.72 per share (the “Series A Future Tranche Right”). Additionally, upon the successful filing of an investigational new drug application (“IND”), the Series A investors were obligated to purchase the additional shares of Series A. In the event the holders did not purchase additional shares of Series A, their initial shares of Series A would have automatically converted into shares of the Company’s common stock at a conversion ratio of 10 shares of Series A for 1 share of common stock. In August 2018, the Series A Future Tranche Right was exercised in full by the Series A investors.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20"/>
          </w:cols>
          <w:pgMar w:left="320" w:top="454" w:right="35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52" w:lineRule="exact"/>
        <w:rPr>
          <w:sz w:val="20"/>
          <w:szCs w:val="20"/>
          <w:color w:val="auto"/>
        </w:rPr>
      </w:pPr>
    </w:p>
    <w:p>
      <w:pPr>
        <w:ind w:right="340" w:firstLine="449"/>
        <w:spacing w:after="0" w:line="254" w:lineRule="auto"/>
        <w:rPr>
          <w:sz w:val="20"/>
          <w:szCs w:val="20"/>
          <w:color w:val="auto"/>
        </w:rPr>
      </w:pPr>
      <w:r>
        <w:rPr>
          <w:rFonts w:ascii="Times New Roman" w:cs="Times New Roman" w:eastAsia="Times New Roman" w:hAnsi="Times New Roman"/>
          <w:sz w:val="18"/>
          <w:szCs w:val="18"/>
          <w:color w:val="auto"/>
        </w:rPr>
        <w:t>Pursuant to the May 2019 Series B Stock Purchase Agreement, the Series B investors could elect to purchase an aggregate of 8,823,529 additional shares of the Company’s Series B at a fixed purchase price of $3.40 per share (the “Series B Future Tranche Right”). Additionally, upon the successful demonstration of certain pharmacokinetic and safety profile milestones by the Company, the holders were obligated to purchase the additional shares of Series B. In the event the holders did not purchase additional shares of Series B, their initial shares of Series B would have automatically converted into shares of the Company’s common stock at a conversion ratio of 10 shares of Series B for 1 share of common stock. In March 2020, the Series B Future Tranche Right was exercised in full by the Series B investors. The Series C did not include a future tranche feature.</w:t>
      </w:r>
    </w:p>
    <w:p>
      <w:pPr>
        <w:spacing w:after="0" w:line="184" w:lineRule="exact"/>
        <w:rPr>
          <w:sz w:val="20"/>
          <w:szCs w:val="20"/>
          <w:color w:val="auto"/>
        </w:rPr>
      </w:pPr>
    </w:p>
    <w:p>
      <w:pPr>
        <w:ind w:right="200" w:firstLine="449"/>
        <w:spacing w:after="0" w:line="263" w:lineRule="auto"/>
        <w:rPr>
          <w:sz w:val="20"/>
          <w:szCs w:val="20"/>
          <w:color w:val="auto"/>
        </w:rPr>
      </w:pPr>
      <w:r>
        <w:rPr>
          <w:rFonts w:ascii="Times New Roman" w:cs="Times New Roman" w:eastAsia="Times New Roman" w:hAnsi="Times New Roman"/>
          <w:sz w:val="18"/>
          <w:szCs w:val="18"/>
          <w:color w:val="auto"/>
        </w:rPr>
        <w:t>The Company determined that the Series A Future Tranche Right and Series B Future Tranche Right (Collectively, “Future Tranche Rights”) did not meet the definition of a freestanding financial instrument as they were not legally detachable. The Future Tranche Rights were also evaluated as an embedded derivative and the Company determined they did not meet the definition of a derivative instrument for which bifurcation would be required.</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8" w:lineRule="exact"/>
        <w:rPr>
          <w:sz w:val="20"/>
          <w:szCs w:val="20"/>
          <w:color w:val="auto"/>
        </w:rPr>
      </w:pPr>
    </w:p>
    <w:p>
      <w:pPr>
        <w:ind w:right="180" w:firstLine="449"/>
        <w:spacing w:after="0" w:line="255" w:lineRule="auto"/>
        <w:rPr>
          <w:sz w:val="20"/>
          <w:szCs w:val="20"/>
          <w:color w:val="auto"/>
        </w:rPr>
      </w:pPr>
      <w:r>
        <w:rPr>
          <w:rFonts w:ascii="Times New Roman" w:cs="Times New Roman" w:eastAsia="Times New Roman" w:hAnsi="Times New Roman"/>
          <w:sz w:val="18"/>
          <w:szCs w:val="18"/>
          <w:color w:val="auto"/>
        </w:rPr>
        <w:t>Prior to the creation of non-voting common stock in August 2020, which is further discussed in Note 8, the holders of common stock are entitled to one vote for each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18"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Under the Prelude Therapeutics Incorporated 2016 Stock Incentive Plan, as amended (the “Plan”), the Company may grant stock options, stock appreciation rights, restricted stock awards, restricted stock unit awards, performance stock awards and other forms of equity compensation to Company employees, directors and consultants. During the six months ended June 30, 2020, 1,904,000 shares were added to the Plan and as of June 30, 2020, there were 269,345 shares of common stock available for issuance under the Plan. The Company’s stock options vest based on the terms in each award agreement, generally over four-year periods with 25% of options vesting after 1 year and then monthly thereafter, and have a term of ten years.</w:t>
      </w:r>
    </w:p>
    <w:p>
      <w:pPr>
        <w:spacing w:after="0" w:line="184" w:lineRule="exact"/>
        <w:rPr>
          <w:sz w:val="20"/>
          <w:szCs w:val="20"/>
          <w:color w:val="auto"/>
        </w:rPr>
      </w:pPr>
    </w:p>
    <w:p>
      <w:pPr>
        <w:ind w:right="240" w:firstLine="449"/>
        <w:spacing w:after="0" w:line="263"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72"/>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20" w:type="dxa"/>
            <w:vAlign w:val="bottom"/>
            <w:vMerge w:val="restart"/>
          </w:tcPr>
          <w:p>
            <w:pPr>
              <w:spacing w:after="0"/>
              <w:rPr>
                <w:sz w:val="14"/>
                <w:szCs w:val="14"/>
                <w:color w:val="auto"/>
              </w:rPr>
            </w:pPr>
          </w:p>
        </w:tc>
        <w:tc>
          <w:tcPr>
            <w:tcW w:w="6500" w:type="dxa"/>
            <w:vAlign w:val="bottom"/>
          </w:tcPr>
          <w:p>
            <w:pPr>
              <w:spacing w:after="0"/>
              <w:rPr>
                <w:sz w:val="14"/>
                <w:szCs w:val="14"/>
                <w:color w:val="auto"/>
              </w:rPr>
            </w:pPr>
          </w:p>
        </w:tc>
        <w:tc>
          <w:tcPr>
            <w:tcW w:w="10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7"/>
        </w:trPr>
        <w:tc>
          <w:tcPr>
            <w:tcW w:w="880" w:type="dxa"/>
            <w:vAlign w:val="bottom"/>
            <w:tcBorders>
              <w:bottom w:val="single" w:sz="8" w:color="auto"/>
            </w:tcBorders>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6500" w:type="dxa"/>
            <w:vAlign w:val="bottom"/>
          </w:tcPr>
          <w:p>
            <w:pPr>
              <w:spacing w:after="0"/>
              <w:rPr>
                <w:sz w:val="12"/>
                <w:szCs w:val="12"/>
                <w:color w:val="auto"/>
              </w:rPr>
            </w:pPr>
          </w:p>
        </w:tc>
        <w:tc>
          <w:tcPr>
            <w:tcW w:w="36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7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Research and development</w:t>
            </w:r>
          </w:p>
        </w:tc>
        <w:tc>
          <w:tcPr>
            <w:tcW w:w="6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4"/>
              </w:rPr>
              <w:t>$109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4"/>
              </w:rPr>
              <w:t>$417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7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0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F-32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4" w:right="3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Plan in the years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7"/>
        </w:trPr>
        <w:tc>
          <w:tcPr>
            <w:tcW w:w="7620" w:type="dxa"/>
            <w:vAlign w:val="bottom"/>
          </w:tcPr>
          <w:p>
            <w:pPr>
              <w:spacing w:after="0"/>
              <w:rPr>
                <w:sz w:val="12"/>
                <w:szCs w:val="12"/>
                <w:color w:val="auto"/>
              </w:rPr>
            </w:pPr>
          </w:p>
        </w:tc>
        <w:tc>
          <w:tcPr>
            <w:tcW w:w="140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76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68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7"/>
        </w:trPr>
        <w:tc>
          <w:tcPr>
            <w:tcW w:w="7620" w:type="dxa"/>
            <w:vAlign w:val="bottom"/>
          </w:tcPr>
          <w:p>
            <w:pPr>
              <w:spacing w:after="0"/>
              <w:rPr>
                <w:sz w:val="12"/>
                <w:szCs w:val="12"/>
                <w:color w:val="auto"/>
              </w:rPr>
            </w:pPr>
          </w:p>
        </w:tc>
        <w:tc>
          <w:tcPr>
            <w:tcW w:w="1400" w:type="dxa"/>
            <w:vAlign w:val="bottom"/>
            <w:gridSpan w:val="3"/>
          </w:tcPr>
          <w:p>
            <w:pPr>
              <w:jc w:val="center"/>
              <w:ind w:right="640"/>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14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80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2"/>
        </w:trPr>
        <w:tc>
          <w:tcPr>
            <w:tcW w:w="7620" w:type="dxa"/>
            <w:vAlign w:val="bottom"/>
          </w:tcPr>
          <w:p>
            <w:pPr>
              <w:spacing w:after="0"/>
              <w:rPr>
                <w:sz w:val="14"/>
                <w:szCs w:val="14"/>
                <w:color w:val="auto"/>
              </w:rPr>
            </w:pPr>
          </w:p>
        </w:tc>
        <w:tc>
          <w:tcPr>
            <w:tcW w:w="140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07"/>
        </w:trPr>
        <w:tc>
          <w:tcPr>
            <w:tcW w:w="7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2,625,200</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9.20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1,685,500</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1.63</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0.73</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(128,856)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1.16</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4,139,344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1.53</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2020</w:t>
            </w:r>
          </w:p>
        </w:tc>
        <w:tc>
          <w:tcPr>
            <w:tcW w:w="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1.28</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line="20" w:lineRule="exact"/>
              <w:rPr>
                <w:sz w:val="1"/>
                <w:szCs w:val="1"/>
                <w:color w:val="auto"/>
              </w:rPr>
            </w:pPr>
          </w:p>
        </w:tc>
      </w:tr>
      <w:tr>
        <w:trPr>
          <w:trHeight w:val="207"/>
        </w:trPr>
        <w:tc>
          <w:tcPr>
            <w:tcW w:w="762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699,033</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2020, the aggregate intrinsic value of outstanding options and exercisable options was $5.3 million and $1.1 million, respectively.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June 30, 2020 under the Plan: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center"/>
              <w:ind w:right="440"/>
              <w:spacing w:after="0" w:line="116"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580" w:type="dxa"/>
            <w:vAlign w:val="bottom"/>
            <w:tcBorders>
              <w:top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158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4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64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4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4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4100" w:type="dxa"/>
            <w:vAlign w:val="bottom"/>
          </w:tcPr>
          <w:p>
            <w:pPr>
              <w:spacing w:after="0"/>
              <w:rPr>
                <w:sz w:val="15"/>
                <w:szCs w:val="15"/>
                <w:color w:val="auto"/>
              </w:rPr>
            </w:pPr>
          </w:p>
        </w:tc>
        <w:tc>
          <w:tcPr>
            <w:tcW w:w="92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5"/>
                <w:szCs w:val="15"/>
                <w:color w:val="auto"/>
              </w:rPr>
            </w:pPr>
          </w:p>
        </w:tc>
        <w:tc>
          <w:tcPr>
            <w:tcW w:w="1580" w:type="dxa"/>
            <w:vAlign w:val="bottom"/>
            <w:gridSpan w:val="2"/>
          </w:tcPr>
          <w:p>
            <w:pPr>
              <w:jc w:val="center"/>
              <w:ind w:right="4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(in years)</w:t>
            </w:r>
          </w:p>
        </w:tc>
        <w:tc>
          <w:tcPr>
            <w:tcW w:w="100" w:type="dxa"/>
            <w:vAlign w:val="bottom"/>
          </w:tcPr>
          <w:p>
            <w:pPr>
              <w:spacing w:after="0"/>
              <w:rPr>
                <w:sz w:val="15"/>
                <w:szCs w:val="15"/>
                <w:color w:val="auto"/>
              </w:rPr>
            </w:pPr>
          </w:p>
        </w:tc>
        <w:tc>
          <w:tcPr>
            <w:tcW w:w="940" w:type="dxa"/>
            <w:vAlign w:val="bottom"/>
            <w:gridSpan w:val="2"/>
          </w:tcPr>
          <w:p>
            <w:pPr>
              <w:jc w:val="center"/>
              <w:ind w:right="580"/>
              <w:spacing w:after="0" w:line="159"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right"/>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1"/>
        </w:trPr>
        <w:tc>
          <w:tcPr>
            <w:tcW w:w="150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$0.26 - $0.88</w:t>
            </w:r>
          </w:p>
        </w:tc>
        <w:tc>
          <w:tcPr>
            <w:tcW w:w="4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350,366</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7.66</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0.84</w:t>
            </w: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226,633</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w w:val="88"/>
              </w:rPr>
              <w:t>0.83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$1.23 - $1.63</w:t>
            </w:r>
          </w:p>
        </w:tc>
        <w:tc>
          <w:tcPr>
            <w:tcW w:w="4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3,788,978</w:t>
            </w:r>
          </w:p>
        </w:tc>
        <w:tc>
          <w:tcPr>
            <w:tcW w:w="140" w:type="dxa"/>
            <w:vAlign w:val="bottom"/>
          </w:tcPr>
          <w:p>
            <w:pPr>
              <w:spacing w:after="0"/>
              <w:rPr>
                <w:sz w:val="18"/>
                <w:szCs w:val="18"/>
                <w:color w:val="auto"/>
              </w:rPr>
            </w:pPr>
          </w:p>
        </w:tc>
        <w:tc>
          <w:tcPr>
            <w:tcW w:w="1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1.59</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472,400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5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4,139,344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699,033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00" w:firstLine="449"/>
        <w:spacing w:after="0" w:line="255"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$1.20 and $2.48 per share for the six months ended June 30, 2019 and 2020, respectively. The aggregate intrinsic value of options exercised was $89,000 for the six months ended June 30, 2020. The Company recorded stock-based compensation expense of $0.1 million and $0.7 million for the six months ended June 30, 2019 and 2020, respectively, related to stock options. As of June 30, 2020, the total unrecognized compensation expense related to unvested stock option awards was $5.7 million, which the Company expects to recognize over a weighted-average period of 3.25 years.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2"/>
        </w:trPr>
        <w:tc>
          <w:tcPr>
            <w:tcW w:w="3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w w:val="96"/>
              </w:rPr>
              <w:t>June 30,</w:t>
            </w:r>
          </w:p>
        </w:tc>
      </w:tr>
      <w:tr>
        <w:trPr>
          <w:trHeight w:val="140"/>
        </w:trPr>
        <w:tc>
          <w:tcPr>
            <w:tcW w:w="3740" w:type="dxa"/>
            <w:vAlign w:val="bottom"/>
            <w:tcBorders>
              <w:bottom w:val="single" w:sz="8" w:color="CCEEFF"/>
            </w:tcBorders>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7"/>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111.81%</w:t>
            </w: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r>
      <w:tr>
        <w:trPr>
          <w:trHeight w:val="21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6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5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6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$ 1.57</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2.82</w:t>
            </w:r>
          </w:p>
        </w:tc>
      </w:tr>
      <w:tr>
        <w:trPr>
          <w:trHeight w:val="362"/>
        </w:trPr>
        <w:tc>
          <w:tcPr>
            <w:tcW w:w="3740" w:type="dxa"/>
            <w:vAlign w:val="bottom"/>
          </w:tcPr>
          <w:p>
            <w:pPr>
              <w:spacing w:after="0"/>
              <w:rPr>
                <w:sz w:val="24"/>
                <w:szCs w:val="24"/>
                <w:color w:val="auto"/>
              </w:rPr>
            </w:pPr>
          </w:p>
        </w:tc>
        <w:tc>
          <w:tcPr>
            <w:tcW w:w="616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F-33</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4" w:right="3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18" w:lineRule="exact"/>
        <w:rPr>
          <w:sz w:val="20"/>
          <w:szCs w:val="20"/>
          <w:color w:val="auto"/>
        </w:rPr>
      </w:pPr>
    </w:p>
    <w:p>
      <w:pPr>
        <w:ind w:right="220" w:firstLine="449"/>
        <w:spacing w:after="0" w:line="263"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amortized straight-line over the vesting period.</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7"/>
        </w:trPr>
        <w:tc>
          <w:tcPr>
            <w:tcW w:w="8080" w:type="dxa"/>
            <w:vAlign w:val="bottom"/>
          </w:tcPr>
          <w:p>
            <w:pPr>
              <w:spacing w:after="0"/>
              <w:rPr>
                <w:sz w:val="12"/>
                <w:szCs w:val="12"/>
                <w:color w:val="auto"/>
              </w:rPr>
            </w:pPr>
          </w:p>
        </w:tc>
        <w:tc>
          <w:tcPr>
            <w:tcW w:w="156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2"/>
        </w:trPr>
        <w:tc>
          <w:tcPr>
            <w:tcW w:w="808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7"/>
        </w:trPr>
        <w:tc>
          <w:tcPr>
            <w:tcW w:w="8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January 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1,544,467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1.22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(414,528)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1"/>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Unvested balance at June 30, 2020</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1,629,939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440" w:firstLine="449"/>
        <w:spacing w:after="0" w:line="263" w:lineRule="auto"/>
        <w:rPr>
          <w:sz w:val="20"/>
          <w:szCs w:val="20"/>
          <w:color w:val="auto"/>
        </w:rPr>
      </w:pPr>
      <w:r>
        <w:rPr>
          <w:rFonts w:ascii="Times New Roman" w:cs="Times New Roman" w:eastAsia="Times New Roman" w:hAnsi="Times New Roman"/>
          <w:sz w:val="18"/>
          <w:szCs w:val="18"/>
          <w:color w:val="auto"/>
        </w:rPr>
        <w:t>The Company recorded stock-based compensation expense of $0.1 million and $0.3 million for the six months ended June 30, 2019 and 2020, respectively, related to RSAs. As of June 30, 2020, the total unrecognized expense related to all RSAs was $2.7 million, which the Company expects to recognize over a weighted-average period of 3.19 years.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Transaction</w:t>
      </w:r>
    </w:p>
    <w:p>
      <w:pPr>
        <w:spacing w:after="0" w:line="118" w:lineRule="exact"/>
        <w:rPr>
          <w:sz w:val="20"/>
          <w:szCs w:val="20"/>
          <w:color w:val="auto"/>
        </w:rPr>
      </w:pPr>
    </w:p>
    <w:p>
      <w:pPr>
        <w:ind w:right="200" w:firstLine="449"/>
        <w:spacing w:after="0" w:line="278" w:lineRule="auto"/>
        <w:rPr>
          <w:sz w:val="20"/>
          <w:szCs w:val="20"/>
          <w:color w:val="auto"/>
        </w:rPr>
      </w:pPr>
      <w:r>
        <w:rPr>
          <w:rFonts w:ascii="Times New Roman" w:cs="Times New Roman" w:eastAsia="Times New Roman" w:hAnsi="Times New Roman"/>
          <w:sz w:val="18"/>
          <w:szCs w:val="18"/>
          <w:color w:val="auto"/>
        </w:rPr>
        <w:t>In August 2020, the Company’s existing Convertible Preferred Stock investors as well as a new investor purchased 3,982,887 shares of Series C at a price of $12.5537 per share for net proceeds of approximately $49.9 million. The rights and preferences of the Series C is outlined in Note 6.</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 in Authorized Shares of Common Stock and Preferred Stock; Creation of Non-Voting Common Stock</w:t>
      </w:r>
    </w:p>
    <w:p>
      <w:pPr>
        <w:spacing w:after="0" w:line="118"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In August 2020, the Company effected an increase in the number of authorized shares of its common stock from 42,000,000 shares to 58,850,259 shares, including 12,850,259 shares of the common stock that are non-voting and are designated as “non-voting common stock,” with the remaining 46,000,000 shares of the common stock designated as “voting common stock,” and effected an increase in the number of authorized shares of its Convertible Preferred Stock from 32,074,008 shares to 35,221,066 shares, of which 4,000,000 shares were designated as Series C.</w:t>
      </w:r>
    </w:p>
    <w:p>
      <w:pPr>
        <w:spacing w:after="0" w:line="180" w:lineRule="exact"/>
        <w:rPr>
          <w:sz w:val="20"/>
          <w:szCs w:val="20"/>
          <w:color w:val="auto"/>
        </w:rPr>
      </w:pPr>
    </w:p>
    <w:p>
      <w:pPr>
        <w:jc w:val="both"/>
        <w:ind w:right="40" w:firstLine="449"/>
        <w:spacing w:after="0" w:line="270" w:lineRule="auto"/>
        <w:rPr>
          <w:sz w:val="20"/>
          <w:szCs w:val="20"/>
          <w:color w:val="auto"/>
        </w:rPr>
      </w:pPr>
      <w:r>
        <w:rPr>
          <w:rFonts w:ascii="Times New Roman" w:cs="Times New Roman" w:eastAsia="Times New Roman" w:hAnsi="Times New Roman"/>
          <w:sz w:val="17"/>
          <w:szCs w:val="17"/>
          <w:color w:val="auto"/>
        </w:rPr>
        <w:t>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w:t>
      </w:r>
    </w:p>
    <w:p>
      <w:pPr>
        <w:spacing w:after="0" w:line="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however, that such shares of non-voting common stock may only be converted by each investors into shares of voting common stock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454" w:right="3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52"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color w:val="auto"/>
        </w:rPr>
        <w:t>during such time or times as immediately prior to or as a result of such conversion would not result in the holder(s) thereof being a beneficial owner (for purposes of Section 13(d) of the Securities Exchange Act of 1934, as amended, and the rules and regulations promulgated thereunder.</w:t>
      </w:r>
    </w:p>
    <w:p>
      <w:pPr>
        <w:spacing w:after="0" w:line="162" w:lineRule="exact"/>
        <w:rPr>
          <w:sz w:val="20"/>
          <w:szCs w:val="20"/>
          <w:color w:val="auto"/>
        </w:rPr>
      </w:pPr>
    </w:p>
    <w:p>
      <w:pPr>
        <w:jc w:val="both"/>
        <w:ind w:right="20" w:firstLine="449"/>
        <w:spacing w:after="0" w:line="270" w:lineRule="auto"/>
        <w:rPr>
          <w:sz w:val="20"/>
          <w:szCs w:val="20"/>
          <w:color w:val="auto"/>
        </w:rPr>
      </w:pPr>
      <w:r>
        <w:rPr>
          <w:rFonts w:ascii="Times New Roman" w:cs="Times New Roman" w:eastAsia="Times New Roman" w:hAnsi="Times New Roman"/>
          <w:sz w:val="17"/>
          <w:szCs w:val="17"/>
          <w:color w:val="auto"/>
        </w:rPr>
        <w:t>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however, that such shares of non-voting common stock may only be converted by each investors into shares of voting common stock during such time or times as immediately prior to or as a result of such conversion would not result in the holder(s) thereof being a beneficial owner (for purposes of Section 13(d) of the Securities Exchange Act of 1934, as amended, and the rules and regulations promulgated thereunder.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20"/>
          </w:cols>
          <w:pgMar w:left="320" w:top="454" w:right="35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178435</wp:posOffset>
            </wp:positionV>
            <wp:extent cx="2165350" cy="7473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65350" cy="74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i w:val="1"/>
          <w:iCs w:val="1"/>
          <w:color w:val="auto"/>
        </w:rPr>
        <w:t>Prelude Therapeutics Incorporated</w:t>
      </w: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248920</wp:posOffset>
            </wp:positionV>
            <wp:extent cx="14947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i w:val="1"/>
          <w:i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246380</wp:posOffset>
            </wp:positionV>
            <wp:extent cx="14947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i w:val="1"/>
          <w:iCs w:val="1"/>
          <w:color w:val="auto"/>
        </w:rPr>
        <w:t>MORGAN STANLEY</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i w:val="1"/>
          <w:iCs w:val="1"/>
          <w:color w:val="auto"/>
        </w:rPr>
        <w:t>GOLDMAN SACHS &amp; CO. LLC</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i w:val="1"/>
          <w:iCs w:val="1"/>
          <w:color w:val="auto"/>
        </w:rPr>
        <w:t>BofA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49"/>
        <w:spacing w:after="0" w:line="264" w:lineRule="auto"/>
        <w:rPr>
          <w:sz w:val="20"/>
          <w:szCs w:val="20"/>
          <w:color w:val="auto"/>
        </w:rPr>
      </w:pPr>
      <w:r>
        <w:rPr>
          <w:rFonts w:ascii="Times New Roman" w:cs="Times New Roman" w:eastAsia="Times New Roman" w:hAnsi="Times New Roman"/>
          <w:sz w:val="18"/>
          <w:szCs w:val="18"/>
          <w:i w:val="1"/>
          <w:iCs w:val="1"/>
          <w:color w:val="auto"/>
        </w:rPr>
        <w:t>Until , 2020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1180"/>
          </w:cols>
          <w:pgMar w:left="320" w:top="454" w:right="39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13.OTHER EXPENSES OF ISSUANCE AND DISTRIBUTION.</w:t>
      </w:r>
    </w:p>
    <w:p>
      <w:pPr>
        <w:spacing w:after="0" w:line="225" w:lineRule="exact"/>
        <w:rPr>
          <w:sz w:val="20"/>
          <w:szCs w:val="20"/>
          <w:color w:val="auto"/>
        </w:rPr>
      </w:pPr>
    </w:p>
    <w:p>
      <w:pPr>
        <w:ind w:right="320" w:firstLine="449"/>
        <w:spacing w:after="0" w:line="263"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Securities and Exchange Commission, or SEC, registration fee, the Financial Industry Regulatory Approval, or FINRA, filing fee and the Nasdaq Global Market listing fee: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147"/>
        </w:trPr>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71"/>
              <w:spacing w:after="0" w:line="147" w:lineRule="exact"/>
              <w:rPr>
                <w:sz w:val="20"/>
                <w:szCs w:val="20"/>
                <w:color w:val="auto"/>
              </w:rPr>
            </w:pPr>
            <w:r>
              <w:rPr>
                <w:rFonts w:ascii="Times New Roman" w:cs="Times New Roman" w:eastAsia="Times New Roman" w:hAnsi="Times New Roman"/>
                <w:sz w:val="14"/>
                <w:szCs w:val="14"/>
                <w:b w:val="1"/>
                <w:bCs w:val="1"/>
                <w:color w:val="auto"/>
              </w:rPr>
              <w:t>Paid or</w:t>
            </w:r>
          </w:p>
        </w:tc>
      </w:tr>
      <w:tr>
        <w:trPr>
          <w:trHeight w:val="172"/>
        </w:trPr>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07"/>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4"/>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00" w:type="dxa"/>
            <w:vAlign w:val="bottom"/>
          </w:tcPr>
          <w:p>
            <w:pPr>
              <w:spacing w:after="0"/>
              <w:rPr>
                <w:sz w:val="18"/>
                <w:szCs w:val="18"/>
                <w:color w:val="auto"/>
              </w:rPr>
            </w:pPr>
          </w:p>
        </w:tc>
        <w:tc>
          <w:tcPr>
            <w:tcW w:w="7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15,500</w:t>
            </w:r>
          </w:p>
        </w:tc>
      </w:tr>
      <w:tr>
        <w:trPr>
          <w:trHeight w:val="214"/>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Nasdaq Global Market listing fee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7"/>
        </w:trPr>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7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48"/>
        </w:trPr>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14.INDEMNIFICATION OF DIRECTORS AND OFFICERS.</w:t>
      </w:r>
    </w:p>
    <w:p>
      <w:pPr>
        <w:spacing w:after="0" w:line="11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180" w:lineRule="exact"/>
        <w:rPr>
          <w:sz w:val="20"/>
          <w:szCs w:val="20"/>
          <w:color w:val="auto"/>
        </w:rPr>
      </w:pPr>
    </w:p>
    <w:p>
      <w:pPr>
        <w:ind w:right="120" w:firstLine="449"/>
        <w:spacing w:after="0" w:line="263" w:lineRule="auto"/>
        <w:rPr>
          <w:sz w:val="20"/>
          <w:szCs w:val="20"/>
          <w:color w:val="auto"/>
        </w:rPr>
      </w:pPr>
      <w:r>
        <w:rPr>
          <w:rFonts w:ascii="Times New Roman" w:cs="Times New Roman" w:eastAsia="Times New Roman" w:hAnsi="Times New Roman"/>
          <w:sz w:val="18"/>
          <w:szCs w:val="18"/>
          <w:color w:val="auto"/>
        </w:rPr>
        <w:t>As permitted by the DGCL, the Registrant’s restated certificate of incorporation to be effective in connection with the completion of this offering contains provisions that eliminate the personal liability of its directors for monetary damages for any breach of fiduciary duties as a director, except liability for the following:</w:t>
      </w:r>
    </w:p>
    <w:p>
      <w:pPr>
        <w:spacing w:after="0" w:line="82" w:lineRule="exact"/>
        <w:rPr>
          <w:sz w:val="20"/>
          <w:szCs w:val="20"/>
          <w:color w:val="auto"/>
        </w:rPr>
      </w:pPr>
    </w:p>
    <w:p>
      <w:pPr>
        <w:ind w:left="1000" w:hanging="552"/>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(regarding unlawful dividends and stock purchases); or</w:t>
      </w:r>
    </w:p>
    <w:p>
      <w:pPr>
        <w:spacing w:after="0" w:line="127"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permitted by the DGCL, the Registrant’s restated bylaws to be effective in connection with the completion of this offering, provide that:</w:t>
      </w:r>
    </w:p>
    <w:p>
      <w:pPr>
        <w:spacing w:after="0" w:line="127" w:lineRule="exact"/>
        <w:rPr>
          <w:sz w:val="20"/>
          <w:szCs w:val="20"/>
          <w:color w:val="auto"/>
        </w:rPr>
      </w:pPr>
    </w:p>
    <w:p>
      <w:pPr>
        <w:ind w:left="1000" w:right="500" w:hanging="552"/>
        <w:spacing w:after="0" w:line="278"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executive officers to the fullest extent permitted by the DGCL, subject to limited exceptions;</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indemnify its other employees and agents as set forth in the DGCL;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454" w:right="3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0" w:right="180" w:hanging="552"/>
        <w:spacing w:after="0" w:line="278"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executive officers in connection with a legal proceeding to the fullest extent permitted by the DGCL, subject to limited exceptions; and</w:t>
      </w:r>
    </w:p>
    <w:p>
      <w:pPr>
        <w:spacing w:after="0" w:line="68" w:lineRule="exact"/>
        <w:rPr>
          <w:rFonts w:ascii="Times New Roman" w:cs="Times New Roman" w:eastAsia="Times New Roman" w:hAnsi="Times New Roman"/>
          <w:sz w:val="18"/>
          <w:szCs w:val="18"/>
          <w:color w:val="auto"/>
        </w:rPr>
      </w:pPr>
    </w:p>
    <w:p>
      <w:pPr>
        <w:ind w:left="1000" w:hanging="552"/>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restated bylaws are not exclusive.</w:t>
      </w:r>
    </w:p>
    <w:p>
      <w:pPr>
        <w:spacing w:after="0" w:line="221" w:lineRule="exact"/>
        <w:rPr>
          <w:sz w:val="20"/>
          <w:szCs w:val="20"/>
          <w:color w:val="auto"/>
        </w:rPr>
      </w:pPr>
    </w:p>
    <w:p>
      <w:pPr>
        <w:ind w:right="60" w:firstLine="449"/>
        <w:spacing w:after="0" w:line="252" w:lineRule="auto"/>
        <w:rPr>
          <w:sz w:val="20"/>
          <w:szCs w:val="20"/>
          <w:color w:val="auto"/>
        </w:rPr>
      </w:pPr>
      <w:r>
        <w:rPr>
          <w:rFonts w:ascii="Times New Roman" w:cs="Times New Roman" w:eastAsia="Times New Roman" w:hAnsi="Times New Roman"/>
          <w:sz w:val="18"/>
          <w:szCs w:val="18"/>
          <w:color w:val="auto"/>
        </w:rPr>
        <w:t>Prior to the completion of this offering, the Registrant intends to enter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Registrant has directors’ and officers’ liability insurance for securities matters.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15.RECENT SALES OF UNREGISTERED SECURITIES.</w:t>
      </w:r>
    </w:p>
    <w:p>
      <w:pPr>
        <w:spacing w:after="0" w:line="118" w:lineRule="exact"/>
        <w:rPr>
          <w:sz w:val="20"/>
          <w:szCs w:val="20"/>
          <w:color w:val="auto"/>
        </w:rPr>
      </w:pPr>
    </w:p>
    <w:p>
      <w:pPr>
        <w:ind w:right="260" w:firstLine="449"/>
        <w:spacing w:after="0" w:line="278" w:lineRule="auto"/>
        <w:rPr>
          <w:sz w:val="20"/>
          <w:szCs w:val="20"/>
          <w:color w:val="auto"/>
        </w:rPr>
      </w:pPr>
      <w:r>
        <w:rPr>
          <w:rFonts w:ascii="Times New Roman" w:cs="Times New Roman" w:eastAsia="Times New Roman" w:hAnsi="Times New Roman"/>
          <w:sz w:val="18"/>
          <w:szCs w:val="18"/>
          <w:color w:val="auto"/>
        </w:rPr>
        <w:t>The following lists set forth information regarding all securities sold or granted by the Registrant from July 1, 2017 through September 4, 2020 that were not registered under the Securities Act, and the consideration, if any, received by the Registrant for such securities: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Stock Option Grants</w:t>
      </w:r>
    </w:p>
    <w:p>
      <w:pPr>
        <w:spacing w:after="0" w:line="118"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From July 1, 2017 and through September 4, 2020, the Registrant has granted to its employees, directors, consultants and other service providers options to purchase an aggregate of 7,957,331 shares of common stock under the 2016 Plan, with exercise prices ranging from $0.26 to $11.11 per share. 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Preferred Stock</w:t>
      </w:r>
    </w:p>
    <w:p>
      <w:pPr>
        <w:spacing w:after="0" w:line="11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October 2017 and August 2018, the Registrant issued and sold to eight accredited investors an aggregate of 11,042,404 shares of Series A convertible preferred stock at a purchase price of $2.7168 per share, for aggregate consideration of approximately $30.0 million. Additionally, in October 2017, eight accredited investors converted their previous 2016 Preferred Stock into an aggregate of 2,531,604 shares of Series A convertible preferred stock. In connection with the completion of this offering, these shares of Series A convertible preferred stock will convert into 13,574,008 shares of the Registrant’s common stock. This transaction was exempt from the registration requirements of the Securities Act in reliance upon Section 4(2) of the Securities Act or Regulation D promulgated under the Securities Act.</w:t>
      </w:r>
    </w:p>
    <w:p>
      <w:pPr>
        <w:spacing w:after="0" w:line="184"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In May 2019 and March 2020, the Registrant issued and sold to six accredited investors an aggregate of 17,647,058 shares of Series B convertible preferred stock at a purchase price of $3.40 per share, for aggregate consideration of approximately $60.0 million. In connection with the completion of this offering, these shares of Series B convertible preferred stock will convert into 17,647,058 shares of the Registrant’s common stock. This transaction was exempt from the registration requirements of the Securities Act in reliance upon Section 4(2) of the Securities Act or Regulation D promulgated under the Securities Act.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454" w:right="3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In August 2020, the Registrant issued and sold to seven accredited investors an aggregate of 3,982,887 shares of Series C convertible preferred stock at a purchase price of $12.5537 per share, for aggregate consideration of approximately $50.0 million. In connection with the completion of this offering, these shares of Series C convertible preferred stock will convert into 3,982,887 shares of the Registrant’s common stock or non-voting common stock. This transaction was exempt from the registration requirements of the Securities Act in reliance upon Section 4(2) of the Securities Act or Regulation D promulgated under the Securities Act.</w:t>
      </w:r>
    </w:p>
    <w:p>
      <w:pPr>
        <w:spacing w:after="0" w:line="184" w:lineRule="exact"/>
        <w:rPr>
          <w:sz w:val="20"/>
          <w:szCs w:val="20"/>
          <w:color w:val="auto"/>
        </w:rPr>
      </w:pPr>
    </w:p>
    <w:p>
      <w:pPr>
        <w:ind w:right="260" w:firstLine="449"/>
        <w:spacing w:after="0" w:line="255"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16.EXHIBITS AND FINANCIAL STATEMENT SCHEDULES.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2"/>
        </w:trPr>
        <w:tc>
          <w:tcPr>
            <w:tcW w:w="60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44">
              <w:r>
                <w:rPr>
                  <w:rFonts w:ascii="Times New Roman" w:cs="Times New Roman" w:eastAsia="Times New Roman" w:hAnsi="Times New Roman"/>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321"/>
        </w:trPr>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r:id="rId337">
              <w:r>
                <w:rPr>
                  <w:rFonts w:ascii="Times New Roman" w:cs="Times New Roman" w:eastAsia="Times New Roman" w:hAnsi="Times New Roman"/>
                  <w:sz w:val="18"/>
                  <w:szCs w:val="18"/>
                  <w:u w:val="single" w:color="auto"/>
                  <w:color w:val="0000EE"/>
                </w:rPr>
                <w:t>Certificate of Incorporation, as currently in effect.</w:t>
              </w:r>
            </w:hyperlink>
          </w:p>
        </w:tc>
        <w:tc>
          <w:tcPr>
            <w:tcW w:w="0" w:type="dxa"/>
            <w:vAlign w:val="bottom"/>
          </w:tcPr>
          <w:p>
            <w:pPr>
              <w:spacing w:after="0"/>
              <w:rPr>
                <w:sz w:val="1"/>
                <w:szCs w:val="1"/>
                <w:color w:val="auto"/>
              </w:rPr>
            </w:pPr>
          </w:p>
        </w:tc>
      </w:tr>
      <w:tr>
        <w:trPr>
          <w:trHeight w:val="321"/>
        </w:trPr>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93">
              <w:r>
                <w:rPr>
                  <w:rFonts w:ascii="Times New Roman" w:cs="Times New Roman" w:eastAsia="Times New Roman" w:hAnsi="Times New Roman"/>
                  <w:sz w:val="18"/>
                  <w:szCs w:val="18"/>
                  <w:u w:val="single" w:color="auto"/>
                  <w:color w:val="0000EE"/>
                </w:rPr>
                <w:t>Form of Restated Certificate of Incorporation to be effective upon the completion of this offering.</w:t>
              </w:r>
            </w:hyperlink>
          </w:p>
        </w:tc>
        <w:tc>
          <w:tcPr>
            <w:tcW w:w="0" w:type="dxa"/>
            <w:vAlign w:val="bottom"/>
          </w:tcPr>
          <w:p>
            <w:pPr>
              <w:spacing w:after="0"/>
              <w:rPr>
                <w:sz w:val="1"/>
                <w:szCs w:val="1"/>
                <w:color w:val="auto"/>
              </w:rPr>
            </w:pPr>
          </w:p>
        </w:tc>
      </w:tr>
      <w:tr>
        <w:trPr>
          <w:trHeight w:val="321"/>
        </w:trPr>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r:id="rId338">
              <w:r>
                <w:rPr>
                  <w:rFonts w:ascii="Times New Roman" w:cs="Times New Roman" w:eastAsia="Times New Roman" w:hAnsi="Times New Roman"/>
                  <w:sz w:val="18"/>
                  <w:szCs w:val="18"/>
                  <w:u w:val="single" w:color="auto"/>
                  <w:color w:val="0000EE"/>
                </w:rPr>
                <w:t>Bylaws, as currently in effect.</w:t>
              </w:r>
            </w:hyperlink>
          </w:p>
        </w:tc>
        <w:tc>
          <w:tcPr>
            <w:tcW w:w="0" w:type="dxa"/>
            <w:vAlign w:val="bottom"/>
          </w:tcPr>
          <w:p>
            <w:pPr>
              <w:spacing w:after="0"/>
              <w:rPr>
                <w:sz w:val="1"/>
                <w:szCs w:val="1"/>
                <w:color w:val="auto"/>
              </w:rPr>
            </w:pPr>
          </w:p>
        </w:tc>
      </w:tr>
      <w:tr>
        <w:trPr>
          <w:trHeight w:val="321"/>
        </w:trPr>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color w:val="0000EE"/>
              </w:rPr>
            </w:pPr>
            <w:hyperlink w:anchor="page300">
              <w:r>
                <w:rPr>
                  <w:rFonts w:ascii="Times New Roman" w:cs="Times New Roman" w:eastAsia="Times New Roman" w:hAnsi="Times New Roman"/>
                  <w:sz w:val="18"/>
                  <w:szCs w:val="18"/>
                  <w:u w:val="single" w:color="auto"/>
                  <w:color w:val="0000EE"/>
                </w:rPr>
                <w:t>Form of Restated Bylaws to be effective upon the completion of this offering</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1"/>
        </w:trPr>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w:anchor="page327">
              <w:r>
                <w:rPr>
                  <w:rFonts w:ascii="Times New Roman" w:cs="Times New Roman" w:eastAsia="Times New Roman" w:hAnsi="Times New Roman"/>
                  <w:sz w:val="18"/>
                  <w:szCs w:val="18"/>
                  <w:u w:val="single" w:color="auto"/>
                  <w:color w:val="0000EE"/>
                </w:rPr>
                <w:t>Form of Common Stock Certificate.</w:t>
              </w:r>
            </w:hyperlink>
          </w:p>
        </w:tc>
        <w:tc>
          <w:tcPr>
            <w:tcW w:w="0" w:type="dxa"/>
            <w:vAlign w:val="bottom"/>
          </w:tcPr>
          <w:p>
            <w:pPr>
              <w:spacing w:after="0"/>
              <w:rPr>
                <w:sz w:val="1"/>
                <w:szCs w:val="1"/>
                <w:color w:val="auto"/>
              </w:rPr>
            </w:pPr>
          </w:p>
        </w:tc>
      </w:tr>
      <w:tr>
        <w:trPr>
          <w:trHeight w:val="321"/>
        </w:trPr>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r:id="rId339">
              <w:r>
                <w:rPr>
                  <w:rFonts w:ascii="Times New Roman" w:cs="Times New Roman" w:eastAsia="Times New Roman" w:hAnsi="Times New Roman"/>
                  <w:sz w:val="18"/>
                  <w:szCs w:val="18"/>
                  <w:u w:val="single" w:color="auto"/>
                  <w:color w:val="0000EE"/>
                </w:rPr>
                <w:t>Amended and Restated Investors’ Rights Agreement, dated August 21, 2020, by and among the Registrant and certain of its stockholders.</w:t>
              </w:r>
            </w:hyperlink>
          </w:p>
        </w:tc>
        <w:tc>
          <w:tcPr>
            <w:tcW w:w="0" w:type="dxa"/>
            <w:vAlign w:val="bottom"/>
          </w:tcPr>
          <w:p>
            <w:pPr>
              <w:spacing w:after="0"/>
              <w:rPr>
                <w:sz w:val="1"/>
                <w:szCs w:val="1"/>
                <w:color w:val="auto"/>
              </w:rPr>
            </w:pPr>
          </w:p>
        </w:tc>
      </w:tr>
      <w:tr>
        <w:trPr>
          <w:trHeight w:val="321"/>
        </w:trPr>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Opinion of Fenwick &amp; West LLP.</w:t>
            </w:r>
          </w:p>
        </w:tc>
        <w:tc>
          <w:tcPr>
            <w:tcW w:w="0" w:type="dxa"/>
            <w:vAlign w:val="bottom"/>
          </w:tcPr>
          <w:p>
            <w:pPr>
              <w:spacing w:after="0"/>
              <w:rPr>
                <w:sz w:val="1"/>
                <w:szCs w:val="1"/>
                <w:color w:val="auto"/>
              </w:rPr>
            </w:pPr>
          </w:p>
        </w:tc>
      </w:tr>
      <w:tr>
        <w:trPr>
          <w:trHeight w:val="32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r:id="rId340">
              <w:r>
                <w:rPr>
                  <w:rFonts w:ascii="Times New Roman" w:cs="Times New Roman" w:eastAsia="Times New Roman" w:hAnsi="Times New Roman"/>
                  <w:sz w:val="18"/>
                  <w:szCs w:val="18"/>
                  <w:u w:val="single" w:color="auto"/>
                  <w:color w:val="0000EE"/>
                </w:rPr>
                <w:t>Form of Indemnity Agreement.</w:t>
              </w:r>
            </w:hyperlink>
          </w:p>
        </w:tc>
        <w:tc>
          <w:tcPr>
            <w:tcW w:w="0" w:type="dxa"/>
            <w:vAlign w:val="bottom"/>
          </w:tcPr>
          <w:p>
            <w:pPr>
              <w:spacing w:after="0"/>
              <w:rPr>
                <w:sz w:val="1"/>
                <w:szCs w:val="1"/>
                <w:color w:val="auto"/>
              </w:rPr>
            </w:pPr>
          </w:p>
        </w:tc>
      </w:tr>
      <w:tr>
        <w:trPr>
          <w:trHeight w:val="32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r:id="rId341">
              <w:r>
                <w:rPr>
                  <w:rFonts w:ascii="Times New Roman" w:cs="Times New Roman" w:eastAsia="Times New Roman" w:hAnsi="Times New Roman"/>
                  <w:sz w:val="18"/>
                  <w:szCs w:val="18"/>
                  <w:u w:val="single" w:color="auto"/>
                  <w:color w:val="0000EE"/>
                </w:rPr>
                <w:t>2016 Stock Incentive Plan, as amended, and forms of award agreements.</w:t>
              </w:r>
            </w:hyperlink>
          </w:p>
        </w:tc>
        <w:tc>
          <w:tcPr>
            <w:tcW w:w="0" w:type="dxa"/>
            <w:vAlign w:val="bottom"/>
          </w:tcPr>
          <w:p>
            <w:pPr>
              <w:spacing w:after="0"/>
              <w:rPr>
                <w:sz w:val="1"/>
                <w:szCs w:val="1"/>
                <w:color w:val="auto"/>
              </w:rPr>
            </w:pPr>
          </w:p>
        </w:tc>
      </w:tr>
      <w:tr>
        <w:trPr>
          <w:trHeight w:val="30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2020 Equity Incentive Plan, to become effective on the date immediately prior to the date the registration statement is declared effective, and</w:t>
            </w: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forms of award agreements.</w:t>
            </w:r>
          </w:p>
        </w:tc>
        <w:tc>
          <w:tcPr>
            <w:tcW w:w="0" w:type="dxa"/>
            <w:vAlign w:val="bottom"/>
          </w:tcPr>
          <w:p>
            <w:pPr>
              <w:spacing w:after="0"/>
              <w:rPr>
                <w:sz w:val="1"/>
                <w:szCs w:val="1"/>
                <w:color w:val="auto"/>
              </w:rPr>
            </w:pPr>
          </w:p>
        </w:tc>
      </w:tr>
      <w:tr>
        <w:trPr>
          <w:trHeight w:val="30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2020 Employee Stock Purchase Plan, to become effective on the date the registration statement is declared effective, and forms of award</w:t>
            </w: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agreements.</w:t>
            </w:r>
          </w:p>
        </w:tc>
        <w:tc>
          <w:tcPr>
            <w:tcW w:w="0" w:type="dxa"/>
            <w:vAlign w:val="bottom"/>
          </w:tcPr>
          <w:p>
            <w:pPr>
              <w:spacing w:after="0"/>
              <w:rPr>
                <w:sz w:val="1"/>
                <w:szCs w:val="1"/>
                <w:color w:val="auto"/>
              </w:rPr>
            </w:pPr>
          </w:p>
        </w:tc>
      </w:tr>
      <w:tr>
        <w:trPr>
          <w:trHeight w:val="28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1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342">
              <w:r>
                <w:rPr>
                  <w:rFonts w:ascii="Times New Roman" w:cs="Times New Roman" w:eastAsia="Times New Roman" w:hAnsi="Times New Roman"/>
                  <w:sz w:val="18"/>
                  <w:szCs w:val="18"/>
                  <w:color w:val="0000EE"/>
                  <w:w w:val="99"/>
                </w:rPr>
                <w:t>Amended and Restated Entrepreneur Client License Agreement, dated June 7, 2020, by and between the Registrant and Delaware Innovation</w:t>
              </w:r>
            </w:hyperlink>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5"/>
              </w:rPr>
            </w:pPr>
            <w:hyperlink r:id="rId342">
              <w:r>
                <w:rPr>
                  <w:rFonts w:ascii="Times New Roman" w:cs="Times New Roman" w:eastAsia="Times New Roman" w:hAnsi="Times New Roman"/>
                  <w:sz w:val="18"/>
                  <w:szCs w:val="18"/>
                  <w:color w:val="0000EE"/>
                  <w:w w:val="95"/>
                </w:rPr>
                <w:t>Space, Inc.</w:t>
              </w:r>
            </w:hyperlink>
          </w:p>
        </w:tc>
        <w:tc>
          <w:tcPr>
            <w:tcW w:w="93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color w:val="0000EE"/>
              </w:rPr>
            </w:pPr>
            <w:hyperlink r:id="rId343">
              <w:r>
                <w:rPr>
                  <w:rFonts w:ascii="Times New Roman" w:cs="Times New Roman" w:eastAsia="Times New Roman" w:hAnsi="Times New Roman"/>
                  <w:sz w:val="18"/>
                  <w:szCs w:val="18"/>
                  <w:u w:val="single" w:color="auto"/>
                  <w:color w:val="0000EE"/>
                </w:rPr>
                <w:t>Employment Letter, dated October 5, 2017, by and between the Registrant and Krishna Vaddi</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32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color w:val="0000EE"/>
              </w:rPr>
            </w:pPr>
            <w:hyperlink r:id="rId344">
              <w:r>
                <w:rPr>
                  <w:rFonts w:ascii="Times New Roman" w:cs="Times New Roman" w:eastAsia="Times New Roman" w:hAnsi="Times New Roman"/>
                  <w:sz w:val="18"/>
                  <w:szCs w:val="18"/>
                  <w:u w:val="single" w:color="auto"/>
                  <w:color w:val="0000EE"/>
                </w:rPr>
                <w:t>Offer Letter, dated March 21, 2019, by and between the Registrant and Andrew P. Combs</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32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color w:val="0000EE"/>
              </w:rPr>
            </w:pPr>
            <w:hyperlink r:id="rId345">
              <w:r>
                <w:rPr>
                  <w:rFonts w:ascii="Times New Roman" w:cs="Times New Roman" w:eastAsia="Times New Roman" w:hAnsi="Times New Roman"/>
                  <w:sz w:val="18"/>
                  <w:szCs w:val="18"/>
                  <w:u w:val="single" w:color="auto"/>
                  <w:color w:val="0000EE"/>
                </w:rPr>
                <w:t>Offer Letter, dated April 4, 2019, by and between the Registrant and David Mauro</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32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r:id="rId346">
              <w:r>
                <w:rPr>
                  <w:rFonts w:ascii="Times New Roman" w:cs="Times New Roman" w:eastAsia="Times New Roman" w:hAnsi="Times New Roman"/>
                  <w:sz w:val="18"/>
                  <w:szCs w:val="18"/>
                  <w:u w:val="single" w:color="auto"/>
                  <w:color w:val="0000EE"/>
                </w:rPr>
                <w:t>Subsidiaries of the Registrant.</w:t>
              </w:r>
            </w:hyperlink>
          </w:p>
        </w:tc>
        <w:tc>
          <w:tcPr>
            <w:tcW w:w="0" w:type="dxa"/>
            <w:vAlign w:val="bottom"/>
          </w:tcPr>
          <w:p>
            <w:pPr>
              <w:spacing w:after="0"/>
              <w:rPr>
                <w:sz w:val="1"/>
                <w:szCs w:val="1"/>
                <w:color w:val="auto"/>
              </w:rPr>
            </w:pPr>
          </w:p>
        </w:tc>
      </w:tr>
      <w:tr>
        <w:trPr>
          <w:trHeight w:val="32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w:anchor="page329">
              <w:r>
                <w:rPr>
                  <w:rFonts w:ascii="Times New Roman" w:cs="Times New Roman" w:eastAsia="Times New Roman" w:hAnsi="Times New Roman"/>
                  <w:sz w:val="18"/>
                  <w:szCs w:val="18"/>
                  <w:u w:val="single" w:color="auto"/>
                  <w:color w:val="0000EE"/>
                </w:rPr>
                <w:t>Consent of Ernst &amp; Young LLP, an independent registered public accounting firm.</w:t>
              </w:r>
            </w:hyperlink>
          </w:p>
        </w:tc>
        <w:tc>
          <w:tcPr>
            <w:tcW w:w="0" w:type="dxa"/>
            <w:vAlign w:val="bottom"/>
          </w:tcPr>
          <w:p>
            <w:pPr>
              <w:spacing w:after="0"/>
              <w:rPr>
                <w:sz w:val="1"/>
                <w:szCs w:val="1"/>
                <w:color w:val="auto"/>
              </w:rPr>
            </w:pPr>
          </w:p>
        </w:tc>
      </w:tr>
      <w:tr>
        <w:trPr>
          <w:trHeight w:val="32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Consent of Fenwick &amp; West LLP (included in Exhibit 5.1).</w:t>
            </w:r>
          </w:p>
        </w:tc>
        <w:tc>
          <w:tcPr>
            <w:tcW w:w="0" w:type="dxa"/>
            <w:vAlign w:val="bottom"/>
          </w:tcPr>
          <w:p>
            <w:pPr>
              <w:spacing w:after="0"/>
              <w:rPr>
                <w:sz w:val="1"/>
                <w:szCs w:val="1"/>
                <w:color w:val="auto"/>
              </w:rPr>
            </w:pPr>
          </w:p>
        </w:tc>
      </w:tr>
      <w:tr>
        <w:trPr>
          <w:trHeight w:val="32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15"/>
                <w:szCs w:val="15"/>
                <w:color w:val="auto"/>
              </w:rPr>
              <w:t>#</w:t>
            </w:r>
          </w:p>
        </w:tc>
        <w:tc>
          <w:tcPr>
            <w:tcW w:w="540" w:type="dxa"/>
            <w:vAlign w:val="bottom"/>
          </w:tcPr>
          <w:p>
            <w:pPr>
              <w:spacing w:after="0"/>
              <w:rPr>
                <w:sz w:val="24"/>
                <w:szCs w:val="24"/>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r:id="rId347">
              <w:r>
                <w:rPr>
                  <w:rFonts w:ascii="Times New Roman" w:cs="Times New Roman" w:eastAsia="Times New Roman" w:hAnsi="Times New Roman"/>
                  <w:sz w:val="18"/>
                  <w:szCs w:val="18"/>
                  <w:u w:val="single" w:color="auto"/>
                  <w:color w:val="0000EE"/>
                </w:rPr>
                <w:t>Power of Attorney.</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810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148" w:lineRule="exact"/>
        <w:rPr>
          <w:sz w:val="20"/>
          <w:szCs w:val="20"/>
          <w:color w:val="auto"/>
        </w:rPr>
      </w:pPr>
    </w:p>
    <w:p>
      <w:pPr>
        <w:ind w:left="440" w:hanging="433"/>
        <w:spacing w:after="0"/>
        <w:tabs>
          <w:tab w:leader="none" w:pos="4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6" w:lineRule="exact"/>
        <w:rPr>
          <w:sz w:val="20"/>
          <w:szCs w:val="20"/>
          <w:color w:val="auto"/>
        </w:rPr>
      </w:pPr>
    </w:p>
    <w:p>
      <w:pPr>
        <w:ind w:left="440" w:hanging="433"/>
        <w:spacing w:after="0"/>
        <w:tabs>
          <w:tab w:leader="none" w:pos="4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The Registrant agrees to furnish supplementally a copy of</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omitted schedule or exhibit to the SEC upon request.</w:t>
      </w:r>
    </w:p>
    <w:p>
      <w:pPr>
        <w:spacing w:after="0" w:line="7" w:lineRule="exact"/>
        <w:rPr>
          <w:sz w:val="20"/>
          <w:szCs w:val="20"/>
          <w:color w:val="auto"/>
        </w:rPr>
      </w:pPr>
    </w:p>
    <w:p>
      <w:pPr>
        <w:ind w:left="440" w:hanging="433"/>
        <w:spacing w:after="0"/>
        <w:tabs>
          <w:tab w:leader="none" w:pos="4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5" w:lineRule="exact"/>
        <w:rPr>
          <w:sz w:val="20"/>
          <w:szCs w:val="20"/>
          <w:color w:val="auto"/>
        </w:rPr>
      </w:pPr>
    </w:p>
    <w:p>
      <w:pPr>
        <w:ind w:left="440" w:hanging="433"/>
        <w:spacing w:after="0"/>
        <w:tabs>
          <w:tab w:leader="none" w:pos="44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Previously filed.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454" w:right="3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 financial statement schedules are provided because the information called for is not required or is shown either in the financial statements or notes.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17.UNDERTAKINGS.</w:t>
      </w:r>
    </w:p>
    <w:p>
      <w:pPr>
        <w:spacing w:after="0" w:line="118" w:lineRule="exact"/>
        <w:rPr>
          <w:sz w:val="20"/>
          <w:szCs w:val="20"/>
          <w:color w:val="auto"/>
        </w:rPr>
      </w:pPr>
    </w:p>
    <w:p>
      <w:pPr>
        <w:ind w:right="20" w:firstLine="449"/>
        <w:spacing w:after="0" w:line="278"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completion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1" w:lineRule="exact"/>
        <w:rPr>
          <w:sz w:val="20"/>
          <w:szCs w:val="20"/>
          <w:color w:val="auto"/>
        </w:rPr>
      </w:pPr>
    </w:p>
    <w:p>
      <w:pPr>
        <w:ind w:right="140" w:firstLine="456"/>
        <w:spacing w:after="0" w:line="263" w:lineRule="auto"/>
        <w:tabs>
          <w:tab w:leader="none" w:pos="70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ind w:right="120" w:firstLine="456"/>
        <w:spacing w:after="0" w:line="263" w:lineRule="auto"/>
        <w:tabs>
          <w:tab w:leader="none" w:pos="70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80"/>
          </w:cols>
          <w:pgMar w:left="320" w:top="454" w:right="39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220" w:firstLine="449"/>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 signed on its behalf by the undersigned, thereunto duly authorized, in the City of Wilmington, State of Delaware, on the 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September, 2020.</w:t>
      </w:r>
    </w:p>
    <w:p>
      <w:pPr>
        <w:spacing w:after="0" w:line="30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187"/>
        </w:trPr>
        <w:tc>
          <w:tcPr>
            <w:tcW w:w="320" w:type="dxa"/>
            <w:vAlign w:val="bottom"/>
          </w:tcPr>
          <w:p>
            <w:pPr>
              <w:spacing w:after="0"/>
              <w:rPr>
                <w:sz w:val="16"/>
                <w:szCs w:val="16"/>
                <w:color w:val="auto"/>
              </w:rPr>
            </w:pPr>
          </w:p>
        </w:tc>
        <w:tc>
          <w:tcPr>
            <w:tcW w:w="41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35"/>
        </w:trPr>
        <w:tc>
          <w:tcPr>
            <w:tcW w:w="32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195" w:lineRule="exact"/>
        <w:rPr>
          <w:sz w:val="20"/>
          <w:szCs w:val="20"/>
          <w:color w:val="auto"/>
        </w:rPr>
      </w:pPr>
    </w:p>
    <w:p>
      <w:pPr>
        <w:ind w:right="440" w:firstLine="449"/>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60" w:type="dxa"/>
            <w:vAlign w:val="bottom"/>
          </w:tcPr>
          <w:p>
            <w:pPr>
              <w:spacing w:after="0"/>
              <w:rPr>
                <w:sz w:val="14"/>
                <w:szCs w:val="14"/>
                <w:color w:val="auto"/>
              </w:rPr>
            </w:pPr>
          </w:p>
        </w:tc>
      </w:tr>
      <w:tr>
        <w:trPr>
          <w:trHeight w:val="421"/>
        </w:trPr>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center"/>
              <w:ind w:right="1691"/>
              <w:spacing w:after="0"/>
              <w:rPr>
                <w:sz w:val="20"/>
                <w:szCs w:val="20"/>
                <w:color w:val="auto"/>
              </w:rPr>
            </w:pPr>
            <w:r>
              <w:rPr>
                <w:rFonts w:ascii="Times New Roman" w:cs="Times New Roman" w:eastAsia="Times New Roman" w:hAnsi="Times New Roman"/>
                <w:sz w:val="18"/>
                <w:szCs w:val="18"/>
                <w:color w:val="auto"/>
                <w:w w:val="97"/>
              </w:rPr>
              <w:t>/s/ Krishna Vaddi</w:t>
            </w: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82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September 16, 2020</w:t>
            </w:r>
          </w:p>
        </w:tc>
      </w:tr>
      <w:tr>
        <w:trPr>
          <w:trHeight w:val="226"/>
        </w:trPr>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300" w:type="dxa"/>
            <w:vAlign w:val="bottom"/>
            <w:gridSpan w:val="4"/>
          </w:tcPr>
          <w:p>
            <w:pPr>
              <w:jc w:val="center"/>
              <w:ind w:right="1691"/>
              <w:spacing w:after="0"/>
              <w:rPr>
                <w:sz w:val="20"/>
                <w:szCs w:val="20"/>
                <w:color w:val="auto"/>
              </w:rPr>
            </w:pPr>
            <w:r>
              <w:rPr>
                <w:rFonts w:ascii="Times New Roman" w:cs="Times New Roman" w:eastAsia="Times New Roman" w:hAnsi="Times New Roman"/>
                <w:sz w:val="18"/>
                <w:szCs w:val="18"/>
                <w:color w:val="auto"/>
                <w:w w:val="97"/>
              </w:rPr>
              <w:t>Krishna Vaddi, Ph.D.</w:t>
            </w: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2"/>
        </w:trPr>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871"/>
              <w:spacing w:after="0"/>
              <w:rPr>
                <w:sz w:val="20"/>
                <w:szCs w:val="20"/>
                <w:color w:val="auto"/>
              </w:rPr>
            </w:pPr>
            <w:r>
              <w:rPr>
                <w:rFonts w:ascii="Times New Roman" w:cs="Times New Roman" w:eastAsia="Times New Roman" w:hAnsi="Times New Roman"/>
                <w:sz w:val="18"/>
                <w:szCs w:val="18"/>
                <w:color w:val="auto"/>
                <w:w w:val="99"/>
              </w:rPr>
              <w:t>/s/ Brian Piper</w:t>
            </w: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2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September 16, 2020</w:t>
            </w:r>
          </w:p>
        </w:tc>
      </w:tr>
      <w:tr>
        <w:trPr>
          <w:trHeight w:val="226"/>
        </w:trPr>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300" w:type="dxa"/>
            <w:vAlign w:val="bottom"/>
            <w:gridSpan w:val="4"/>
          </w:tcPr>
          <w:p>
            <w:pPr>
              <w:jc w:val="center"/>
              <w:ind w:right="1691"/>
              <w:spacing w:after="0"/>
              <w:rPr>
                <w:sz w:val="20"/>
                <w:szCs w:val="20"/>
                <w:color w:val="auto"/>
              </w:rPr>
            </w:pPr>
            <w:r>
              <w:rPr>
                <w:rFonts w:ascii="Times New Roman" w:cs="Times New Roman" w:eastAsia="Times New Roman" w:hAnsi="Times New Roman"/>
                <w:sz w:val="18"/>
                <w:szCs w:val="18"/>
                <w:color w:val="auto"/>
                <w:w w:val="98"/>
              </w:rPr>
              <w:t>Brian Piper, M.B.A.</w:t>
            </w: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2"/>
        </w:trPr>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2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September 16, 2020</w:t>
            </w:r>
          </w:p>
        </w:tc>
      </w:tr>
      <w:tr>
        <w:trPr>
          <w:trHeight w:val="226"/>
        </w:trPr>
        <w:tc>
          <w:tcPr>
            <w:tcW w:w="400" w:type="dxa"/>
            <w:vAlign w:val="bottom"/>
          </w:tcPr>
          <w:p>
            <w:pPr>
              <w:spacing w:after="0"/>
              <w:rPr>
                <w:sz w:val="19"/>
                <w:szCs w:val="19"/>
                <w:color w:val="auto"/>
              </w:rPr>
            </w:pPr>
          </w:p>
        </w:tc>
        <w:tc>
          <w:tcPr>
            <w:tcW w:w="4680" w:type="dxa"/>
            <w:vAlign w:val="bottom"/>
            <w:gridSpan w:val="5"/>
          </w:tcPr>
          <w:p>
            <w:pPr>
              <w:jc w:val="center"/>
              <w:ind w:right="311"/>
              <w:spacing w:after="0"/>
              <w:rPr>
                <w:sz w:val="20"/>
                <w:szCs w:val="20"/>
                <w:color w:val="auto"/>
              </w:rPr>
            </w:pPr>
            <w:r>
              <w:rPr>
                <w:rFonts w:ascii="Times New Roman" w:cs="Times New Roman" w:eastAsia="Times New Roman" w:hAnsi="Times New Roman"/>
                <w:sz w:val="18"/>
                <w:szCs w:val="18"/>
                <w:color w:val="auto"/>
                <w:w w:val="98"/>
              </w:rPr>
              <w:t>Paul A. Friedman, M.D.</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2"/>
        </w:trPr>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2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September 16, 2020</w:t>
            </w:r>
          </w:p>
        </w:tc>
      </w:tr>
      <w:tr>
        <w:trPr>
          <w:trHeight w:val="226"/>
        </w:trPr>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300" w:type="dxa"/>
            <w:vAlign w:val="bottom"/>
            <w:gridSpan w:val="4"/>
          </w:tcPr>
          <w:p>
            <w:pPr>
              <w:jc w:val="center"/>
              <w:ind w:right="1671"/>
              <w:spacing w:after="0"/>
              <w:rPr>
                <w:sz w:val="20"/>
                <w:szCs w:val="20"/>
                <w:color w:val="auto"/>
              </w:rPr>
            </w:pPr>
            <w:r>
              <w:rPr>
                <w:rFonts w:ascii="Times New Roman" w:cs="Times New Roman" w:eastAsia="Times New Roman" w:hAnsi="Times New Roman"/>
                <w:sz w:val="18"/>
                <w:szCs w:val="18"/>
                <w:color w:val="auto"/>
                <w:w w:val="98"/>
              </w:rPr>
              <w:t>David Bonita, M.D.</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2"/>
        </w:trPr>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2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September 16, 2020</w:t>
            </w:r>
          </w:p>
        </w:tc>
      </w:tr>
      <w:tr>
        <w:trPr>
          <w:trHeight w:val="226"/>
        </w:trPr>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3"/>
          </w:tcPr>
          <w:p>
            <w:pPr>
              <w:jc w:val="center"/>
              <w:ind w:right="1871"/>
              <w:spacing w:after="0"/>
              <w:rPr>
                <w:sz w:val="20"/>
                <w:szCs w:val="20"/>
                <w:color w:val="auto"/>
              </w:rPr>
            </w:pPr>
            <w:r>
              <w:rPr>
                <w:rFonts w:ascii="Times New Roman" w:cs="Times New Roman" w:eastAsia="Times New Roman" w:hAnsi="Times New Roman"/>
                <w:sz w:val="18"/>
                <w:szCs w:val="18"/>
                <w:color w:val="auto"/>
                <w:w w:val="98"/>
              </w:rPr>
              <w:t>Mardi C. Dier</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2"/>
        </w:trPr>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2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September 16, 2020</w:t>
            </w:r>
          </w:p>
        </w:tc>
      </w:tr>
      <w:tr>
        <w:trPr>
          <w:trHeight w:val="226"/>
        </w:trPr>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300" w:type="dxa"/>
            <w:vAlign w:val="bottom"/>
            <w:gridSpan w:val="4"/>
          </w:tcPr>
          <w:p>
            <w:pPr>
              <w:jc w:val="center"/>
              <w:ind w:right="1691"/>
              <w:spacing w:after="0"/>
              <w:rPr>
                <w:sz w:val="20"/>
                <w:szCs w:val="20"/>
                <w:color w:val="auto"/>
              </w:rPr>
            </w:pPr>
            <w:r>
              <w:rPr>
                <w:rFonts w:ascii="Times New Roman" w:cs="Times New Roman" w:eastAsia="Times New Roman" w:hAnsi="Times New Roman"/>
                <w:sz w:val="18"/>
                <w:szCs w:val="18"/>
                <w:color w:val="auto"/>
                <w:w w:val="98"/>
              </w:rPr>
              <w:t>Kelvin Neu, M.D.</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2"/>
        </w:trPr>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2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September 16, 2020</w:t>
            </w:r>
          </w:p>
        </w:tc>
      </w:tr>
      <w:tr>
        <w:trPr>
          <w:trHeight w:val="226"/>
        </w:trPr>
        <w:tc>
          <w:tcPr>
            <w:tcW w:w="400" w:type="dxa"/>
            <w:vAlign w:val="bottom"/>
          </w:tcPr>
          <w:p>
            <w:pPr>
              <w:spacing w:after="0"/>
              <w:rPr>
                <w:sz w:val="19"/>
                <w:szCs w:val="19"/>
                <w:color w:val="auto"/>
              </w:rPr>
            </w:pPr>
          </w:p>
        </w:tc>
        <w:tc>
          <w:tcPr>
            <w:tcW w:w="4680" w:type="dxa"/>
            <w:vAlign w:val="bottom"/>
            <w:gridSpan w:val="5"/>
          </w:tcPr>
          <w:p>
            <w:pPr>
              <w:jc w:val="center"/>
              <w:ind w:right="291"/>
              <w:spacing w:after="0"/>
              <w:rPr>
                <w:sz w:val="20"/>
                <w:szCs w:val="20"/>
                <w:color w:val="auto"/>
              </w:rPr>
            </w:pPr>
            <w:r>
              <w:rPr>
                <w:rFonts w:ascii="Times New Roman" w:cs="Times New Roman" w:eastAsia="Times New Roman" w:hAnsi="Times New Roman"/>
                <w:sz w:val="18"/>
                <w:szCs w:val="18"/>
                <w:color w:val="auto"/>
                <w:w w:val="98"/>
              </w:rPr>
              <w:t>Victor Sandor, M.D.C.M.</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63"/>
        </w:trPr>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/s/Krishna Vaddi</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16, 2020</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2"/>
        </w:trPr>
        <w:tc>
          <w:tcPr>
            <w:tcW w:w="400" w:type="dxa"/>
            <w:vAlign w:val="bottom"/>
          </w:tcPr>
          <w:p>
            <w:pPr>
              <w:spacing w:after="0"/>
              <w:rPr>
                <w:sz w:val="17"/>
                <w:szCs w:val="17"/>
                <w:color w:val="auto"/>
              </w:rPr>
            </w:pPr>
          </w:p>
        </w:tc>
        <w:tc>
          <w:tcPr>
            <w:tcW w:w="13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Krishna Vaddi</w:t>
            </w:r>
          </w:p>
        </w:tc>
        <w:tc>
          <w:tcPr>
            <w:tcW w:w="1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3"/>
        </w:trPr>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Attorney-in-Fact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454"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2020</w:t>
      </w:r>
    </w:p>
    <w:p>
      <w:pPr>
        <w:sectPr>
          <w:pgSz w:w="11900" w:h="16838" w:orient="portrait"/>
          <w:cols w:equalWidth="0" w:num="1">
            <w:col w:w="10920"/>
          </w:cols>
          <w:pgMar w:left="480" w:top="117" w:right="49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named in Schedule I hereto</w:t>
      </w:r>
    </w:p>
    <w:p>
      <w:pPr>
        <w:sectPr>
          <w:pgSz w:w="11900" w:h="16838" w:orient="portrait"/>
          <w:cols w:equalWidth="0" w:num="1">
            <w:col w:w="10920"/>
          </w:cols>
          <w:pgMar w:left="480" w:top="268" w:right="499" w:bottom="1440" w:gutter="0" w:footer="0" w:header="0"/>
        </w:sectPr>
      </w:pP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10036</w:t>
      </w:r>
    </w:p>
    <w:p>
      <w:pPr>
        <w:spacing w:after="0" w:line="120" w:lineRule="exact"/>
        <w:rPr>
          <w:sz w:val="20"/>
          <w:szCs w:val="20"/>
          <w:color w:val="auto"/>
        </w:rPr>
      </w:pPr>
    </w:p>
    <w:p>
      <w:pPr>
        <w:sectPr>
          <w:pgSz w:w="11900" w:h="16838" w:orient="portrait"/>
          <w:cols w:equalWidth="0" w:num="2">
            <w:col w:w="220" w:space="220"/>
            <w:col w:w="10480"/>
          </w:cols>
          <w:pgMar w:left="480" w:top="268"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10282</w:t>
      </w:r>
    </w:p>
    <w:p>
      <w:pPr>
        <w:spacing w:after="0" w:line="120" w:lineRule="exact"/>
        <w:rPr>
          <w:sz w:val="20"/>
          <w:szCs w:val="20"/>
          <w:color w:val="auto"/>
        </w:rPr>
      </w:pPr>
    </w:p>
    <w:p>
      <w:pPr>
        <w:sectPr>
          <w:pgSz w:w="11900" w:h="16838" w:orient="portrait"/>
          <w:cols w:equalWidth="0" w:num="2">
            <w:col w:w="220" w:space="220"/>
            <w:col w:w="10480"/>
          </w:cols>
          <w:pgMar w:left="480" w:top="268"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10036</w:t>
      </w:r>
    </w:p>
    <w:p>
      <w:pPr>
        <w:spacing w:after="0" w:line="200" w:lineRule="exact"/>
        <w:rPr>
          <w:sz w:val="20"/>
          <w:szCs w:val="20"/>
          <w:color w:val="auto"/>
        </w:rPr>
      </w:pPr>
    </w:p>
    <w:p>
      <w:pPr>
        <w:sectPr>
          <w:pgSz w:w="11900" w:h="16838" w:orient="portrait"/>
          <w:cols w:equalWidth="0" w:num="2">
            <w:col w:w="220" w:space="220"/>
            <w:col w:w="10480"/>
          </w:cols>
          <w:pgMar w:left="480" w:top="268" w:right="49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Prelude Therapeutics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 shares of its voting common stock, par value $0.0001 per share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The Company also proposes to issue and sell to the several Underwriters not more than an additional [•] shares of its voting common stock, par value $0.0001 per share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Morgan Stanley &amp; Co. LLC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Goldman Sachs &amp; Co. LLC (“</w:t>
      </w:r>
      <w:r>
        <w:rPr>
          <w:rFonts w:ascii="Times New Roman" w:cs="Times New Roman" w:eastAsia="Times New Roman" w:hAnsi="Times New Roman"/>
          <w:sz w:val="18"/>
          <w:szCs w:val="18"/>
          <w:b w:val="1"/>
          <w:bCs w:val="1"/>
          <w:color w:val="auto"/>
        </w:rPr>
        <w:t>Goldman Sachs</w:t>
      </w:r>
      <w:r>
        <w:rPr>
          <w:rFonts w:ascii="Times New Roman" w:cs="Times New Roman" w:eastAsia="Times New Roman" w:hAnsi="Times New Roman"/>
          <w:sz w:val="18"/>
          <w:szCs w:val="18"/>
          <w:color w:val="auto"/>
        </w:rPr>
        <w:t>”) and BofA Securities, Inc. (“</w:t>
      </w:r>
      <w:r>
        <w:rPr>
          <w:rFonts w:ascii="Times New Roman" w:cs="Times New Roman" w:eastAsia="Times New Roman" w:hAnsi="Times New Roman"/>
          <w:sz w:val="18"/>
          <w:szCs w:val="18"/>
          <w:b w:val="1"/>
          <w:bCs w:val="1"/>
          <w:color w:val="auto"/>
        </w:rPr>
        <w:t>BofAS</w:t>
      </w:r>
      <w:r>
        <w:rPr>
          <w:rFonts w:ascii="Times New Roman" w:cs="Times New Roman" w:eastAsia="Times New Roman" w:hAnsi="Times New Roman"/>
          <w:sz w:val="18"/>
          <w:szCs w:val="18"/>
          <w:color w:val="auto"/>
        </w:rPr>
        <w:t>”),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the several Underwriters, shall have determined to exercise, on behalf of the Underwriters, the right to purchase such shares of voting common stock granted to the Underwriters in Section 2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shares of voting common stock, par value $0.0001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shares of non-voting common stock, par value $0.0001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Non-Voting Common Stock</w:t>
      </w:r>
      <w:r>
        <w:rPr>
          <w:rFonts w:ascii="Times New Roman" w:cs="Times New Roman" w:eastAsia="Times New Roman" w:hAnsi="Times New Roman"/>
          <w:sz w:val="18"/>
          <w:szCs w:val="18"/>
          <w:color w:val="auto"/>
        </w:rPr>
        <w:t>”).</w:t>
      </w:r>
    </w:p>
    <w:p>
      <w:pPr>
        <w:sectPr>
          <w:pgSz w:w="11900" w:h="16838" w:orient="portrait"/>
          <w:cols w:equalWidth="0" w:num="1">
            <w:col w:w="10920"/>
          </w:cols>
          <w:pgMar w:left="480" w:top="268" w:right="499" w:bottom="1440" w:gutter="0" w:footer="0" w:header="0"/>
          <w:type w:val="continuous"/>
        </w:sectPr>
      </w:pPr>
    </w:p>
    <w:bookmarkStart w:id="245" w:name="page246"/>
    <w:bookmarkEnd w:id="245"/>
    <w:p>
      <w:pPr>
        <w:ind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S-1 (File No. 333-248628),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If the Company has filed an abbreviated registration statement to register additional shares of Common Stock pursuant to Rule 462(b) under the Securities Act (the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deemed to include such Rule 462 Registration Statement.</w:t>
      </w:r>
    </w:p>
    <w:p>
      <w:pPr>
        <w:spacing w:after="0" w:line="180" w:lineRule="exact"/>
        <w:rPr>
          <w:sz w:val="20"/>
          <w:szCs w:val="20"/>
          <w:color w:val="auto"/>
        </w:rPr>
      </w:pPr>
    </w:p>
    <w:p>
      <w:pPr>
        <w:ind w:right="100" w:firstLine="436"/>
        <w:spacing w:after="0" w:line="253"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each prospectus used prior to the effectiveness of the Registration Statement, and each prospectus that omitted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Rule 430A under the Securities Act that was used after such effectiveness and prior to the execution and delivery of this Agreement,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Sale Prospectus</w:t>
      </w:r>
      <w:r>
        <w:rPr>
          <w:rFonts w:ascii="Times New Roman" w:cs="Times New Roman" w:eastAsia="Times New Roman" w:hAnsi="Times New Roman"/>
          <w:sz w:val="18"/>
          <w:szCs w:val="18"/>
          <w:color w:val="auto"/>
        </w:rPr>
        <w:t>” means the preliminary prospectus contained in the Registration Statement at the time of its effectiveness together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pricing information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84"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Morgan Stanley has agreed to reserve a portion of the Shares to be purchased by it under this Agreement for sale to the Company’s directors, officers, employees and business associates and other parties related to the Company (collectively,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as set forth in each of the Time of Sale Prospectus and the Prospectus under the heading “Underwriters” (the “</w:t>
      </w:r>
      <w:r>
        <w:rPr>
          <w:rFonts w:ascii="Times New Roman" w:cs="Times New Roman" w:eastAsia="Times New Roman" w:hAnsi="Times New Roman"/>
          <w:sz w:val="18"/>
          <w:szCs w:val="18"/>
          <w:b w:val="1"/>
          <w:bCs w:val="1"/>
          <w:color w:val="auto"/>
        </w:rPr>
        <w:t>Directed Share Program</w:t>
      </w:r>
      <w:r>
        <w:rPr>
          <w:rFonts w:ascii="Times New Roman" w:cs="Times New Roman" w:eastAsia="Times New Roman" w:hAnsi="Times New Roman"/>
          <w:sz w:val="18"/>
          <w:szCs w:val="18"/>
          <w:color w:val="auto"/>
        </w:rPr>
        <w:t>”). The Shares to be sold by Morgan Stanley and its affiliates pursuant to the Directed Share Program, at the direction of the Company, are referred to hereinafter as the “</w:t>
      </w:r>
      <w:r>
        <w:rPr>
          <w:rFonts w:ascii="Times New Roman" w:cs="Times New Roman" w:eastAsia="Times New Roman" w:hAnsi="Times New Roman"/>
          <w:sz w:val="18"/>
          <w:szCs w:val="18"/>
          <w:b w:val="1"/>
          <w:bCs w:val="1"/>
          <w:color w:val="auto"/>
        </w:rPr>
        <w:t>Directed Shares</w:t>
      </w:r>
      <w:r>
        <w:rPr>
          <w:rFonts w:ascii="Times New Roman" w:cs="Times New Roman" w:eastAsia="Times New Roman" w:hAnsi="Times New Roman"/>
          <w:sz w:val="18"/>
          <w:szCs w:val="18"/>
          <w:color w:val="auto"/>
        </w:rPr>
        <w:t>”. Any Directed Shares not orally confirmed for purchase by any Participant by the end of the business day on which this Agreement is executed will be offered to the public by the Underwriters as set forth in the Prospectus.</w:t>
      </w:r>
    </w:p>
    <w:p>
      <w:pPr>
        <w:spacing w:after="0" w:line="182" w:lineRule="exact"/>
        <w:rPr>
          <w:sz w:val="20"/>
          <w:szCs w:val="20"/>
          <w:color w:val="auto"/>
        </w:rPr>
      </w:pPr>
    </w:p>
    <w:p>
      <w:pPr>
        <w:ind w:left="1160" w:hanging="170"/>
        <w:spacing w:after="0"/>
        <w:tabs>
          <w:tab w:leader="none" w:pos="11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115" w:lineRule="exact"/>
        <w:rPr>
          <w:rFonts w:ascii="Times New Roman" w:cs="Times New Roman" w:eastAsia="Times New Roman" w:hAnsi="Times New Roman"/>
          <w:sz w:val="18"/>
          <w:szCs w:val="18"/>
          <w:color w:val="auto"/>
        </w:rPr>
      </w:pPr>
    </w:p>
    <w:p>
      <w:pPr>
        <w:ind w:left="440" w:right="220" w:firstLine="423"/>
        <w:spacing w:after="0" w:line="263" w:lineRule="auto"/>
        <w:tabs>
          <w:tab w:leader="none" w:pos="110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ectPr>
          <w:pgSz w:w="11900" w:h="16838" w:orient="portrait"/>
          <w:cols w:equalWidth="0" w:num="1">
            <w:col w:w="10900"/>
          </w:cols>
          <w:pgMar w:left="480" w:top="264" w:right="519" w:bottom="1440" w:gutter="0" w:footer="0" w:header="0"/>
        </w:sectPr>
      </w:pPr>
    </w:p>
    <w:bookmarkStart w:id="246" w:name="page247"/>
    <w:bookmarkEnd w:id="246"/>
    <w:p>
      <w:pPr>
        <w:ind w:left="-423" w:firstLine="423"/>
        <w:spacing w:after="0" w:line="249" w:lineRule="auto"/>
        <w:tabs>
          <w:tab w:leader="none" w:pos="24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 it being understood and agreed upon that the only such information furnished by any Underwriter consists of the following information in the Prospectus furnished on behalf of each Underwriter: the information contained in the fourteenth paragraph regarding stabilizing transactions under the caption “Underwriters” (collectively,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423" w:right="40" w:firstLine="423"/>
        <w:spacing w:after="0" w:line="251" w:lineRule="auto"/>
        <w:tabs>
          <w:tab w:leader="none" w:pos="23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ectPr>
          <w:pgSz w:w="11900" w:h="16838" w:orient="portrait"/>
          <w:cols w:equalWidth="0" w:num="1">
            <w:col w:w="10037"/>
          </w:cols>
          <w:pgMar w:left="1343" w:top="268" w:right="519" w:bottom="1440" w:gutter="0" w:footer="0" w:header="0"/>
        </w:sectPr>
      </w:pPr>
    </w:p>
    <w:bookmarkStart w:id="247" w:name="page248"/>
    <w:bookmarkEnd w:id="247"/>
    <w:p>
      <w:pPr>
        <w:jc w:val="both"/>
        <w:ind w:left="-423" w:right="100" w:firstLine="423"/>
        <w:spacing w:after="0" w:line="274" w:lineRule="auto"/>
        <w:tabs>
          <w:tab w:leader="none" w:pos="249"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has been duly incorporated,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(as defined herein) on the Company.</w:t>
      </w:r>
    </w:p>
    <w:p>
      <w:pPr>
        <w:spacing w:after="0" w:line="61" w:lineRule="exact"/>
        <w:rPr>
          <w:rFonts w:ascii="Times New Roman" w:cs="Times New Roman" w:eastAsia="Times New Roman" w:hAnsi="Times New Roman"/>
          <w:sz w:val="17"/>
          <w:szCs w:val="17"/>
          <w:color w:val="auto"/>
        </w:rPr>
      </w:pPr>
    </w:p>
    <w:p>
      <w:pPr>
        <w:ind w:left="-423" w:right="20" w:firstLine="423"/>
        <w:spacing w:after="0" w:line="278" w:lineRule="auto"/>
        <w:tabs>
          <w:tab w:leader="none" w:pos="23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 (as defined in Rule 405 under the Securities Act) and the Company does not own or control, directly or indirectly, any corporation, association or other entity.</w:t>
      </w:r>
    </w:p>
    <w:p>
      <w:pPr>
        <w:spacing w:after="0" w:line="55" w:lineRule="exact"/>
        <w:rPr>
          <w:rFonts w:ascii="Times New Roman" w:cs="Times New Roman" w:eastAsia="Times New Roman" w:hAnsi="Times New Roman"/>
          <w:sz w:val="18"/>
          <w:szCs w:val="18"/>
          <w:color w:val="auto"/>
        </w:rPr>
      </w:pPr>
    </w:p>
    <w:p>
      <w:pPr>
        <w:ind w:left="217" w:hanging="217"/>
        <w:spacing w:after="0"/>
        <w:tabs>
          <w:tab w:leader="none" w:pos="21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3" w:lineRule="exact"/>
        <w:rPr>
          <w:rFonts w:ascii="Times New Roman" w:cs="Times New Roman" w:eastAsia="Times New Roman" w:hAnsi="Times New Roman"/>
          <w:sz w:val="18"/>
          <w:szCs w:val="18"/>
          <w:color w:val="auto"/>
        </w:rPr>
      </w:pPr>
    </w:p>
    <w:p>
      <w:pPr>
        <w:ind w:left="-423" w:right="120" w:firstLine="423"/>
        <w:spacing w:after="0" w:line="278" w:lineRule="auto"/>
        <w:tabs>
          <w:tab w:leader="none" w:pos="24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in all material respects as to legal matters to the description thereof contained in each of the Registration Statement, the Time of Sale Prospectus and the Prospectus.</w:t>
      </w:r>
    </w:p>
    <w:p>
      <w:pPr>
        <w:spacing w:after="0" w:line="55" w:lineRule="exact"/>
        <w:rPr>
          <w:rFonts w:ascii="Times New Roman" w:cs="Times New Roman" w:eastAsia="Times New Roman" w:hAnsi="Times New Roman"/>
          <w:sz w:val="18"/>
          <w:szCs w:val="18"/>
          <w:color w:val="auto"/>
        </w:rPr>
      </w:pPr>
    </w:p>
    <w:p>
      <w:pPr>
        <w:ind w:left="-423" w:right="40" w:firstLine="423"/>
        <w:spacing w:after="0" w:line="278" w:lineRule="auto"/>
        <w:tabs>
          <w:tab w:leader="none" w:pos="24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outstanding prior to the issuance of the Shares have been duly authorized and are validly issued, fully paid and non-assessable.</w:t>
      </w:r>
    </w:p>
    <w:p>
      <w:pPr>
        <w:spacing w:after="0" w:line="55" w:lineRule="exact"/>
        <w:rPr>
          <w:rFonts w:ascii="Times New Roman" w:cs="Times New Roman" w:eastAsia="Times New Roman" w:hAnsi="Times New Roman"/>
          <w:sz w:val="18"/>
          <w:szCs w:val="18"/>
          <w:color w:val="auto"/>
        </w:rPr>
      </w:pPr>
    </w:p>
    <w:p>
      <w:pPr>
        <w:jc w:val="both"/>
        <w:ind w:left="-423" w:right="180" w:firstLine="423"/>
        <w:spacing w:after="0" w:line="263" w:lineRule="auto"/>
        <w:tabs>
          <w:tab w:leader="none" w:pos="20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w:t>
      </w:r>
    </w:p>
    <w:p>
      <w:pPr>
        <w:spacing w:after="0" w:line="68" w:lineRule="exact"/>
        <w:rPr>
          <w:rFonts w:ascii="Times New Roman" w:cs="Times New Roman" w:eastAsia="Times New Roman" w:hAnsi="Times New Roman"/>
          <w:sz w:val="18"/>
          <w:szCs w:val="18"/>
          <w:color w:val="auto"/>
        </w:rPr>
      </w:pPr>
    </w:p>
    <w:p>
      <w:pPr>
        <w:ind w:left="-423" w:firstLine="423"/>
        <w:spacing w:after="0" w:line="251" w:lineRule="auto"/>
        <w:tabs>
          <w:tab w:leader="none" w:pos="20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in the case of clauses (iii) and (iv), as would not, individually or in the aggregate, reasonably be expected to have a material adverse effect on the company or the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have been obtained or validly waived or as may be required by the securities or Blue Sky laws of the various states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or the Nasdaq Global Market in connection with the offer and sale of the Shares.</w:t>
      </w:r>
    </w:p>
    <w:p>
      <w:pPr>
        <w:sectPr>
          <w:pgSz w:w="11900" w:h="16838" w:orient="portrait"/>
          <w:cols w:equalWidth="0" w:num="1">
            <w:col w:w="10037"/>
          </w:cols>
          <w:pgMar w:left="1343" w:top="268" w:right="519" w:bottom="1440" w:gutter="0" w:footer="0" w:header="0"/>
        </w:sectPr>
      </w:pPr>
    </w:p>
    <w:bookmarkStart w:id="248" w:name="page249"/>
    <w:bookmarkEnd w:id="248"/>
    <w:p>
      <w:pPr>
        <w:ind w:left="-423" w:firstLine="423"/>
        <w:spacing w:after="0" w:line="263" w:lineRule="auto"/>
        <w:tabs>
          <w:tab w:leader="none" w:pos="24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There has not occurred any material adverse change, or any development involving a prospective material adverse change, in the condition, financial or otherwise, or in the earnings, business or operations of the Company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from that set forth in the Time of Sale Prospectus.</w:t>
      </w:r>
    </w:p>
    <w:p>
      <w:pPr>
        <w:spacing w:after="0" w:line="68" w:lineRule="exact"/>
        <w:rPr>
          <w:rFonts w:ascii="Times New Roman" w:cs="Times New Roman" w:eastAsia="Times New Roman" w:hAnsi="Times New Roman"/>
          <w:sz w:val="18"/>
          <w:szCs w:val="18"/>
          <w:color w:val="auto"/>
        </w:rPr>
      </w:pPr>
    </w:p>
    <w:p>
      <w:pPr>
        <w:ind w:left="-423" w:right="20" w:firstLine="423"/>
        <w:spacing w:after="0" w:line="251" w:lineRule="auto"/>
        <w:tabs>
          <w:tab w:leader="none" w:pos="20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Company’s knowledge, threatened to which the Company is a party or to which any of the properties of the Company is subject (i) other than proceedings accurately described in all material respects in each of the Registration Statement, the Time of Sale Prospectus and the Prospectus and proceedings that would not, singly or in the aggregate, have a material adverse effect on the Company,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w:t>
      </w:r>
    </w:p>
    <w:p>
      <w:pPr>
        <w:spacing w:after="0" w:line="84" w:lineRule="exact"/>
        <w:rPr>
          <w:rFonts w:ascii="Times New Roman" w:cs="Times New Roman" w:eastAsia="Times New Roman" w:hAnsi="Times New Roman"/>
          <w:sz w:val="18"/>
          <w:szCs w:val="18"/>
          <w:color w:val="auto"/>
        </w:rPr>
      </w:pPr>
    </w:p>
    <w:p>
      <w:pPr>
        <w:ind w:left="-423" w:right="100" w:firstLine="423"/>
        <w:spacing w:after="0" w:line="263" w:lineRule="auto"/>
        <w:tabs>
          <w:tab w:leader="none" w:pos="29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8" w:lineRule="exact"/>
        <w:rPr>
          <w:rFonts w:ascii="Times New Roman" w:cs="Times New Roman" w:eastAsia="Times New Roman" w:hAnsi="Times New Roman"/>
          <w:sz w:val="18"/>
          <w:szCs w:val="18"/>
          <w:color w:val="auto"/>
        </w:rPr>
      </w:pPr>
    </w:p>
    <w:p>
      <w:pPr>
        <w:jc w:val="both"/>
        <w:ind w:left="-423" w:right="20" w:firstLine="423"/>
        <w:spacing w:after="0" w:line="263" w:lineRule="auto"/>
        <w:tabs>
          <w:tab w:leader="none" w:pos="24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68" w:lineRule="exact"/>
        <w:rPr>
          <w:rFonts w:ascii="Times New Roman" w:cs="Times New Roman" w:eastAsia="Times New Roman" w:hAnsi="Times New Roman"/>
          <w:sz w:val="18"/>
          <w:szCs w:val="18"/>
          <w:color w:val="auto"/>
        </w:rPr>
      </w:pPr>
    </w:p>
    <w:p>
      <w:pPr>
        <w:ind w:left="-423" w:right="20" w:firstLine="423"/>
        <w:spacing w:after="0" w:line="253" w:lineRule="auto"/>
        <w:tabs>
          <w:tab w:leader="none" w:pos="24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(ii) has received all permits, licenses or other approvals required of them under applicable Environmental Laws to conduct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w:t>
      </w:r>
    </w:p>
    <w:p>
      <w:pPr>
        <w:sectPr>
          <w:pgSz w:w="11900" w:h="16838" w:orient="portrait"/>
          <w:cols w:equalWidth="0" w:num="1">
            <w:col w:w="10057"/>
          </w:cols>
          <w:pgMar w:left="1343" w:top="268" w:right="499" w:bottom="1440" w:gutter="0" w:footer="0" w:header="0"/>
        </w:sectPr>
      </w:pPr>
    </w:p>
    <w:bookmarkStart w:id="249" w:name="page250"/>
    <w:bookmarkEnd w:id="249"/>
    <w:p>
      <w:pPr>
        <w:jc w:val="both"/>
        <w:ind w:left="-423" w:right="40" w:firstLine="423"/>
        <w:spacing w:after="0" w:line="258" w:lineRule="auto"/>
        <w:tabs>
          <w:tab w:leader="none" w:pos="24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72" w:lineRule="exact"/>
        <w:rPr>
          <w:rFonts w:ascii="Times New Roman" w:cs="Times New Roman" w:eastAsia="Times New Roman" w:hAnsi="Times New Roman"/>
          <w:sz w:val="18"/>
          <w:szCs w:val="18"/>
          <w:color w:val="auto"/>
        </w:rPr>
      </w:pPr>
    </w:p>
    <w:p>
      <w:pPr>
        <w:ind w:left="-423" w:right="60" w:firstLine="423"/>
        <w:spacing w:after="0" w:line="258" w:lineRule="auto"/>
        <w:tabs>
          <w:tab w:leader="none" w:pos="24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otherwise have been validly waived in connection with the issuance and sale of the Shares contemplated hereby and as described in the Time of Sale Prospectus and the Prospectus.</w:t>
      </w:r>
    </w:p>
    <w:p>
      <w:pPr>
        <w:spacing w:after="0" w:line="72" w:lineRule="exact"/>
        <w:rPr>
          <w:rFonts w:ascii="Times New Roman" w:cs="Times New Roman" w:eastAsia="Times New Roman" w:hAnsi="Times New Roman"/>
          <w:sz w:val="18"/>
          <w:szCs w:val="18"/>
          <w:color w:val="auto"/>
        </w:rPr>
      </w:pPr>
    </w:p>
    <w:p>
      <w:pPr>
        <w:ind w:left="-423" w:firstLine="423"/>
        <w:spacing w:after="0" w:line="251" w:lineRule="auto"/>
        <w:tabs>
          <w:tab w:leader="none" w:pos="21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affiliates, or any directors or officers thereof, or, to the Company’s knowledge, any employee, agent or representative of the Company or any of its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the Company and each of its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the Company will not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9" w:lineRule="exact"/>
        <w:rPr>
          <w:rFonts w:ascii="Times New Roman" w:cs="Times New Roman" w:eastAsia="Times New Roman" w:hAnsi="Times New Roman"/>
          <w:sz w:val="18"/>
          <w:szCs w:val="18"/>
          <w:color w:val="auto"/>
        </w:rPr>
      </w:pPr>
    </w:p>
    <w:p>
      <w:pPr>
        <w:ind w:left="-423" w:right="60" w:firstLine="423"/>
        <w:spacing w:after="0" w:line="258" w:lineRule="auto"/>
        <w:tabs>
          <w:tab w:leader="none" w:pos="22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w:t>
      </w:r>
    </w:p>
    <w:p>
      <w:pPr>
        <w:sectPr>
          <w:pgSz w:w="11900" w:h="16838" w:orient="portrait"/>
          <w:cols w:equalWidth="0" w:num="1">
            <w:col w:w="10057"/>
          </w:cols>
          <w:pgMar w:left="1343" w:top="268" w:right="499" w:bottom="1440" w:gutter="0" w:footer="0" w:header="0"/>
        </w:sectPr>
      </w:pPr>
    </w:p>
    <w:bookmarkStart w:id="250" w:name="page251"/>
    <w:bookmarkEnd w:id="25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Company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with respect to the Anti-Money Laundering Laws is pending or, to the knowledge of the Company, threatened.</w:t>
      </w:r>
    </w:p>
    <w:p>
      <w:pPr>
        <w:spacing w:after="0" w:line="73" w:lineRule="exact"/>
        <w:rPr>
          <w:sz w:val="20"/>
          <w:szCs w:val="20"/>
          <w:color w:val="auto"/>
        </w:rPr>
      </w:pPr>
    </w:p>
    <w:p>
      <w:pPr>
        <w:jc w:val="both"/>
        <w:ind w:right="820" w:firstLine="423"/>
        <w:spacing w:after="0" w:line="308" w:lineRule="auto"/>
        <w:tabs>
          <w:tab w:leader="none" w:pos="63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None of the Company or any of its directors or officers, or, to the Company’s knowledge, any employee, agent, affiliate or representative of the Company, is an individual or entity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that is, or is owned or controlled by one or more Persons that are:</w:t>
      </w:r>
    </w:p>
    <w:p>
      <w:pPr>
        <w:spacing w:after="0" w:line="33" w:lineRule="exact"/>
        <w:rPr>
          <w:rFonts w:ascii="Times New Roman" w:cs="Times New Roman" w:eastAsia="Times New Roman" w:hAnsi="Times New Roman"/>
          <w:sz w:val="17"/>
          <w:szCs w:val="17"/>
          <w:color w:val="auto"/>
        </w:rPr>
      </w:pPr>
    </w:p>
    <w:p>
      <w:pPr>
        <w:ind w:left="980" w:right="180" w:firstLine="386"/>
        <w:spacing w:after="0" w:line="263" w:lineRule="auto"/>
        <w:tabs>
          <w:tab w:leader="none" w:pos="1652"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8" w:lineRule="exact"/>
        <w:rPr>
          <w:rFonts w:ascii="Times New Roman" w:cs="Times New Roman" w:eastAsia="Times New Roman" w:hAnsi="Times New Roman"/>
          <w:sz w:val="18"/>
          <w:szCs w:val="18"/>
          <w:color w:val="auto"/>
        </w:rPr>
      </w:pPr>
    </w:p>
    <w:p>
      <w:pPr>
        <w:ind w:left="980" w:right="520" w:firstLine="386"/>
        <w:spacing w:after="0" w:line="278" w:lineRule="auto"/>
        <w:tabs>
          <w:tab w:leader="none" w:pos="1642"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Cuba, Iran, North Korea and Syria).</w:t>
      </w:r>
    </w:p>
    <w:p>
      <w:pPr>
        <w:spacing w:after="0" w:line="55" w:lineRule="exact"/>
        <w:rPr>
          <w:rFonts w:ascii="Times New Roman" w:cs="Times New Roman" w:eastAsia="Times New Roman" w:hAnsi="Times New Roman"/>
          <w:sz w:val="18"/>
          <w:szCs w:val="18"/>
          <w:color w:val="auto"/>
        </w:rPr>
      </w:pPr>
    </w:p>
    <w:p>
      <w:pPr>
        <w:ind w:left="540" w:right="260" w:firstLine="407"/>
        <w:spacing w:after="0" w:line="278" w:lineRule="auto"/>
        <w:tabs>
          <w:tab w:leader="none" w:pos="119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5" w:lineRule="exact"/>
        <w:rPr>
          <w:rFonts w:ascii="Times New Roman" w:cs="Times New Roman" w:eastAsia="Times New Roman" w:hAnsi="Times New Roman"/>
          <w:sz w:val="18"/>
          <w:szCs w:val="18"/>
          <w:color w:val="auto"/>
        </w:rPr>
      </w:pPr>
    </w:p>
    <w:p>
      <w:pPr>
        <w:ind w:left="980" w:right="160" w:firstLine="386"/>
        <w:spacing w:after="0" w:line="278" w:lineRule="auto"/>
        <w:tabs>
          <w:tab w:leader="none" w:pos="1652"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5" w:lineRule="exact"/>
        <w:rPr>
          <w:rFonts w:ascii="Times New Roman" w:cs="Times New Roman" w:eastAsia="Times New Roman" w:hAnsi="Times New Roman"/>
          <w:sz w:val="18"/>
          <w:szCs w:val="18"/>
          <w:color w:val="auto"/>
        </w:rPr>
      </w:pPr>
    </w:p>
    <w:p>
      <w:pPr>
        <w:ind w:left="980" w:right="280" w:firstLine="386"/>
        <w:spacing w:after="0" w:line="278" w:lineRule="auto"/>
        <w:tabs>
          <w:tab w:leader="none" w:pos="1642"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5" w:lineRule="exact"/>
        <w:rPr>
          <w:rFonts w:ascii="Times New Roman" w:cs="Times New Roman" w:eastAsia="Times New Roman" w:hAnsi="Times New Roman"/>
          <w:sz w:val="18"/>
          <w:szCs w:val="18"/>
          <w:color w:val="auto"/>
        </w:rPr>
      </w:pPr>
    </w:p>
    <w:p>
      <w:pPr>
        <w:ind w:left="540" w:right="20" w:firstLine="407"/>
        <w:spacing w:after="0" w:line="308" w:lineRule="auto"/>
        <w:tabs>
          <w:tab w:leader="none" w:pos="1249"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knowingly engaged in, are not now knowingly engaged in, and will not engage in, any dealings or transactions with any Person, or in any country or territory, that at the time of the dealing or transaction is or was the subject of Sanctions.</w:t>
      </w:r>
    </w:p>
    <w:p>
      <w:pPr>
        <w:spacing w:after="0" w:line="33" w:lineRule="exact"/>
        <w:rPr>
          <w:rFonts w:ascii="Times New Roman" w:cs="Times New Roman" w:eastAsia="Times New Roman" w:hAnsi="Times New Roman"/>
          <w:sz w:val="17"/>
          <w:szCs w:val="17"/>
          <w:color w:val="auto"/>
        </w:rPr>
      </w:pPr>
    </w:p>
    <w:p>
      <w:pPr>
        <w:ind w:firstLine="423"/>
        <w:spacing w:after="0" w:line="254" w:lineRule="auto"/>
        <w:tabs>
          <w:tab w:leader="none" w:pos="67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other than the exercise, grant or forfeiture of any equity awards, as applicable, in case granted pursuant to any equity compensation plan described in the Time of Sale Prospectus.</w:t>
      </w:r>
    </w:p>
    <w:p>
      <w:pPr>
        <w:sectPr>
          <w:pgSz w:w="11900" w:h="16838" w:orient="portrait"/>
          <w:cols w:equalWidth="0" w:num="1">
            <w:col w:w="10400"/>
          </w:cols>
          <w:pgMar w:left="920" w:top="268" w:right="579" w:bottom="1440" w:gutter="0" w:footer="0" w:header="0"/>
        </w:sectPr>
      </w:pPr>
    </w:p>
    <w:bookmarkStart w:id="251" w:name="page252"/>
    <w:bookmarkEnd w:id="251"/>
    <w:p>
      <w:pPr>
        <w:ind w:left="-423" w:firstLine="423"/>
        <w:spacing w:after="0" w:line="254" w:lineRule="auto"/>
        <w:tabs>
          <w:tab w:leader="none" w:pos="24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does not own any real property. The Company has good and marketable title to all personal property owned by them which is material to the business of the Company, in each case free and clear of all liens, encumbrances and defects except such as do not materially affect the value of such property and do not interfere with the use made and proposed to be made of such property by the Company; and any real property and buildings held under lease by the Company are held by it under valid, subsisting and enforceable leases with such exceptions as are not material and would not be reasonably expected to materially interfere with the use made and proposed to be made of such property and buildings by the Company.</w:t>
      </w:r>
    </w:p>
    <w:p>
      <w:pPr>
        <w:spacing w:after="0" w:line="76" w:lineRule="exact"/>
        <w:rPr>
          <w:rFonts w:ascii="Times New Roman" w:cs="Times New Roman" w:eastAsia="Times New Roman" w:hAnsi="Times New Roman"/>
          <w:sz w:val="18"/>
          <w:szCs w:val="18"/>
          <w:color w:val="auto"/>
        </w:rPr>
      </w:pPr>
    </w:p>
    <w:p>
      <w:pPr>
        <w:ind w:left="-423" w:right="120" w:firstLine="423"/>
        <w:spacing w:after="0" w:line="249" w:lineRule="auto"/>
        <w:tabs>
          <w:tab w:leader="none" w:pos="28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owns, or has valid and enforceable licenses to all patents, patent applications, inventions, copyrights and other works of authorship, know how (including trade secrets and other unpatented and/or unpatentable proprietary or confidential information, systems or procedures), designs, processes, trademarks, service marks, trade names, trade and service mark registrations, computer programs, technical data and information, and other intellectual property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to the conduct of its business as currently operated, except where the failure to own, possess, license have the right to use or the ability to acquire any of the foregoing would not reasonably be expected to result, singly or in the aggregate, in a material adverse effect on the Company; (ii) there are no rights of third parties to any such Intellectual Property Rights, including no liens, security interests, or other encumbrances; (iii) there is no pending or, to the company’s knowledge, threatened action, suit, proceeding or claim by others challenging the company’s rights in or to any Intellectual Property Rights owned by, or licensed to, the Company; (iv) the Intellectual Property Rights owned by the Company and, to the Company’s knowledge, the Intellectual Property Rights exclusively licensed to the Company which are material to the conduct of the business of the Company as currently conducted, are valid, subsisting and enforceable, and there is no pending or, to the Company’s knowledge, threatened action, suit, proceeding or claim by others challenging the validity, scope or enforceability of any such Intellectual Property Rights; (v) to the Company’s knowledge, the Company has not received any note alleging any infringement, misappropriation or other violation of any Intellectual Property Rights, nor does the Company reasonably expect any of the Intellectual Property Rights to be subject of an unfavorable decision, ruling or finding, which, singly or in the aggregate, would have a material adverse effect on the Company; (vi) to the Company’s knowledge, no third party is infringing, misappropriating or otherwise violating, or has infringed, misappropriated or otherwise violated, any Intellectual Property Rights owned by the Company; (vii) to the Company’s knowledge, the Company does not infringe, misappropriate or otherwise violate, and has not</w:t>
      </w:r>
    </w:p>
    <w:p>
      <w:pPr>
        <w:sectPr>
          <w:pgSz w:w="11900" w:h="16838" w:orient="portrait"/>
          <w:cols w:equalWidth="0" w:num="1">
            <w:col w:w="10057"/>
          </w:cols>
          <w:pgMar w:left="1343" w:top="268" w:right="499" w:bottom="1440" w:gutter="0" w:footer="0" w:header="0"/>
        </w:sectPr>
      </w:pPr>
    </w:p>
    <w:bookmarkStart w:id="252" w:name="page253"/>
    <w:bookmarkEnd w:id="252"/>
    <w:p>
      <w:pPr>
        <w:ind w:right="6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infringed, misappropriated or otherwise violated, any Intellectual Property Rights; (viii) all employees or contractors engaged in the development of Intellectual Property Rights on behalf of the Company have executed an invention assignment agreement whereby such employees or contractors presently assign all of their right, title and interest in and to such Intellectual Property Rights to the Company, and to the Company’s knowledge no such agreement has been breached or violated; (ix) to the Company’s knowledge, no employee of the Company is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(x) to the Company’s knowledge, the Company has complied with the terms of each agreement pursuant to which Intellectual Property Rights have been licensed to the Company, and all such agreements are in full force and effect;</w:t>
      </w:r>
    </w:p>
    <w:p>
      <w:pPr>
        <w:spacing w:after="0" w:line="4" w:lineRule="exact"/>
        <w:rPr>
          <w:sz w:val="20"/>
          <w:szCs w:val="20"/>
          <w:color w:val="auto"/>
        </w:rPr>
      </w:pPr>
    </w:p>
    <w:p>
      <w:pPr>
        <w:ind w:right="20" w:firstLine="4"/>
        <w:spacing w:after="0" w:line="262" w:lineRule="auto"/>
        <w:tabs>
          <w:tab w:leader="none" w:pos="302"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Company’s knowledge there is no prior art that may render any patent within the Intellectual Property Rights invalid or that may render any patent application within the Intellectual Property Rights unpatentable that has not been disclosed to the U.S. Patent and Trademark Office;</w:t>
      </w:r>
    </w:p>
    <w:p>
      <w:pPr>
        <w:spacing w:after="0" w:line="1" w:lineRule="exact"/>
        <w:rPr>
          <w:rFonts w:ascii="Times New Roman" w:cs="Times New Roman" w:eastAsia="Times New Roman" w:hAnsi="Times New Roman"/>
          <w:sz w:val="17"/>
          <w:szCs w:val="17"/>
          <w:color w:val="auto"/>
        </w:rPr>
      </w:pPr>
    </w:p>
    <w:p>
      <w:pPr>
        <w:ind w:firstLine="4"/>
        <w:spacing w:after="0" w:line="249" w:lineRule="auto"/>
        <w:tabs>
          <w:tab w:leader="none" w:pos="35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are no material defects in any of the patents or patents applications within the Intellectual Property Rights; (xiii) to the Company’s knowledge, the product candidates described in the Disclosure Documents as under development by the Company fall within the scope of the claims of one or more patent or pending patent application owned by, or exclusively licensed to, the Company; (xiv) to the Company’s knowledge, there is no patent or published patent application, in the U.S. or other jurisdiction, which, in the case of a patent, contains claims, or in the case of a published patent application contains patentable claims, that dominate or may dominate any of the Company’s Intellectual Property described in the Preliminary Prospectus and Prospectus as being owned by or licensed to the Company or that interferes with the issued or pending claims of any of the Company’s Intellectual Property Rights; (xv) to the Company’s knowledge, the patents included in the Intellectual Property Rights are subsisting and have not lapsed and the patent applications in the Intellectual Property Rights are subsisting and have not been abandoned; and (xvi) to the Company’s knowledge, the Company uses, and has used, commercially reasonable efforts to appropriately maintain all information intended to be maintained as a trade secret.</w:t>
      </w:r>
    </w:p>
    <w:p>
      <w:pPr>
        <w:spacing w:after="0" w:line="80" w:lineRule="exact"/>
        <w:rPr>
          <w:rFonts w:ascii="Times New Roman" w:cs="Times New Roman" w:eastAsia="Times New Roman" w:hAnsi="Times New Roman"/>
          <w:sz w:val="18"/>
          <w:szCs w:val="18"/>
          <w:color w:val="auto"/>
        </w:rPr>
      </w:pPr>
    </w:p>
    <w:p>
      <w:pPr>
        <w:ind w:right="280" w:firstLine="423"/>
        <w:spacing w:after="0" w:line="268" w:lineRule="auto"/>
        <w:tabs>
          <w:tab w:leader="none" w:pos="671"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uses and has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7"/>
          <w:szCs w:val="17"/>
          <w:b w:val="1"/>
          <w:bCs w:val="1"/>
          <w:color w:val="auto"/>
        </w:rPr>
        <w:t>Open Source Software</w:t>
      </w:r>
      <w:r>
        <w:rPr>
          <w:rFonts w:ascii="Times New Roman" w:cs="Times New Roman" w:eastAsia="Times New Roman" w:hAnsi="Times New Roman"/>
          <w:sz w:val="17"/>
          <w:szCs w:val="17"/>
          <w:color w:val="auto"/>
        </w:rPr>
        <w:t>”) in compliance with all license terms applicable to such Open Source Software, except where the failure to comply would not reasonably be expected to have a material adverse effect on the Company; and</w:t>
      </w:r>
    </w:p>
    <w:p>
      <w:pPr>
        <w:spacing w:after="0" w:line="1" w:lineRule="exact"/>
        <w:rPr>
          <w:rFonts w:ascii="Times New Roman" w:cs="Times New Roman" w:eastAsia="Times New Roman" w:hAnsi="Times New Roman"/>
          <w:sz w:val="17"/>
          <w:szCs w:val="17"/>
          <w:color w:val="auto"/>
        </w:rPr>
      </w:pPr>
    </w:p>
    <w:p>
      <w:pPr>
        <w:ind w:left="260" w:hanging="256"/>
        <w:spacing w:after="0"/>
        <w:tabs>
          <w:tab w:leader="none" w:pos="2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use or distribute or has not used or distributed any Open Source Software in any manner that requires or has required</w:t>
      </w:r>
    </w:p>
    <w:p>
      <w:pPr>
        <w:spacing w:after="0" w:line="6" w:lineRule="exact"/>
        <w:rPr>
          <w:rFonts w:ascii="Times New Roman" w:cs="Times New Roman" w:eastAsia="Times New Roman" w:hAnsi="Times New Roman"/>
          <w:sz w:val="18"/>
          <w:szCs w:val="18"/>
          <w:color w:val="auto"/>
        </w:rPr>
      </w:pPr>
    </w:p>
    <w:p>
      <w:pPr>
        <w:ind w:right="1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the Company to permit reverse engineering of any software code or other technology owned by the Company or (B) any software code or other technology owned by the Company to be (1) disclosed or distributed in source code form, (2) licensed for the purpose of making derivative works or (3) redistributed at no charge, except as would not reasonably be expected to have a material adverse effect on the Company.</w:t>
      </w:r>
    </w:p>
    <w:p>
      <w:pPr>
        <w:sectPr>
          <w:pgSz w:w="11900" w:h="16838" w:orient="portrait"/>
          <w:cols w:equalWidth="0" w:num="1">
            <w:col w:w="10440"/>
          </w:cols>
          <w:pgMar w:left="920" w:top="268" w:right="539" w:bottom="1440" w:gutter="0" w:footer="0" w:header="0"/>
        </w:sectPr>
      </w:pPr>
    </w:p>
    <w:bookmarkStart w:id="253" w:name="page254"/>
    <w:bookmarkEnd w:id="253"/>
    <w:p>
      <w:pPr>
        <w:ind w:left="-423" w:firstLine="423"/>
        <w:spacing w:after="0" w:line="251" w:lineRule="auto"/>
        <w:tabs>
          <w:tab w:leader="none" w:pos="24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 The Company has complied and is presently in compliance with all internal and external privacy and security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of personal, personally identifiable, household, sensitive, confidential or regulated data (“</w:t>
      </w:r>
      <w:r>
        <w:rPr>
          <w:rFonts w:ascii="Times New Roman" w:cs="Times New Roman" w:eastAsia="Times New Roman" w:hAnsi="Times New Roman"/>
          <w:sz w:val="18"/>
          <w:szCs w:val="18"/>
          <w:b w:val="1"/>
          <w:bCs w:val="1"/>
          <w:color w:val="auto"/>
        </w:rPr>
        <w:t>Data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including, without limitation compliance with the Health Insurance Portability and Accountability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the California Consumer Privacy Act (“CCPA”), and the European Union General Data Protection Regulation (“GDPR”) (EU 2016/679) (collectively, the “</w:t>
      </w: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(ii) the Company has not received any notification of or complaint regarding and is unaware of any other facts that,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would reasonably indicate non-compliance with any Data Security Obligation or Privacy Law; and (iii) of there is no action, suit or proceeding by or before any court or governmental agency, authority or body pending or, to the Company’s knowledge, threatened alleging non-compliance with any Data Security Obligation or Privacy Law.</w:t>
      </w:r>
    </w:p>
    <w:p>
      <w:pPr>
        <w:spacing w:after="0" w:line="79" w:lineRule="exact"/>
        <w:rPr>
          <w:rFonts w:ascii="Times New Roman" w:cs="Times New Roman" w:eastAsia="Times New Roman" w:hAnsi="Times New Roman"/>
          <w:sz w:val="18"/>
          <w:szCs w:val="18"/>
          <w:color w:val="auto"/>
        </w:rPr>
      </w:pPr>
    </w:p>
    <w:p>
      <w:pPr>
        <w:ind w:left="-423" w:right="80" w:firstLine="423"/>
        <w:spacing w:after="0" w:line="251" w:lineRule="auto"/>
        <w:tabs>
          <w:tab w:leader="none" w:pos="23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reasonable technical and organizational measures necessary to protect the information technology systems and Data used in connection with the operation of the Company’s business. Without limiting the foregoing, the Company has used reasonable efforts to establish and maintain, have established, maintained, implemented and complied with, and continue to maintain and comply with reasonable information technology, information security, cyber security and data protection controls, policies and procedures, including oversight, access controls, encryption, technological and physical safeguards and business continuity/disaster recovery and security plans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business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There has been no material Breach, and the Company has not been notified of and have no knowledge of any event or condition that would reasonably be expected to result in, any material Breach.</w:t>
      </w:r>
    </w:p>
    <w:p>
      <w:pPr>
        <w:spacing w:after="0" w:line="85" w:lineRule="exact"/>
        <w:rPr>
          <w:sz w:val="20"/>
          <w:szCs w:val="20"/>
          <w:color w:val="auto"/>
        </w:rPr>
      </w:pPr>
    </w:p>
    <w:p>
      <w:pPr>
        <w:ind w:left="-423" w:right="60" w:firstLine="423"/>
        <w:spacing w:after="0" w:line="263" w:lineRule="auto"/>
        <w:tabs>
          <w:tab w:leader="none" w:pos="3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w:t>
      </w:r>
    </w:p>
    <w:p>
      <w:pPr>
        <w:sectPr>
          <w:pgSz w:w="11900" w:h="16838" w:orient="portrait"/>
          <w:cols w:equalWidth="0" w:num="1">
            <w:col w:w="10037"/>
          </w:cols>
          <w:pgMar w:left="1343" w:top="268" w:right="519" w:bottom="1440" w:gutter="0" w:footer="0" w:header="0"/>
        </w:sectPr>
      </w:pPr>
    </w:p>
    <w:bookmarkStart w:id="254" w:name="page255"/>
    <w:bookmarkEnd w:id="254"/>
    <w:p>
      <w:pPr>
        <w:ind w:left="-423" w:firstLine="423"/>
        <w:spacing w:after="0" w:line="255" w:lineRule="auto"/>
        <w:tabs>
          <w:tab w:leader="none" w:pos="33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is insured by insurers of recognized financial responsibility against such losses and risks and in such amounts as, in the Company’s reasonable judgement, are prudent and customary in the businesses in which they are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w:t>
      </w:r>
    </w:p>
    <w:p>
      <w:pPr>
        <w:spacing w:after="0" w:line="77" w:lineRule="exact"/>
        <w:rPr>
          <w:rFonts w:ascii="Times New Roman" w:cs="Times New Roman" w:eastAsia="Times New Roman" w:hAnsi="Times New Roman"/>
          <w:sz w:val="18"/>
          <w:szCs w:val="18"/>
          <w:color w:val="auto"/>
        </w:rPr>
      </w:pPr>
    </w:p>
    <w:p>
      <w:pPr>
        <w:ind w:left="-423" w:right="300" w:firstLine="423"/>
        <w:spacing w:after="0" w:line="277" w:lineRule="auto"/>
        <w:tabs>
          <w:tab w:leader="none" w:pos="31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operated at all times and is currently in compliance in all material respects with all applicable statutes, rules, regulations and policies of the U.S. Food and Drug Administration (the “</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and applicable foreign regulatory authorities, including the European Medicines Agency and the UK Medicines &amp; Healthcare products Regulatory Agency (collectively, the “</w:t>
      </w:r>
      <w:r>
        <w:rPr>
          <w:rFonts w:ascii="Times New Roman" w:cs="Times New Roman" w:eastAsia="Times New Roman" w:hAnsi="Times New Roman"/>
          <w:sz w:val="17"/>
          <w:szCs w:val="17"/>
          <w:b w:val="1"/>
          <w:bCs w:val="1"/>
          <w:color w:val="auto"/>
        </w:rPr>
        <w:t>Regulatory Authorities</w:t>
      </w:r>
      <w:r>
        <w:rPr>
          <w:rFonts w:ascii="Times New Roman" w:cs="Times New Roman" w:eastAsia="Times New Roman" w:hAnsi="Times New Roman"/>
          <w:sz w:val="17"/>
          <w:szCs w:val="17"/>
          <w:color w:val="auto"/>
        </w:rPr>
        <w:t>”), except where failure to be in compliance would not reasonably be expected to have a material adverse effect, including, without limitation:</w:t>
      </w:r>
    </w:p>
    <w:p>
      <w:pPr>
        <w:spacing w:after="0" w:line="60" w:lineRule="exact"/>
        <w:rPr>
          <w:rFonts w:ascii="Times New Roman" w:cs="Times New Roman" w:eastAsia="Times New Roman" w:hAnsi="Times New Roman"/>
          <w:sz w:val="17"/>
          <w:szCs w:val="17"/>
          <w:color w:val="auto"/>
        </w:rPr>
      </w:pPr>
    </w:p>
    <w:p>
      <w:pPr>
        <w:ind w:left="737" w:hanging="213"/>
        <w:spacing w:after="0"/>
        <w:tabs>
          <w:tab w:leader="none" w:pos="73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the regulations promulgated thereunder;</w:t>
      </w:r>
    </w:p>
    <w:p>
      <w:pPr>
        <w:spacing w:after="0" w:line="113" w:lineRule="exact"/>
        <w:rPr>
          <w:rFonts w:ascii="Times New Roman" w:cs="Times New Roman" w:eastAsia="Times New Roman" w:hAnsi="Times New Roman"/>
          <w:sz w:val="18"/>
          <w:szCs w:val="18"/>
          <w:color w:val="auto"/>
        </w:rPr>
      </w:pPr>
    </w:p>
    <w:p>
      <w:pPr>
        <w:ind w:left="117" w:right="40" w:firstLine="407"/>
        <w:spacing w:after="0" w:line="252" w:lineRule="auto"/>
        <w:tabs>
          <w:tab w:leader="none" w:pos="77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HIPAA (42 U.S.C. Section 1320d et seq.), the U.S. Physician Payments Sunshine Act (42 U.S.C.</w:t>
      </w:r>
    </w:p>
    <w:p>
      <w:pPr>
        <w:spacing w:after="0" w:line="2" w:lineRule="exact"/>
        <w:rPr>
          <w:rFonts w:ascii="Times New Roman" w:cs="Times New Roman" w:eastAsia="Times New Roman" w:hAnsi="Times New Roman"/>
          <w:sz w:val="18"/>
          <w:szCs w:val="18"/>
          <w:color w:val="auto"/>
        </w:rPr>
      </w:pPr>
    </w:p>
    <w:p>
      <w:pPr>
        <w:ind w:left="117" w:right="4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1320a-7h), the exclusion law (42 U.S.C. Section 1320a-7), the statutes, regulations and directives of applicable government funded or sponsored healthcare programs, and the regulations promulgated pursuant to such statutes;</w:t>
      </w:r>
    </w:p>
    <w:p>
      <w:pPr>
        <w:spacing w:after="0" w:line="74" w:lineRule="exact"/>
        <w:rPr>
          <w:rFonts w:ascii="Times New Roman" w:cs="Times New Roman" w:eastAsia="Times New Roman" w:hAnsi="Times New Roman"/>
          <w:sz w:val="18"/>
          <w:szCs w:val="18"/>
          <w:color w:val="auto"/>
        </w:rPr>
      </w:pPr>
    </w:p>
    <w:p>
      <w:pPr>
        <w:ind w:left="117" w:right="100" w:firstLine="407"/>
        <w:spacing w:after="0" w:line="258" w:lineRule="auto"/>
        <w:tabs>
          <w:tab w:leader="none" w:pos="82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any other law or regulation the purpose of which is to protect the privacy of individuals or prescribers;</w:t>
      </w:r>
    </w:p>
    <w:p>
      <w:pPr>
        <w:sectPr>
          <w:pgSz w:w="11900" w:h="16838" w:orient="portrait"/>
          <w:cols w:equalWidth="0" w:num="1">
            <w:col w:w="9997"/>
          </w:cols>
          <w:pgMar w:left="1343" w:top="268" w:right="559" w:bottom="1440" w:gutter="0" w:footer="0" w:header="0"/>
        </w:sectPr>
      </w:pPr>
    </w:p>
    <w:bookmarkStart w:id="255" w:name="page256"/>
    <w:bookmarkEnd w:id="255"/>
    <w:p>
      <w:pPr>
        <w:ind w:left="117" w:right="340" w:firstLine="407"/>
        <w:spacing w:after="0" w:line="278" w:lineRule="auto"/>
        <w:tabs>
          <w:tab w:leader="none" w:pos="81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Patient Protection and Affordable Care Act of 2010, as amended by the Health Care and Education Reconciliation Act of 2010, the regulations promulgated thereunder;</w:t>
      </w:r>
    </w:p>
    <w:p>
      <w:pPr>
        <w:spacing w:after="0" w:line="55" w:lineRule="exact"/>
        <w:rPr>
          <w:rFonts w:ascii="Times New Roman" w:cs="Times New Roman" w:eastAsia="Times New Roman" w:hAnsi="Times New Roman"/>
          <w:sz w:val="18"/>
          <w:szCs w:val="18"/>
          <w:color w:val="auto"/>
        </w:rPr>
      </w:pPr>
    </w:p>
    <w:p>
      <w:pPr>
        <w:ind w:left="777" w:hanging="253"/>
        <w:spacing w:after="0"/>
        <w:tabs>
          <w:tab w:leader="none" w:pos="77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Controlled Substances Act (21 U.S.C. Section 801 et seq.);</w:t>
      </w:r>
    </w:p>
    <w:p>
      <w:pPr>
        <w:spacing w:after="0" w:line="113" w:lineRule="exact"/>
        <w:rPr>
          <w:rFonts w:ascii="Times New Roman" w:cs="Times New Roman" w:eastAsia="Times New Roman" w:hAnsi="Times New Roman"/>
          <w:sz w:val="18"/>
          <w:szCs w:val="18"/>
          <w:color w:val="auto"/>
        </w:rPr>
      </w:pPr>
    </w:p>
    <w:p>
      <w:pPr>
        <w:ind w:left="117" w:right="540" w:firstLine="407"/>
        <w:spacing w:after="0" w:line="278" w:lineRule="auto"/>
        <w:tabs>
          <w:tab w:leader="none" w:pos="81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licensure, quality, safety and accreditation requirements under applicable federal, state, local or foreign laws or regulatory bodies; and</w:t>
      </w:r>
    </w:p>
    <w:p>
      <w:pPr>
        <w:spacing w:after="0" w:line="55" w:lineRule="exact"/>
        <w:rPr>
          <w:rFonts w:ascii="Times New Roman" w:cs="Times New Roman" w:eastAsia="Times New Roman" w:hAnsi="Times New Roman"/>
          <w:sz w:val="18"/>
          <w:szCs w:val="18"/>
          <w:color w:val="auto"/>
        </w:rPr>
      </w:pPr>
    </w:p>
    <w:p>
      <w:pPr>
        <w:ind w:left="117" w:right="360" w:firstLine="407"/>
        <w:spacing w:after="0" w:line="270" w:lineRule="auto"/>
        <w:tabs>
          <w:tab w:leader="none" w:pos="866"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w:t>
      </w:r>
    </w:p>
    <w:p>
      <w:pPr>
        <w:spacing w:after="0" w:line="1" w:lineRule="exact"/>
        <w:rPr>
          <w:rFonts w:ascii="Times New Roman" w:cs="Times New Roman" w:eastAsia="Times New Roman" w:hAnsi="Times New Roman"/>
          <w:sz w:val="17"/>
          <w:szCs w:val="17"/>
          <w:color w:val="auto"/>
        </w:rPr>
      </w:pPr>
    </w:p>
    <w:p>
      <w:pPr>
        <w:ind w:left="337" w:hanging="210"/>
        <w:spacing w:after="0"/>
        <w:tabs>
          <w:tab w:leader="none" w:pos="33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(vii), collectively,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423" w:firstLine="423"/>
        <w:spacing w:after="0" w:line="250" w:lineRule="auto"/>
        <w:tabs>
          <w:tab w:leader="none" w:pos="33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tests, preclinical studies and clinical trials conducted by or on behalf of or sponsored by the Company or in which the Company has participated that are described or referred to in the Registration Statement, the Time of Sale Prospectus and the Prospectus, were, and if still pending are, being conducted in all material respects accordance with standard medical and experimental protocols, procedures and controls pursuant to accepted professional scientific research standards and procedures, and all applicable Health Care Laws, the rules and regulations of the Regulatory Authorities and current Good Clinical Practices and Good Laboratory Practices; (ii) the descriptions of the results of such studies and trials contained in the Registration Statement, the Time of Sale Prospectus or the Prospectus are accurate and complete in all material respects and fairly present the data derived from such trials and studies; (iii) the Company has no knowledge of any other studies or trials conducted by the Company or on behalf of the Company not described in the Registration Statement, the Time of Sale Prospectus and the Prospectus, the results of which are inconsistent with or call into question the results described or referred to in the Registration Statement, the Time of Sale Prospectus and the Prospectus; (iv) the Company has provided the Underwriters with all material written notices, correspondence and summaries of all other communications provided to the Company from the Regulatory Authorities; and (v) the Company has not received any written notices, correspondence or other communications from any Regulatory Authority or any other governmental entity requiring or threatening the termination, material modification or suspension of any studies or trials that are described in the Registration Statement, the Time of Sale Prospectus and the Prospectus or the results of which are referred to in the Registration Statement, the Time of Sale Prospectus and the Prospectus, and, to the Company’s knowledge, there are no reasonable grounds for the same.</w:t>
      </w:r>
    </w:p>
    <w:p>
      <w:pPr>
        <w:sectPr>
          <w:pgSz w:w="11900" w:h="16838" w:orient="portrait"/>
          <w:cols w:equalWidth="0" w:num="1">
            <w:col w:w="10057"/>
          </w:cols>
          <w:pgMar w:left="1343" w:top="268" w:right="499" w:bottom="1440" w:gutter="0" w:footer="0" w:header="0"/>
        </w:sectPr>
      </w:pPr>
    </w:p>
    <w:bookmarkStart w:id="256" w:name="page257"/>
    <w:bookmarkEnd w:id="256"/>
    <w:p>
      <w:pPr>
        <w:ind w:left="-4" w:right="40" w:firstLine="423"/>
        <w:spacing w:after="0" w:line="250" w:lineRule="auto"/>
        <w:tabs>
          <w:tab w:leader="none" w:pos="73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 Except as would not reasonably be expected to have a material adverse effect,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the Company is in material violation of any Health Care Laws, including, without limitation, any FDA Form 483, notice of adverse finding, warning letter, untitled letter or other written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 (iv)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84" w:lineRule="exact"/>
        <w:rPr>
          <w:rFonts w:ascii="Times New Roman" w:cs="Times New Roman" w:eastAsia="Times New Roman" w:hAnsi="Times New Roman"/>
          <w:sz w:val="18"/>
          <w:szCs w:val="18"/>
          <w:color w:val="auto"/>
        </w:rPr>
      </w:pPr>
    </w:p>
    <w:p>
      <w:pPr>
        <w:ind w:left="-4" w:right="500" w:firstLine="423"/>
        <w:spacing w:after="0" w:line="258" w:lineRule="auto"/>
        <w:tabs>
          <w:tab w:leader="none" w:pos="69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all certificates, authorizations and permits issued by the appropriate federal, state or foreign regulatory authorities necessary to conduct their respective businesses, and the Company has not received any notice of proceedings relating to the revocation or modification of any such certificate, authorization or permit which, singly or in the aggregate, if the subject of an unfavorable decision, ruling or finding, would have a material adverse effect on the Company.</w:t>
      </w:r>
    </w:p>
    <w:p>
      <w:pPr>
        <w:spacing w:after="0" w:line="72" w:lineRule="exact"/>
        <w:rPr>
          <w:rFonts w:ascii="Times New Roman" w:cs="Times New Roman" w:eastAsia="Times New Roman" w:hAnsi="Times New Roman"/>
          <w:sz w:val="18"/>
          <w:szCs w:val="18"/>
          <w:color w:val="auto"/>
        </w:rPr>
      </w:pPr>
    </w:p>
    <w:p>
      <w:pPr>
        <w:ind w:left="-4" w:firstLine="423"/>
        <w:spacing w:after="0" w:line="266" w:lineRule="auto"/>
        <w:tabs>
          <w:tab w:leader="none" w:pos="757"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Except as would not reasonably be expected to have a material adverse effect, each employee benefit plan, within the meaning of Section 3(3) of the Employee Retirement Income Security Act of 1974, as amended (“</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that is sponsored, maintained, administered or contributed to by the Company has been maintained in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and (ii) neither the Company nor any member of its “Controlled Group” (defined as any trade or business, whether or not incorporated, that would be regarded as a single employer with the Company under Section 414 of the Code) (x) has ever sponsored, maintained, contributed to or has had any obligation to contribute to, any employee benefit plan that is subject to Title IV of ERISA or any “multiemployer plan” as defined in Section 3(37) of ERISA or</w:t>
      </w:r>
    </w:p>
    <w:p>
      <w:pPr>
        <w:ind w:left="256" w:hanging="256"/>
        <w:spacing w:after="0"/>
        <w:tabs>
          <w:tab w:leader="none" w:pos="25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incurred, or reasonably expects to incur, any liability under Title IV of ERISA.</w:t>
      </w:r>
    </w:p>
    <w:p>
      <w:pPr>
        <w:sectPr>
          <w:pgSz w:w="11900" w:h="16838" w:orient="portrait"/>
          <w:cols w:equalWidth="0" w:num="1">
            <w:col w:w="10456"/>
          </w:cols>
          <w:pgMar w:left="924" w:top="268" w:right="519" w:bottom="1440" w:gutter="0" w:footer="0" w:header="0"/>
        </w:sectPr>
      </w:pPr>
    </w:p>
    <w:bookmarkStart w:id="257" w:name="page258"/>
    <w:bookmarkEnd w:id="257"/>
    <w:p>
      <w:pPr>
        <w:ind w:left="760" w:hanging="337"/>
        <w:spacing w:after="0"/>
        <w:tabs>
          <w:tab w:leader="none" w:pos="7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financial statements (including the related notes thereto) included in each of the Registration Statement, the Time of Sale</w:t>
      </w:r>
    </w:p>
    <w:p>
      <w:pPr>
        <w:spacing w:after="0" w:line="25" w:lineRule="exact"/>
        <w:rPr>
          <w:rFonts w:ascii="Times New Roman" w:cs="Times New Roman" w:eastAsia="Times New Roman" w:hAnsi="Times New Roman"/>
          <w:sz w:val="18"/>
          <w:szCs w:val="18"/>
          <w:color w:val="auto"/>
        </w:rPr>
      </w:pPr>
    </w:p>
    <w:p>
      <w:pPr>
        <w:ind w:right="2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and the Prospectus, together with the related schedules and notes thereto, comply as to form in all material respects with the applicable accounting requirements of the Securities Act and present fairly the financial position of the Company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throughout the periods covered thereby. The other financial information included in each of the Registration Statement, the Time of Sale Prospectus and the Prospectus has been derived from the accounting or other records of the Company and presents fairly in all material respects the information shown thereby. There are no financial statements (historical or pro forma) that are required to be included in the Registration Statement, the Time of Sale Prospectus or the Prospectus that are not included as required.</w:t>
      </w:r>
    </w:p>
    <w:p>
      <w:pPr>
        <w:spacing w:after="0" w:line="82" w:lineRule="exact"/>
        <w:rPr>
          <w:rFonts w:ascii="Times New Roman" w:cs="Times New Roman" w:eastAsia="Times New Roman" w:hAnsi="Times New Roman"/>
          <w:sz w:val="18"/>
          <w:szCs w:val="18"/>
          <w:color w:val="auto"/>
        </w:rPr>
      </w:pPr>
    </w:p>
    <w:p>
      <w:pPr>
        <w:jc w:val="both"/>
        <w:ind w:right="80" w:firstLine="423"/>
        <w:spacing w:after="0" w:line="258" w:lineRule="auto"/>
        <w:tabs>
          <w:tab w:leader="none" w:pos="68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To the Company’s knowledge, it does not require the consent of any third party for the use of any such data except as already obtained.</w:t>
      </w:r>
    </w:p>
    <w:p>
      <w:pPr>
        <w:spacing w:after="0" w:line="72" w:lineRule="exact"/>
        <w:rPr>
          <w:rFonts w:ascii="Times New Roman" w:cs="Times New Roman" w:eastAsia="Times New Roman" w:hAnsi="Times New Roman"/>
          <w:sz w:val="18"/>
          <w:szCs w:val="18"/>
          <w:color w:val="auto"/>
        </w:rPr>
      </w:pPr>
    </w:p>
    <w:p>
      <w:pPr>
        <w:ind w:right="40" w:firstLine="423"/>
        <w:spacing w:after="0" w:line="255" w:lineRule="auto"/>
        <w:tabs>
          <w:tab w:leader="none" w:pos="68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have certified certain financial statements of the Company and delivered its report with respect to the audited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77" w:lineRule="exact"/>
        <w:rPr>
          <w:rFonts w:ascii="Times New Roman" w:cs="Times New Roman" w:eastAsia="Times New Roman" w:hAnsi="Times New Roman"/>
          <w:sz w:val="18"/>
          <w:szCs w:val="18"/>
          <w:color w:val="auto"/>
        </w:rPr>
      </w:pPr>
    </w:p>
    <w:p>
      <w:pPr>
        <w:ind w:firstLine="423"/>
        <w:spacing w:after="0" w:line="255" w:lineRule="auto"/>
        <w:tabs>
          <w:tab w:leader="none" w:pos="76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w:t>
      </w:r>
    </w:p>
    <w:p>
      <w:pPr>
        <w:sectPr>
          <w:pgSz w:w="11900" w:h="16838" w:orient="portrait"/>
          <w:cols w:equalWidth="0" w:num="1">
            <w:col w:w="10440"/>
          </w:cols>
          <w:pgMar w:left="920" w:top="268" w:right="539" w:bottom="1440" w:gutter="0" w:footer="0" w:header="0"/>
        </w:sectPr>
      </w:pPr>
    </w:p>
    <w:bookmarkStart w:id="258" w:name="page259"/>
    <w:bookmarkEnd w:id="258"/>
    <w:p>
      <w:pPr>
        <w:ind w:right="10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any differences.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68" w:lineRule="exact"/>
        <w:rPr>
          <w:sz w:val="20"/>
          <w:szCs w:val="20"/>
          <w:color w:val="auto"/>
        </w:rPr>
      </w:pPr>
    </w:p>
    <w:p>
      <w:pPr>
        <w:ind w:right="260" w:firstLine="423"/>
        <w:spacing w:after="0" w:line="285" w:lineRule="auto"/>
        <w:tabs>
          <w:tab w:leader="none" w:pos="681"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52" w:lineRule="exact"/>
        <w:rPr>
          <w:rFonts w:ascii="Times New Roman" w:cs="Times New Roman" w:eastAsia="Times New Roman" w:hAnsi="Times New Roman"/>
          <w:sz w:val="17"/>
          <w:szCs w:val="17"/>
          <w:color w:val="auto"/>
        </w:rPr>
      </w:pPr>
    </w:p>
    <w:p>
      <w:pPr>
        <w:ind w:firstLine="423"/>
        <w:spacing w:after="0" w:line="258" w:lineRule="auto"/>
        <w:tabs>
          <w:tab w:leader="none" w:pos="8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the Prospectus, the Time of Sale Prospectus and any preliminary prospectus comply, and any amendments or supplements thereto will comply, with any applicable laws or regulations of foreign jurisdictions in which the Prospectus, the Time of Sale Prospectus or any preliminary prospectus, as amended or supplemented, if applicable, are distributed in connection with the Directed Share Program.</w:t>
      </w:r>
    </w:p>
    <w:p>
      <w:pPr>
        <w:spacing w:after="0" w:line="72" w:lineRule="exact"/>
        <w:rPr>
          <w:rFonts w:ascii="Times New Roman" w:cs="Times New Roman" w:eastAsia="Times New Roman" w:hAnsi="Times New Roman"/>
          <w:sz w:val="18"/>
          <w:szCs w:val="18"/>
          <w:color w:val="auto"/>
        </w:rPr>
      </w:pPr>
    </w:p>
    <w:p>
      <w:pPr>
        <w:ind w:right="200" w:firstLine="423"/>
        <w:spacing w:after="0" w:line="278" w:lineRule="auto"/>
        <w:tabs>
          <w:tab w:leader="none" w:pos="76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other than those obtained, is required in connection with the offering of the Directed Shares in any jurisdiction where the Directed Shares are being offered.</w:t>
      </w:r>
    </w:p>
    <w:p>
      <w:pPr>
        <w:spacing w:after="0" w:line="55" w:lineRule="exact"/>
        <w:rPr>
          <w:rFonts w:ascii="Times New Roman" w:cs="Times New Roman" w:eastAsia="Times New Roman" w:hAnsi="Times New Roman"/>
          <w:sz w:val="18"/>
          <w:szCs w:val="18"/>
          <w:color w:val="auto"/>
        </w:rPr>
      </w:pPr>
    </w:p>
    <w:p>
      <w:pPr>
        <w:jc w:val="both"/>
        <w:ind w:right="140" w:firstLine="423"/>
        <w:spacing w:after="0" w:line="258" w:lineRule="auto"/>
        <w:tabs>
          <w:tab w:leader="none" w:pos="76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offered, or caused Morgan Stanley or any Morgan Stanley Entity as defined in Section 9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72" w:lineRule="exact"/>
        <w:rPr>
          <w:rFonts w:ascii="Times New Roman" w:cs="Times New Roman" w:eastAsia="Times New Roman" w:hAnsi="Times New Roman"/>
          <w:sz w:val="18"/>
          <w:szCs w:val="18"/>
          <w:color w:val="auto"/>
        </w:rPr>
      </w:pPr>
    </w:p>
    <w:p>
      <w:pPr>
        <w:ind w:right="40" w:firstLine="423"/>
        <w:spacing w:after="0" w:line="252" w:lineRule="auto"/>
        <w:tabs>
          <w:tab w:leader="none" w:pos="76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federal, state, local and foreign tax returns required to be filed through the date of this Agreement or have properly requested extensions thereof (except where the failure to file would not, singly or in the aggregate, have a material adverse effect on the Company) and have paid all taxes for which it is liable and any related or similar assessment, fine or penalty levied against it (except for cases in which the failure to file or pay would not, singly or in the aggregate, have a material adverse effect on the Company or, except as currently being contested in good faith and by appropriate proceedings and for which reserves required by U.S. GAAP have been created and maintained in the financial statements of the Company), and no tax deficiency has been determined adversely to the Company which, singly or in the aggregate, has had (nor does the Company have any notice or knowledge of any tax deficiency which could reasonably be expected to be determined adversely to the Company and</w:t>
      </w:r>
    </w:p>
    <w:p>
      <w:pPr>
        <w:sectPr>
          <w:pgSz w:w="11900" w:h="16838" w:orient="portrait"/>
          <w:cols w:equalWidth="0" w:num="1">
            <w:col w:w="10460"/>
          </w:cols>
          <w:pgMar w:left="920" w:top="268" w:right="519" w:bottom="1440" w:gutter="0" w:footer="0" w:header="0"/>
        </w:sectPr>
      </w:pPr>
    </w:p>
    <w:bookmarkStart w:id="259" w:name="page260"/>
    <w:bookmarkEnd w:id="259"/>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which could reasonably be expected to have) a material adverse effect on the Company. The Company has made adequate charges, accruals and reserves on the books of the Company in respect of any federal, state, local and foreign taxes for any periods not finally determined, except to the extent that such inadequacy would not, singly or in the aggregate, reasonably be expected to have a material adverse effect. The Company is not under audit by any governmental body or agency and has not received written notice of any pending or threatened audit, except to the extent that such inadequacy would not, singly or in the aggregate, reasonably be expected to have a material adverse effect. To the knowledge of the Company. there are no outstanding agreements or waivers extending the statutory period of limitation applicable to any federal, state, local or foreign tax return for any period.</w:t>
      </w:r>
    </w:p>
    <w:p>
      <w:pPr>
        <w:spacing w:after="0" w:line="77" w:lineRule="exact"/>
        <w:rPr>
          <w:sz w:val="20"/>
          <w:szCs w:val="20"/>
          <w:color w:val="auto"/>
        </w:rPr>
      </w:pPr>
    </w:p>
    <w:p>
      <w:pPr>
        <w:ind w:firstLine="423"/>
        <w:spacing w:after="0" w:line="255" w:lineRule="auto"/>
        <w:tabs>
          <w:tab w:leader="none" w:pos="76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5(d) or Rule 163B of the Securities Act.</w:t>
      </w:r>
    </w:p>
    <w:p>
      <w:pPr>
        <w:spacing w:after="0" w:line="77" w:lineRule="exact"/>
        <w:rPr>
          <w:rFonts w:ascii="Times New Roman" w:cs="Times New Roman" w:eastAsia="Times New Roman" w:hAnsi="Times New Roman"/>
          <w:sz w:val="18"/>
          <w:szCs w:val="18"/>
          <w:color w:val="auto"/>
        </w:rPr>
      </w:pPr>
    </w:p>
    <w:p>
      <w:pPr>
        <w:ind w:firstLine="423"/>
        <w:spacing w:after="0" w:line="253" w:lineRule="auto"/>
        <w:tabs>
          <w:tab w:leader="none" w:pos="70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alone engaged in any Testing-the-Waters Communication with any person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p>
    <w:p>
      <w:pPr>
        <w:spacing w:after="0" w:line="77" w:lineRule="exact"/>
        <w:rPr>
          <w:rFonts w:ascii="Times New Roman" w:cs="Times New Roman" w:eastAsia="Times New Roman" w:hAnsi="Times New Roman"/>
          <w:sz w:val="18"/>
          <w:szCs w:val="18"/>
          <w:color w:val="auto"/>
        </w:rPr>
      </w:pPr>
    </w:p>
    <w:p>
      <w:pPr>
        <w:ind w:right="140" w:firstLine="423"/>
        <w:spacing w:after="0" w:line="278" w:lineRule="auto"/>
        <w:tabs>
          <w:tab w:leader="none" w:pos="72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had any securities rated by any “nationally recognized statistical rating organization,” as such term is defined in Section 3(a)(62)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55" w:lineRule="exact"/>
        <w:rPr>
          <w:rFonts w:ascii="Times New Roman" w:cs="Times New Roman" w:eastAsia="Times New Roman" w:hAnsi="Times New Roman"/>
          <w:sz w:val="18"/>
          <w:szCs w:val="18"/>
          <w:color w:val="auto"/>
        </w:rPr>
      </w:pPr>
    </w:p>
    <w:p>
      <w:pPr>
        <w:ind w:left="680" w:hanging="257"/>
        <w:spacing w:after="0"/>
        <w:tabs>
          <w:tab w:leader="none" w:pos="6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Shares in connection with the offering when the Prospectus is not yet available to prospective</w:t>
      </w:r>
    </w:p>
    <w:p>
      <w:pPr>
        <w:spacing w:after="0" w:line="25" w:lineRule="exact"/>
        <w:rPr>
          <w:rFonts w:ascii="Times New Roman" w:cs="Times New Roman" w:eastAsia="Times New Roman" w:hAnsi="Times New Roman"/>
          <w:sz w:val="18"/>
          <w:szCs w:val="18"/>
          <w:color w:val="auto"/>
        </w:rPr>
      </w:pP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none of (A) the Time of Sale Prospectus, (B) any free writing prospectus, when considered together with the Time of Sale Prospectus, and (C)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ectPr>
          <w:pgSz w:w="11900" w:h="16838" w:orient="portrait"/>
          <w:cols w:equalWidth="0" w:num="1">
            <w:col w:w="10440"/>
          </w:cols>
          <w:pgMar w:left="920" w:top="268" w:right="539" w:bottom="1440" w:gutter="0" w:footer="0" w:header="0"/>
        </w:sectPr>
      </w:pPr>
    </w:p>
    <w:bookmarkStart w:id="260" w:name="page261"/>
    <w:bookmarkEnd w:id="260"/>
    <w:p>
      <w:pPr>
        <w:jc w:val="both"/>
        <w:ind w:right="120" w:firstLine="444"/>
        <w:spacing w:after="0" w:line="286" w:lineRule="auto"/>
        <w:tabs>
          <w:tab w:leader="none" w:pos="61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Agreements to Sell and Purchase. </w:t>
      </w:r>
      <w:r>
        <w:rPr>
          <w:rFonts w:ascii="Times New Roman" w:cs="Times New Roman" w:eastAsia="Times New Roman" w:hAnsi="Times New Roman"/>
          <w:sz w:val="17"/>
          <w:szCs w:val="17"/>
          <w:color w:val="auto"/>
        </w:rPr>
        <w:t>The Company hereby agrees to sell to the several Underwriters, and each Underwriter, upon the basis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representations and warranties herein contained, but subject to the terms and conditions hereinafter stated, agrees, severally and not jointly, to purchase from the Company the respective numbers of Firm Shares set forth in Schedule I hereto opposite its name at $[•] a share (the “</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84" w:lineRule="exact"/>
        <w:rPr>
          <w:sz w:val="20"/>
          <w:szCs w:val="20"/>
          <w:color w:val="auto"/>
        </w:rPr>
      </w:pPr>
    </w:p>
    <w:p>
      <w:pPr>
        <w:ind w:right="120" w:firstLine="444"/>
        <w:spacing w:after="0" w:line="254" w:lineRule="auto"/>
        <w:tabs>
          <w:tab w:leader="none" w:pos="6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Company is advised by the Representatives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Shares as soon after the Registration Statement and this Agreement have become effective as in the judgment of the Representatives is advisable. The Company is further advised by the Representatives that the Shares are to be offered to the public initially at $[•] a share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and to certain dealers selected by the Representatives at a price that represents a concession not in excess of $[•] a share under the Public Offering Price, and that any Underwriter may allow, and such dealers may reallow, a concession, not in excess of $[•] a share, to any Underwriter or to certain other dealers.</w:t>
      </w:r>
    </w:p>
    <w:p>
      <w:pPr>
        <w:sectPr>
          <w:pgSz w:w="11900" w:h="16838" w:orient="portrait"/>
          <w:cols w:equalWidth="0" w:num="1">
            <w:col w:w="10900"/>
          </w:cols>
          <w:pgMar w:left="480" w:top="266" w:right="519" w:bottom="1440" w:gutter="0" w:footer="0" w:header="0"/>
        </w:sectPr>
      </w:pPr>
    </w:p>
    <w:bookmarkStart w:id="261" w:name="page262"/>
    <w:bookmarkEnd w:id="261"/>
    <w:p>
      <w:pPr>
        <w:ind w:right="100" w:firstLine="444"/>
        <w:spacing w:after="0" w:line="258" w:lineRule="auto"/>
        <w:tabs>
          <w:tab w:leader="none" w:pos="6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Payment and Delivery. </w:t>
      </w:r>
      <w:r>
        <w:rPr>
          <w:rFonts w:ascii="Times New Roman" w:cs="Times New Roman" w:eastAsia="Times New Roman" w:hAnsi="Times New Roman"/>
          <w:sz w:val="18"/>
          <w:szCs w:val="18"/>
          <w:color w:val="auto"/>
        </w:rPr>
        <w:t>Payment for the Firm Shares shall be made to the Company in Federal or other funds immediately available in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City against delivery of such Firm Shares for the respective accounts of the several Underwriters at 10:00 a.m., New York City time, on [•], 2020, or at such other time on the same or such other date, not later than [•], 2020,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2020, as shall be designated in writing by the Representatives.</w:t>
      </w:r>
    </w:p>
    <w:p>
      <w:pPr>
        <w:spacing w:after="0" w:line="18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by the Company, against payment of the Purchase Price therefor.</w:t>
      </w:r>
    </w:p>
    <w:p>
      <w:pPr>
        <w:spacing w:after="0" w:line="75" w:lineRule="exact"/>
        <w:rPr>
          <w:sz w:val="20"/>
          <w:szCs w:val="20"/>
          <w:color w:val="auto"/>
        </w:rPr>
      </w:pPr>
    </w:p>
    <w:p>
      <w:pPr>
        <w:ind w:right="60" w:firstLine="444"/>
        <w:spacing w:after="0" w:line="264" w:lineRule="auto"/>
        <w:tabs>
          <w:tab w:leader="none" w:pos="6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Company to sell the Shares to the Underwriters and the several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Underwriters to purchase and pay for the Shares on the Closing Date are subject to the condition that the Registration Statement shall have become effective not later than [•] (New York City time) on the date hereof.</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several obligations of the Underwriters are subject to the following further conditions:</w:t>
      </w:r>
    </w:p>
    <w:p>
      <w:pPr>
        <w:spacing w:after="0" w:line="114" w:lineRule="exact"/>
        <w:rPr>
          <w:sz w:val="20"/>
          <w:szCs w:val="20"/>
          <w:color w:val="auto"/>
        </w:rPr>
      </w:pPr>
    </w:p>
    <w:p>
      <w:pPr>
        <w:ind w:left="1100" w:hanging="237"/>
        <w:spacing w:after="0"/>
        <w:tabs>
          <w:tab w:leader="none" w:pos="11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3" w:lineRule="exact"/>
        <w:rPr>
          <w:rFonts w:ascii="Times New Roman" w:cs="Times New Roman" w:eastAsia="Times New Roman" w:hAnsi="Times New Roman"/>
          <w:sz w:val="18"/>
          <w:szCs w:val="18"/>
          <w:color w:val="auto"/>
        </w:rPr>
      </w:pPr>
    </w:p>
    <w:p>
      <w:pPr>
        <w:ind w:left="980" w:right="440" w:firstLine="407"/>
        <w:spacing w:after="0" w:line="278" w:lineRule="auto"/>
        <w:tabs>
          <w:tab w:leader="none" w:pos="159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or pursuant to Section 8A under the Securities Act shall be pending before or threatened by the Commission;</w:t>
      </w:r>
    </w:p>
    <w:p>
      <w:pPr>
        <w:spacing w:after="0" w:line="55" w:lineRule="exact"/>
        <w:rPr>
          <w:rFonts w:ascii="Times New Roman" w:cs="Times New Roman" w:eastAsia="Times New Roman" w:hAnsi="Times New Roman"/>
          <w:sz w:val="18"/>
          <w:szCs w:val="18"/>
          <w:color w:val="auto"/>
        </w:rPr>
      </w:pPr>
    </w:p>
    <w:p>
      <w:pPr>
        <w:ind w:left="980" w:firstLine="407"/>
        <w:spacing w:after="0" w:line="258" w:lineRule="auto"/>
        <w:tabs>
          <w:tab w:leader="none" w:pos="1639"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from that set forth in the Time of Sale Prospectus that, in the judgment of the Representatives, is material and adverse and that makes it, in the judgment of the Representatives, impracticable to market the Shares on the terms and in the manner contemplated in the Time of Sale Prospectus.</w:t>
      </w:r>
    </w:p>
    <w:p>
      <w:pPr>
        <w:sectPr>
          <w:pgSz w:w="11900" w:h="16838" w:orient="portrait"/>
          <w:cols w:equalWidth="0" w:num="1">
            <w:col w:w="10900"/>
          </w:cols>
          <w:pgMar w:left="480" w:top="266" w:right="519" w:bottom="1440" w:gutter="0" w:footer="0" w:header="0"/>
        </w:sectPr>
      </w:pPr>
    </w:p>
    <w:bookmarkStart w:id="262" w:name="page263"/>
    <w:bookmarkEnd w:id="262"/>
    <w:p>
      <w:pPr>
        <w:ind w:left="440" w:right="80" w:firstLine="423"/>
        <w:spacing w:after="0" w:line="258" w:lineRule="auto"/>
        <w:tabs>
          <w:tab w:leader="none" w:pos="111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114" w:lineRule="exact"/>
        <w:rPr>
          <w:sz w:val="20"/>
          <w:szCs w:val="20"/>
          <w:color w:val="auto"/>
        </w:rPr>
      </w:pPr>
    </w:p>
    <w:p>
      <w:pPr>
        <w:ind w:left="440" w:right="360" w:firstLine="423"/>
        <w:spacing w:after="0" w:line="278" w:lineRule="auto"/>
        <w:tabs>
          <w:tab w:leader="none" w:pos="110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Fenwick &amp; West LLP, outside counsel for the Company, dated the Closing Date, in form and substance reasonably satisfactory to the Representatives.</w:t>
      </w:r>
    </w:p>
    <w:p>
      <w:pPr>
        <w:spacing w:after="0" w:line="55" w:lineRule="exact"/>
        <w:rPr>
          <w:rFonts w:ascii="Times New Roman" w:cs="Times New Roman" w:eastAsia="Times New Roman" w:hAnsi="Times New Roman"/>
          <w:sz w:val="18"/>
          <w:szCs w:val="18"/>
          <w:color w:val="auto"/>
        </w:rPr>
      </w:pPr>
    </w:p>
    <w:p>
      <w:pPr>
        <w:ind w:left="440" w:firstLine="423"/>
        <w:spacing w:after="0" w:line="263" w:lineRule="auto"/>
        <w:tabs>
          <w:tab w:leader="none" w:pos="111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opinions of each of Baker &amp; Hostetler LLP and Troutman Pepper Hamilton Sanders LLP, outside intellectual property counsel for the Company, each dated the Closing Date, in form and substance reasonably satisfactory to the Representatives.</w:t>
      </w:r>
    </w:p>
    <w:p>
      <w:pPr>
        <w:spacing w:after="0" w:line="68" w:lineRule="exact"/>
        <w:rPr>
          <w:rFonts w:ascii="Times New Roman" w:cs="Times New Roman" w:eastAsia="Times New Roman" w:hAnsi="Times New Roman"/>
          <w:sz w:val="18"/>
          <w:szCs w:val="18"/>
          <w:color w:val="auto"/>
        </w:rPr>
      </w:pPr>
    </w:p>
    <w:p>
      <w:pPr>
        <w:ind w:left="440" w:right="140" w:firstLine="423"/>
        <w:spacing w:after="0" w:line="278" w:lineRule="auto"/>
        <w:tabs>
          <w:tab w:leader="none" w:pos="110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Hyman, Phelps &amp; McNamara, P.C., outside regulatory counsel for the Company, dated the Closing Date, in form and substance reasonably satisfactory to the Representatives.</w:t>
      </w:r>
    </w:p>
    <w:p>
      <w:pPr>
        <w:spacing w:after="0" w:line="55" w:lineRule="exact"/>
        <w:rPr>
          <w:rFonts w:ascii="Times New Roman" w:cs="Times New Roman" w:eastAsia="Times New Roman" w:hAnsi="Times New Roman"/>
          <w:sz w:val="18"/>
          <w:szCs w:val="18"/>
          <w:color w:val="auto"/>
        </w:rPr>
      </w:pPr>
    </w:p>
    <w:p>
      <w:pPr>
        <w:ind w:left="440" w:right="520" w:firstLine="423"/>
        <w:spacing w:after="0" w:line="278" w:lineRule="auto"/>
        <w:tabs>
          <w:tab w:leader="none" w:pos="108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Cooley LLP, counsel for the Underwriters, dated the Closing Date, in form and substance reasonably satisfactory to the Representatives</w:t>
      </w:r>
    </w:p>
    <w:p>
      <w:pPr>
        <w:spacing w:after="0" w:line="162"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With respect to the negative assurance letters to be delivered pursuant to Sections 5(c) and 5(f) above, Fenwick &amp; West LLP and Cooley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0" w:lineRule="exact"/>
        <w:rPr>
          <w:sz w:val="20"/>
          <w:szCs w:val="20"/>
          <w:color w:val="auto"/>
        </w:rPr>
      </w:pPr>
    </w:p>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t>The opinion and negative assurance letter of Fenwick &amp; West LLP described in Section 5(c) above shall be rendered to the Underwriters at the request of the Company and shall so state therein.</w:t>
      </w:r>
    </w:p>
    <w:p>
      <w:pPr>
        <w:spacing w:after="0" w:line="55" w:lineRule="exact"/>
        <w:rPr>
          <w:sz w:val="20"/>
          <w:szCs w:val="20"/>
          <w:color w:val="auto"/>
        </w:rPr>
      </w:pPr>
    </w:p>
    <w:p>
      <w:pPr>
        <w:ind w:left="440" w:right="20" w:firstLine="423"/>
        <w:spacing w:after="0" w:line="255" w:lineRule="auto"/>
        <w:tabs>
          <w:tab w:leader="none" w:pos="111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ectPr>
          <w:pgSz w:w="11900" w:h="16838" w:orient="portrait"/>
          <w:cols w:equalWidth="0" w:num="1">
            <w:col w:w="10880"/>
          </w:cols>
          <w:pgMar w:left="480" w:top="268" w:right="539" w:bottom="1440" w:gutter="0" w:footer="0" w:header="0"/>
        </w:sectPr>
      </w:pPr>
    </w:p>
    <w:bookmarkStart w:id="263" w:name="page264"/>
    <w:bookmarkEnd w:id="263"/>
    <w:p>
      <w:pPr>
        <w:ind w:left="-423" w:right="60" w:firstLine="423"/>
        <w:spacing w:after="0" w:line="285" w:lineRule="auto"/>
        <w:tabs>
          <w:tab w:leader="none" w:pos="249"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Underwriters shall have received, on each of the date hereof and the Closing Date, a certificate dated the date hereof or the Closing Date, as the case may be, in form and substance satisfactory to the Representatives, from the chief financial officer of the Company as to the accuracy of certain financial and other information included in the Registration Statement, the Time of Sale Prospectus and the Prospectus.]</w:t>
      </w:r>
    </w:p>
    <w:p>
      <w:pPr>
        <w:spacing w:after="0" w:line="52" w:lineRule="exact"/>
        <w:rPr>
          <w:rFonts w:ascii="Times New Roman" w:cs="Times New Roman" w:eastAsia="Times New Roman" w:hAnsi="Times New Roman"/>
          <w:sz w:val="17"/>
          <w:szCs w:val="17"/>
          <w:color w:val="auto"/>
        </w:rPr>
      </w:pPr>
    </w:p>
    <w:p>
      <w:pPr>
        <w:ind w:left="-423" w:right="220" w:firstLine="423"/>
        <w:spacing w:after="0" w:line="263" w:lineRule="auto"/>
        <w:tabs>
          <w:tab w:leader="none" w:pos="20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between the Representatives and certain stockholders, officers and directors of the Company relating to restrictions on sales and certain other dispositions of shares of Common Stock or certain other securities, delivered to the Representatives on or before the date hereof, shall be in full force and effect on the Closing Date.</w:t>
      </w:r>
    </w:p>
    <w:p>
      <w:pPr>
        <w:spacing w:after="0" w:line="68" w:lineRule="exact"/>
        <w:rPr>
          <w:rFonts w:ascii="Times New Roman" w:cs="Times New Roman" w:eastAsia="Times New Roman" w:hAnsi="Times New Roman"/>
          <w:sz w:val="18"/>
          <w:szCs w:val="18"/>
          <w:color w:val="auto"/>
        </w:rPr>
      </w:pPr>
    </w:p>
    <w:p>
      <w:pPr>
        <w:ind w:left="217" w:hanging="217"/>
        <w:spacing w:after="0"/>
        <w:tabs>
          <w:tab w:leader="none" w:pos="21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Global Market.</w:t>
      </w:r>
    </w:p>
    <w:p>
      <w:pPr>
        <w:spacing w:after="0" w:line="113" w:lineRule="exact"/>
        <w:rPr>
          <w:rFonts w:ascii="Times New Roman" w:cs="Times New Roman" w:eastAsia="Times New Roman" w:hAnsi="Times New Roman"/>
          <w:sz w:val="18"/>
          <w:szCs w:val="18"/>
          <w:color w:val="auto"/>
        </w:rPr>
      </w:pPr>
    </w:p>
    <w:p>
      <w:pPr>
        <w:ind w:left="-423" w:firstLine="423"/>
        <w:spacing w:after="0" w:line="278" w:lineRule="auto"/>
        <w:tabs>
          <w:tab w:leader="none" w:pos="24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Shares hereunder are subject to the delivery to the Representatives on the applicable Option Closing Date of the following:</w:t>
      </w:r>
    </w:p>
    <w:p>
      <w:pPr>
        <w:spacing w:after="0" w:line="55" w:lineRule="exact"/>
        <w:rPr>
          <w:rFonts w:ascii="Times New Roman" w:cs="Times New Roman" w:eastAsia="Times New Roman" w:hAnsi="Times New Roman"/>
          <w:sz w:val="18"/>
          <w:szCs w:val="18"/>
          <w:color w:val="auto"/>
        </w:rPr>
      </w:pPr>
    </w:p>
    <w:p>
      <w:pPr>
        <w:ind w:left="117" w:right="320" w:firstLine="407"/>
        <w:spacing w:after="0" w:line="278" w:lineRule="auto"/>
        <w:tabs>
          <w:tab w:leader="none" w:pos="727"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55" w:lineRule="exact"/>
        <w:rPr>
          <w:rFonts w:ascii="Times New Roman" w:cs="Times New Roman" w:eastAsia="Times New Roman" w:hAnsi="Times New Roman"/>
          <w:sz w:val="18"/>
          <w:szCs w:val="18"/>
          <w:color w:val="auto"/>
        </w:rPr>
      </w:pPr>
    </w:p>
    <w:p>
      <w:pPr>
        <w:ind w:left="117" w:right="320" w:firstLine="407"/>
        <w:spacing w:after="0" w:line="263" w:lineRule="auto"/>
        <w:tabs>
          <w:tab w:leader="none" w:pos="777"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Fenwick &amp; West LLP, outside counsel for the Company, dated the Option Closing Date, relating to the Additional Shares to be purchased on such Option Closing Date and otherwise to the same effect as the opinion required by Section 5(c) hereof;</w:t>
      </w:r>
    </w:p>
    <w:p>
      <w:pPr>
        <w:spacing w:after="0" w:line="68" w:lineRule="exact"/>
        <w:rPr>
          <w:rFonts w:ascii="Times New Roman" w:cs="Times New Roman" w:eastAsia="Times New Roman" w:hAnsi="Times New Roman"/>
          <w:sz w:val="18"/>
          <w:szCs w:val="18"/>
          <w:color w:val="auto"/>
        </w:rPr>
      </w:pPr>
    </w:p>
    <w:p>
      <w:pPr>
        <w:ind w:left="117" w:right="100" w:firstLine="407"/>
        <w:spacing w:after="0" w:line="263" w:lineRule="auto"/>
        <w:tabs>
          <w:tab w:leader="none" w:pos="82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of each of Baker &amp; Hostetler LLP and Troutman Pepper Hamilton Sanders LLP, outside intellectual property counsel for the Company, each dated the Option Closing Date, relating to the Additional Shares to be purchased on such Option Closing Date and otherwise to the same effect as the opinion, as applicable, required by Section 5(d) hereof;</w:t>
      </w:r>
    </w:p>
    <w:p>
      <w:pPr>
        <w:spacing w:after="0" w:line="68" w:lineRule="exact"/>
        <w:rPr>
          <w:rFonts w:ascii="Times New Roman" w:cs="Times New Roman" w:eastAsia="Times New Roman" w:hAnsi="Times New Roman"/>
          <w:sz w:val="18"/>
          <w:szCs w:val="18"/>
          <w:color w:val="auto"/>
        </w:rPr>
      </w:pPr>
    </w:p>
    <w:p>
      <w:pPr>
        <w:ind w:left="117" w:right="60" w:firstLine="407"/>
        <w:spacing w:after="0" w:line="263" w:lineRule="auto"/>
        <w:tabs>
          <w:tab w:leader="none" w:pos="81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Hyman, Phelps &amp; McNamara, P.C., outside regulatory counsel for the Company, dated the Option Closing Date, relating to the Additional Shares to be purchased on such Option Closing Date and otherwise to the same effect as the opinion required by Section 5(e) hereof;</w:t>
      </w:r>
    </w:p>
    <w:p>
      <w:pPr>
        <w:sectPr>
          <w:pgSz w:w="11900" w:h="16838" w:orient="portrait"/>
          <w:cols w:equalWidth="0" w:num="1">
            <w:col w:w="10037"/>
          </w:cols>
          <w:pgMar w:left="1343" w:top="268" w:right="519" w:bottom="1440" w:gutter="0" w:footer="0" w:header="0"/>
        </w:sectPr>
      </w:pPr>
    </w:p>
    <w:bookmarkStart w:id="264" w:name="page265"/>
    <w:bookmarkEnd w:id="264"/>
    <w:p>
      <w:pPr>
        <w:ind w:left="536" w:right="120" w:firstLine="407"/>
        <w:spacing w:after="0" w:line="263" w:lineRule="auto"/>
        <w:tabs>
          <w:tab w:leader="none" w:pos="1186"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 opinion and negative assurance letter of Cooley LLP, counsel for the Underwriters, dated the Option Closing Date, relating to the Additional Shares to be purchased on such Option Closing Date and otherwise to the same effect as the opinion required by Section 5(f) hereof;</w:t>
      </w:r>
    </w:p>
    <w:p>
      <w:pPr>
        <w:spacing w:after="0" w:line="68" w:lineRule="exact"/>
        <w:rPr>
          <w:rFonts w:ascii="Times New Roman" w:cs="Times New Roman" w:eastAsia="Times New Roman" w:hAnsi="Times New Roman"/>
          <w:sz w:val="18"/>
          <w:szCs w:val="18"/>
          <w:color w:val="auto"/>
        </w:rPr>
      </w:pPr>
    </w:p>
    <w:p>
      <w:pPr>
        <w:ind w:left="536" w:right="240" w:firstLine="407"/>
        <w:spacing w:after="0" w:line="258" w:lineRule="auto"/>
        <w:tabs>
          <w:tab w:leader="none" w:pos="1235"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dated the Option Closing Date, in form and substance satisfactory to the Underwriters, from Ernst &amp; Young LLP independent public accountants, substantially in the same form and substance as the letter furnished to the Underwriters pursuant to Section 5(g)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w:t>
      </w:r>
    </w:p>
    <w:p>
      <w:pPr>
        <w:spacing w:after="0" w:line="72" w:lineRule="exact"/>
        <w:rPr>
          <w:rFonts w:ascii="Times New Roman" w:cs="Times New Roman" w:eastAsia="Times New Roman" w:hAnsi="Times New Roman"/>
          <w:sz w:val="18"/>
          <w:szCs w:val="18"/>
          <w:color w:val="auto"/>
        </w:rPr>
      </w:pPr>
    </w:p>
    <w:p>
      <w:pPr>
        <w:ind w:left="536" w:right="60" w:firstLine="407"/>
        <w:spacing w:after="0" w:line="278" w:lineRule="auto"/>
        <w:tabs>
          <w:tab w:leader="none" w:pos="1285"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the chief financial officer of the Company, dated the Option Closing Date, substantially in the same form and substance as the certificate delivered to the Underwriters pursuant to Section 5(h) hereof;] and</w:t>
      </w:r>
    </w:p>
    <w:p>
      <w:pPr>
        <w:spacing w:after="0" w:line="55" w:lineRule="exact"/>
        <w:rPr>
          <w:rFonts w:ascii="Times New Roman" w:cs="Times New Roman" w:eastAsia="Times New Roman" w:hAnsi="Times New Roman"/>
          <w:sz w:val="18"/>
          <w:szCs w:val="18"/>
          <w:color w:val="auto"/>
        </w:rPr>
      </w:pPr>
    </w:p>
    <w:p>
      <w:pPr>
        <w:ind w:left="536" w:right="20" w:firstLine="407"/>
        <w:spacing w:after="0" w:line="263" w:lineRule="auto"/>
        <w:tabs>
          <w:tab w:leader="none" w:pos="1334"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66" w:lineRule="exact"/>
        <w:rPr>
          <w:rFonts w:ascii="Times New Roman" w:cs="Times New Roman" w:eastAsia="Times New Roman" w:hAnsi="Times New Roman"/>
          <w:sz w:val="18"/>
          <w:szCs w:val="18"/>
          <w:color w:val="auto"/>
        </w:rPr>
      </w:pPr>
    </w:p>
    <w:p>
      <w:pPr>
        <w:ind w:left="176" w:hanging="176"/>
        <w:spacing w:after="0"/>
        <w:tabs>
          <w:tab w:leader="none" w:pos="17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5" w:lineRule="exact"/>
        <w:rPr>
          <w:rFonts w:ascii="Times New Roman" w:cs="Times New Roman" w:eastAsia="Times New Roman" w:hAnsi="Times New Roman"/>
          <w:sz w:val="18"/>
          <w:szCs w:val="18"/>
          <w:color w:val="auto"/>
        </w:rPr>
      </w:pPr>
    </w:p>
    <w:p>
      <w:pPr>
        <w:ind w:left="-4" w:firstLine="423"/>
        <w:spacing w:after="0" w:line="255" w:lineRule="auto"/>
        <w:tabs>
          <w:tab w:leader="none" w:pos="65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without charge, four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77" w:lineRule="exact"/>
        <w:rPr>
          <w:rFonts w:ascii="Times New Roman" w:cs="Times New Roman" w:eastAsia="Times New Roman" w:hAnsi="Times New Roman"/>
          <w:sz w:val="18"/>
          <w:szCs w:val="18"/>
          <w:color w:val="auto"/>
        </w:rPr>
      </w:pPr>
    </w:p>
    <w:p>
      <w:pPr>
        <w:ind w:left="-4" w:right="60" w:firstLine="423"/>
        <w:spacing w:after="0" w:line="258" w:lineRule="auto"/>
        <w:tabs>
          <w:tab w:leader="none" w:pos="66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objects, and to file with the Commission within the applicable period specified in Rule 424(b) under the Securities Act any prospectus required to be filed pursuant to such Rule.</w:t>
      </w:r>
    </w:p>
    <w:p>
      <w:pPr>
        <w:sectPr>
          <w:pgSz w:w="11900" w:h="16838" w:orient="portrait"/>
          <w:cols w:equalWidth="0" w:num="1">
            <w:col w:w="10476"/>
          </w:cols>
          <w:pgMar w:left="924" w:top="268" w:right="499" w:bottom="1440" w:gutter="0" w:footer="0" w:header="0"/>
        </w:sectPr>
      </w:pPr>
    </w:p>
    <w:bookmarkStart w:id="265" w:name="page266"/>
    <w:bookmarkEnd w:id="265"/>
    <w:p>
      <w:pPr>
        <w:ind w:right="100" w:firstLine="423"/>
        <w:spacing w:after="0" w:line="278" w:lineRule="auto"/>
        <w:tabs>
          <w:tab w:leader="none" w:pos="66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55" w:lineRule="exact"/>
        <w:rPr>
          <w:rFonts w:ascii="Times New Roman" w:cs="Times New Roman" w:eastAsia="Times New Roman" w:hAnsi="Times New Roman"/>
          <w:sz w:val="18"/>
          <w:szCs w:val="18"/>
          <w:color w:val="auto"/>
        </w:rPr>
      </w:pPr>
    </w:p>
    <w:p>
      <w:pPr>
        <w:ind w:right="100" w:firstLine="423"/>
        <w:spacing w:after="0" w:line="263" w:lineRule="auto"/>
        <w:tabs>
          <w:tab w:leader="none" w:pos="67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8" w:lineRule="exact"/>
        <w:rPr>
          <w:rFonts w:ascii="Times New Roman" w:cs="Times New Roman" w:eastAsia="Times New Roman" w:hAnsi="Times New Roman"/>
          <w:sz w:val="18"/>
          <w:szCs w:val="18"/>
          <w:color w:val="auto"/>
        </w:rPr>
      </w:pPr>
    </w:p>
    <w:p>
      <w:pPr>
        <w:ind w:right="80" w:firstLine="423"/>
        <w:spacing w:after="0" w:line="251" w:lineRule="auto"/>
        <w:tabs>
          <w:tab w:leader="none" w:pos="66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82" w:lineRule="exact"/>
        <w:rPr>
          <w:rFonts w:ascii="Times New Roman" w:cs="Times New Roman" w:eastAsia="Times New Roman" w:hAnsi="Times New Roman"/>
          <w:sz w:val="18"/>
          <w:szCs w:val="18"/>
          <w:color w:val="auto"/>
        </w:rPr>
      </w:pPr>
    </w:p>
    <w:p>
      <w:pPr>
        <w:ind w:left="640" w:hanging="217"/>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Shares as in the opinion of counsel for the Underwriters the</w:t>
      </w:r>
    </w:p>
    <w:p>
      <w:pPr>
        <w:spacing w:after="0" w:line="25" w:lineRule="exact"/>
        <w:rPr>
          <w:rFonts w:ascii="Times New Roman" w:cs="Times New Roman" w:eastAsia="Times New Roman" w:hAnsi="Times New Roman"/>
          <w:sz w:val="18"/>
          <w:szCs w:val="18"/>
          <w:color w:val="auto"/>
        </w:rPr>
      </w:pPr>
    </w:p>
    <w:p>
      <w:pPr>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ectPr>
          <w:pgSz w:w="11900" w:h="16838" w:orient="portrait"/>
          <w:cols w:equalWidth="0" w:num="1">
            <w:col w:w="10440"/>
          </w:cols>
          <w:pgMar w:left="920" w:top="268" w:right="539" w:bottom="1440" w:gutter="0" w:footer="0" w:header="0"/>
        </w:sectPr>
      </w:pPr>
    </w:p>
    <w:bookmarkStart w:id="266" w:name="page267"/>
    <w:bookmarkEnd w:id="266"/>
    <w:p>
      <w:pPr>
        <w:ind w:left="-423" w:firstLine="423"/>
        <w:spacing w:after="0" w:line="258" w:lineRule="auto"/>
        <w:tabs>
          <w:tab w:leader="none" w:pos="24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required by applicable law, to endeavor to qualify the Shares for offer and sale under the securities or Blue Sky laws of such jurisdictions as the Representatives shall reasonably request; provided, however, that nothing contained herein shall require the Company to qualify to do business in any jurisdiction, to execute a general consent of service of process in any jurisdiction or to subject itself to taxation in any jurisdiction in which it is not otherwise subject.</w:t>
      </w:r>
    </w:p>
    <w:p>
      <w:pPr>
        <w:spacing w:after="0" w:line="72" w:lineRule="exact"/>
        <w:rPr>
          <w:rFonts w:ascii="Times New Roman" w:cs="Times New Roman" w:eastAsia="Times New Roman" w:hAnsi="Times New Roman"/>
          <w:sz w:val="18"/>
          <w:szCs w:val="18"/>
          <w:color w:val="auto"/>
        </w:rPr>
      </w:pPr>
    </w:p>
    <w:p>
      <w:pPr>
        <w:ind w:left="-423" w:right="120" w:firstLine="423"/>
        <w:spacing w:after="0" w:line="255" w:lineRule="auto"/>
        <w:tabs>
          <w:tab w:leader="none" w:pos="24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the Representatives as soon as reasonably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provided, however, that the Company will be deemed to have furnished such statement to its security holders to the extent it is filed on the Commission’s Electronic Data Gathering, Analysis and Retrieval System.</w:t>
      </w:r>
    </w:p>
    <w:p>
      <w:pPr>
        <w:spacing w:after="0" w:line="77" w:lineRule="exact"/>
        <w:rPr>
          <w:rFonts w:ascii="Times New Roman" w:cs="Times New Roman" w:eastAsia="Times New Roman" w:hAnsi="Times New Roman"/>
          <w:sz w:val="18"/>
          <w:szCs w:val="18"/>
          <w:color w:val="auto"/>
        </w:rPr>
      </w:pPr>
    </w:p>
    <w:p>
      <w:pPr>
        <w:ind w:left="-423" w:right="20" w:firstLine="423"/>
        <w:spacing w:after="0" w:line="278" w:lineRule="auto"/>
        <w:tabs>
          <w:tab w:leader="none" w:pos="20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applicable securities and other laws, rules and regulations in each jurisdiction in which the Directed Shares are offered in connection with the Directed Share Program.</w:t>
      </w:r>
    </w:p>
    <w:p>
      <w:pPr>
        <w:spacing w:after="0" w:line="55" w:lineRule="exact"/>
        <w:rPr>
          <w:rFonts w:ascii="Times New Roman" w:cs="Times New Roman" w:eastAsia="Times New Roman" w:hAnsi="Times New Roman"/>
          <w:sz w:val="18"/>
          <w:szCs w:val="18"/>
          <w:color w:val="auto"/>
        </w:rPr>
      </w:pPr>
    </w:p>
    <w:p>
      <w:pPr>
        <w:ind w:left="-423" w:right="40" w:firstLine="423"/>
        <w:spacing w:after="0" w:line="250" w:lineRule="auto"/>
        <w:tabs>
          <w:tab w:leader="none" w:pos="20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authorization, issuance, preparation, transfer, sale and delivery of the Shares to the Underwriters pursuant to this Agreement or the execution and delivery of this Agreement, including any issue, transfer, stamp or other similar taxes or duties (including any interest and penalties thereon)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and documented fees and disbursements of counsel for the Underwriters in connection with such qualification and in</w:t>
      </w:r>
    </w:p>
    <w:p>
      <w:pPr>
        <w:sectPr>
          <w:pgSz w:w="11900" w:h="16838" w:orient="portrait"/>
          <w:cols w:equalWidth="0" w:num="1">
            <w:col w:w="10057"/>
          </w:cols>
          <w:pgMar w:left="1343" w:top="268" w:right="499" w:bottom="1440" w:gutter="0" w:footer="0" w:header="0"/>
        </w:sectPr>
      </w:pPr>
    </w:p>
    <w:bookmarkStart w:id="267" w:name="page268"/>
    <w:bookmarkEnd w:id="267"/>
    <w:p>
      <w:pPr>
        <w:ind w:right="16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connection with the Blue Sky or Legal Investment memorandum (provided that the amount payable by the Company with respect to the fees and disbursements of counsel for the Underwriters pursuant to clause (iii) shall not exceed $5,000 in the aggregate), (iv) all filing fees and the reasonable fees and disbursements of counsel to the Underwriters incurred in connection with the review and qualification of the offering of the Shares by FINRA (provided that the amount payable by the Company with respect to the fees and disbursements of counsel for the Underwriters pursuant to clause (v) shall not exceed $30,000 in the aggregate,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w:t>
      </w:r>
    </w:p>
    <w:p>
      <w:pPr>
        <w:ind w:firstLine="4"/>
        <w:spacing w:after="0" w:line="248" w:lineRule="auto"/>
        <w:tabs>
          <w:tab w:leader="none" w:pos="40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the cost of such aircraft to be paid by the Underwriters, (ix) the document production charges and expenses associated with printing this Agreement, (x) all fees and disbursements of counsel incurred by the Underwriters in connection with the Directed Share Program and issue, transfer, stamp or other similar taxes or duties (including any interest and penalties thereon), if any, incurred by the Underwriters in connection with the Directed Share Program and (xi) all other costs and expenses incident to the performance of the obligations of the Company hereunder for which provision is not otherwise made in this Section. It is understood, however, that except as provided in this Section, Section 8 entitled “Indemnity and Contribution”, Section 9 entitled “Directed Share Program Indemnification” and the last paragraph of Section 11 below, the Underwriters will pay all of their costs and expenses, including fees and disbursements of their counsel, stock transfer taxes payable on resale of any of the Shares held by them and any advertising expenses connected with any offers they may make.</w:t>
      </w:r>
    </w:p>
    <w:p>
      <w:pPr>
        <w:spacing w:after="0" w:line="89" w:lineRule="exact"/>
        <w:rPr>
          <w:rFonts w:ascii="Times New Roman" w:cs="Times New Roman" w:eastAsia="Times New Roman" w:hAnsi="Times New Roman"/>
          <w:sz w:val="18"/>
          <w:szCs w:val="18"/>
          <w:color w:val="auto"/>
        </w:rPr>
      </w:pPr>
    </w:p>
    <w:p>
      <w:pPr>
        <w:ind w:right="20" w:firstLine="423"/>
        <w:spacing w:after="0" w:line="263" w:lineRule="auto"/>
        <w:tabs>
          <w:tab w:leader="none" w:pos="67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68" w:lineRule="exact"/>
        <w:rPr>
          <w:rFonts w:ascii="Times New Roman" w:cs="Times New Roman" w:eastAsia="Times New Roman" w:hAnsi="Times New Roman"/>
          <w:sz w:val="18"/>
          <w:szCs w:val="18"/>
          <w:color w:val="auto"/>
        </w:rPr>
      </w:pPr>
    </w:p>
    <w:p>
      <w:pPr>
        <w:ind w:right="40" w:firstLine="423"/>
        <w:spacing w:after="0" w:line="255" w:lineRule="auto"/>
        <w:tabs>
          <w:tab w:leader="none" w:pos="63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ectPr>
          <w:pgSz w:w="11900" w:h="16838" w:orient="portrait"/>
          <w:cols w:equalWidth="0" w:num="1">
            <w:col w:w="10480"/>
          </w:cols>
          <w:pgMar w:left="920" w:top="268" w:right="499" w:bottom="1440" w:gutter="0" w:footer="0" w:header="0"/>
        </w:sectPr>
      </w:pPr>
    </w:p>
    <w:bookmarkStart w:id="268" w:name="page269"/>
    <w:bookmarkEnd w:id="268"/>
    <w:p>
      <w:pPr>
        <w:ind w:left="440" w:right="320" w:firstLine="423"/>
        <w:spacing w:after="0" w:line="258" w:lineRule="auto"/>
        <w:tabs>
          <w:tab w:leader="none" w:pos="116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0"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The Company also covenants with each Underwriter that, without the prior written consent of the Representatives on behalf of the Underwriters, it will not, and will not publicly disclose an intention to, during the period ending 180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w:t>
      </w:r>
    </w:p>
    <w:p>
      <w:pPr>
        <w:ind w:firstLine="7"/>
        <w:spacing w:after="0" w:line="249" w:lineRule="auto"/>
        <w:tabs>
          <w:tab w:leader="none" w:pos="25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91" w:lineRule="exact"/>
        <w:rPr>
          <w:sz w:val="20"/>
          <w:szCs w:val="20"/>
          <w:color w:val="auto"/>
        </w:rPr>
      </w:pPr>
    </w:p>
    <w:p>
      <w:pPr>
        <w:ind w:right="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The restrictions contained in the preceding paragraph shall not apply to (A) the Shares to be sold hereunder, (B) the issuance by the Company of shares of Common Stock or securities convertible into or exercisable for shares of Common Stock upon the exercise of an option or warrant or the conversion of a security outstanding on the date hereof as described in each of the Time of Sale Prospectus and the Prospectus, (C) the issuance by the Company of shares of Common Stock or Non-Voting Common Stock upon the exchange of any security exchangeable therefor or the conversion of any security convertible therefor pursuant to a contractual arrangement or other right described in the Time of Sale Prospectus and the Prospectus, provided, that the Company shall cause each recipient of such issuance to execute and deliver to the Representatives an agreement substantively in the form of Exhibit A hereto if such recipient has not already delivered one, (D) facilitating the establishment of a trading plan on behalf of a stockholder, officer or director of the Company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(E) the grant of any</w:t>
      </w:r>
    </w:p>
    <w:p>
      <w:pPr>
        <w:sectPr>
          <w:pgSz w:w="11900" w:h="16838" w:orient="portrait"/>
          <w:cols w:equalWidth="0" w:num="1">
            <w:col w:w="10920"/>
          </w:cols>
          <w:pgMar w:left="480" w:top="268" w:right="499" w:bottom="1440" w:gutter="0" w:footer="0" w:header="0"/>
        </w:sectPr>
      </w:pPr>
    </w:p>
    <w:bookmarkStart w:id="269" w:name="page270"/>
    <w:bookmarkEnd w:id="269"/>
    <w:p>
      <w:pPr>
        <w:ind w:right="2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options to purchase shares of Common Stock or other awards granted under a stock incentive plan or stock purchase plan described in the Registration Statement, Time of Sale Prospectus and the Prospectus, and the issuance by the Company of shares of Common Stock upon the exercise thereof, provided that the Company shall cause each recipient of such grant to execute and deliver to the Representatives an agreement substantially in the form of Exhibit A hereto if such recipient has not already delivered one, (F) the filing by the Company of any registration statement on Form S-8 or a successor form thereto relating to the shares of Common Stock granted pursuant to or reserved for issuance under a stock incentive plan or stock purchase plan described in the Registration Statement, Time of Sale Prospectus and the Prospectus, or (G) shares of Common Stock or other securities issued in connection with a transaction with an unaffiliated third party that includes a debt financing or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 provided that (x) the aggregate number of shares issued pursuant to this clause (G) shall not exceed 5% of the total number of outstanding shares of Common Stock immediately following the issuance and sale of the Shares to be sold hereunder and (y) the recipient of any such shares of Common Stock and securities issued pursuant to this clause (G) during the 180-day restricted period described above shall enter into an agreement substantially in the form of Exhibit A hereto on or prior to such issuance.</w:t>
      </w:r>
    </w:p>
    <w:p>
      <w:pPr>
        <w:spacing w:after="0" w:line="182"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If the Representatives, in their sole discretion, agree to release or waive the restrictions set forth in a lock-up letter described in Section 5(g)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71" w:lineRule="exact"/>
        <w:rPr>
          <w:sz w:val="20"/>
          <w:szCs w:val="20"/>
          <w:color w:val="auto"/>
        </w:rPr>
      </w:pPr>
    </w:p>
    <w:p>
      <w:pPr>
        <w:ind w:right="400" w:firstLine="444"/>
        <w:spacing w:after="0" w:line="264" w:lineRule="auto"/>
        <w:tabs>
          <w:tab w:leader="none" w:pos="6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65" w:lineRule="exact"/>
        <w:rPr>
          <w:rFonts w:ascii="Times New Roman" w:cs="Times New Roman" w:eastAsia="Times New Roman" w:hAnsi="Times New Roman"/>
          <w:sz w:val="18"/>
          <w:szCs w:val="18"/>
          <w:color w:val="auto"/>
        </w:rPr>
      </w:pPr>
    </w:p>
    <w:p>
      <w:pPr>
        <w:ind w:right="80" w:firstLine="444"/>
        <w:spacing w:after="0" w:line="253" w:lineRule="auto"/>
        <w:tabs>
          <w:tab w:leader="none" w:pos="6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Indemnity and Contribution. </w:t>
      </w:r>
      <w:r>
        <w:rPr>
          <w:rFonts w:ascii="Times New Roman" w:cs="Times New Roman" w:eastAsia="Times New Roman" w:hAnsi="Times New Roman"/>
          <w:sz w:val="18"/>
          <w:szCs w:val="18"/>
          <w:color w:val="auto"/>
        </w:rPr>
        <w:t>(a) The Company agrees to indemnify and hold harmless each Underwriter, each person, if any, who controls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w:t>
      </w:r>
    </w:p>
    <w:p>
      <w:pPr>
        <w:sectPr>
          <w:pgSz w:w="11900" w:h="16838" w:orient="portrait"/>
          <w:cols w:equalWidth="0" w:num="1">
            <w:col w:w="10920"/>
          </w:cols>
          <w:pgMar w:left="480" w:top="268" w:right="499" w:bottom="1440" w:gutter="0" w:footer="0" w:header="0"/>
        </w:sectPr>
      </w:pPr>
    </w:p>
    <w:bookmarkStart w:id="270" w:name="page271"/>
    <w:bookmarkEnd w:id="270"/>
    <w:p>
      <w:pPr>
        <w:ind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Underwriter Information.</w:t>
      </w:r>
    </w:p>
    <w:p>
      <w:pPr>
        <w:spacing w:after="0" w:line="65" w:lineRule="exact"/>
        <w:rPr>
          <w:sz w:val="20"/>
          <w:szCs w:val="20"/>
          <w:color w:val="auto"/>
        </w:rPr>
      </w:pPr>
    </w:p>
    <w:p>
      <w:pPr>
        <w:ind w:left="440" w:right="40" w:firstLine="423"/>
        <w:spacing w:after="0" w:line="253" w:lineRule="auto"/>
        <w:tabs>
          <w:tab w:leader="none" w:pos="111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the Underwriters consists of the Underwriter Information.</w:t>
      </w:r>
    </w:p>
    <w:p>
      <w:pPr>
        <w:spacing w:after="0" w:line="77" w:lineRule="exact"/>
        <w:rPr>
          <w:rFonts w:ascii="Times New Roman" w:cs="Times New Roman" w:eastAsia="Times New Roman" w:hAnsi="Times New Roman"/>
          <w:sz w:val="18"/>
          <w:szCs w:val="18"/>
          <w:color w:val="auto"/>
        </w:rPr>
      </w:pPr>
    </w:p>
    <w:p>
      <w:pPr>
        <w:ind w:left="440" w:firstLine="423"/>
        <w:spacing w:after="0" w:line="250" w:lineRule="auto"/>
        <w:tabs>
          <w:tab w:leader="none" w:pos="110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reasonably incurred fees and expenses of more than one separate firm (in addition to any local counsel) for all such indemnified parties and that all such fees and</w:t>
      </w:r>
    </w:p>
    <w:p>
      <w:pPr>
        <w:sectPr>
          <w:pgSz w:w="11900" w:h="16838" w:orient="portrait"/>
          <w:cols w:equalWidth="0" w:num="1">
            <w:col w:w="10900"/>
          </w:cols>
          <w:pgMar w:left="480" w:top="268" w:right="519" w:bottom="1440" w:gutter="0" w:footer="0" w:header="0"/>
        </w:sectPr>
      </w:pPr>
    </w:p>
    <w:bookmarkStart w:id="271" w:name="page272"/>
    <w:bookmarkEnd w:id="271"/>
    <w:p>
      <w:pPr>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w:t>
      </w:r>
    </w:p>
    <w:p>
      <w:pPr>
        <w:spacing w:after="0" w:line="7" w:lineRule="exact"/>
        <w:rPr>
          <w:sz w:val="20"/>
          <w:szCs w:val="20"/>
          <w:color w:val="auto"/>
        </w:rPr>
      </w:pPr>
    </w:p>
    <w:p>
      <w:pPr>
        <w:ind w:right="180" w:firstLine="4"/>
        <w:spacing w:after="0" w:line="256" w:lineRule="auto"/>
        <w:tabs>
          <w:tab w:leader="none" w:pos="21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74" w:lineRule="exact"/>
        <w:rPr>
          <w:rFonts w:ascii="Times New Roman" w:cs="Times New Roman" w:eastAsia="Times New Roman" w:hAnsi="Times New Roman"/>
          <w:sz w:val="18"/>
          <w:szCs w:val="18"/>
          <w:color w:val="auto"/>
        </w:rPr>
      </w:pPr>
    </w:p>
    <w:p>
      <w:pPr>
        <w:ind w:right="40" w:firstLine="423"/>
        <w:spacing w:after="0" w:line="250" w:lineRule="auto"/>
        <w:tabs>
          <w:tab w:leader="none" w:pos="67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(after deducting underwriting discounts and commissions but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w:t>
      </w:r>
    </w:p>
    <w:p>
      <w:pPr>
        <w:sectPr>
          <w:pgSz w:w="11900" w:h="16838" w:orient="portrait"/>
          <w:cols w:equalWidth="0" w:num="1">
            <w:col w:w="10440"/>
          </w:cols>
          <w:pgMar w:left="920" w:top="268" w:right="539" w:bottom="1440" w:gutter="0" w:footer="0" w:header="0"/>
        </w:sectPr>
      </w:pPr>
    </w:p>
    <w:bookmarkStart w:id="272" w:name="page273"/>
    <w:bookmarkEnd w:id="272"/>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77" w:lineRule="exact"/>
        <w:rPr>
          <w:sz w:val="20"/>
          <w:szCs w:val="20"/>
          <w:color w:val="auto"/>
        </w:rPr>
      </w:pPr>
    </w:p>
    <w:p>
      <w:pPr>
        <w:ind w:right="40" w:firstLine="423"/>
        <w:spacing w:after="0" w:line="251" w:lineRule="auto"/>
        <w:tabs>
          <w:tab w:leader="none" w:pos="66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79" w:lineRule="exact"/>
        <w:rPr>
          <w:rFonts w:ascii="Times New Roman" w:cs="Times New Roman" w:eastAsia="Times New Roman" w:hAnsi="Times New Roman"/>
          <w:sz w:val="18"/>
          <w:szCs w:val="18"/>
          <w:color w:val="auto"/>
        </w:rPr>
      </w:pPr>
    </w:p>
    <w:p>
      <w:pPr>
        <w:ind w:right="360" w:firstLine="423"/>
        <w:spacing w:after="0" w:line="274" w:lineRule="auto"/>
        <w:tabs>
          <w:tab w:leader="none" w:pos="642"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firstLine="4"/>
        <w:spacing w:after="0" w:line="252" w:lineRule="auto"/>
        <w:tabs>
          <w:tab w:leader="none" w:pos="26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76" w:lineRule="exact"/>
        <w:rPr>
          <w:sz w:val="20"/>
          <w:szCs w:val="20"/>
          <w:color w:val="auto"/>
        </w:rPr>
      </w:pPr>
    </w:p>
    <w:p>
      <w:pPr>
        <w:ind w:left="-440" w:right="180" w:firstLine="444"/>
        <w:spacing w:after="0" w:line="256" w:lineRule="auto"/>
        <w:tabs>
          <w:tab w:leader="none" w:pos="17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Directed Share Program Indemnification. </w:t>
      </w:r>
      <w:r>
        <w:rPr>
          <w:rFonts w:ascii="Times New Roman" w:cs="Times New Roman" w:eastAsia="Times New Roman" w:hAnsi="Times New Roman"/>
          <w:sz w:val="18"/>
          <w:szCs w:val="18"/>
          <w:color w:val="auto"/>
        </w:rPr>
        <w:t>(a) The Company agrees to indemnify and hold harmless Morgan Stanley, each person, if any,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Morgan Stanley within the meaning of either Section 15 of the Securities Act or Section 20 of the Exchange Act and each affiliate of Morgan Stanley within the meaning of Rule 405 of the Securities Act (“</w:t>
      </w:r>
      <w:r>
        <w:rPr>
          <w:rFonts w:ascii="Times New Roman" w:cs="Times New Roman" w:eastAsia="Times New Roman" w:hAnsi="Times New Roman"/>
          <w:sz w:val="18"/>
          <w:szCs w:val="18"/>
          <w:b w:val="1"/>
          <w:bCs w:val="1"/>
          <w:color w:val="auto"/>
        </w:rPr>
        <w:t>Morgan Stanley Entities</w:t>
      </w:r>
      <w:r>
        <w:rPr>
          <w:rFonts w:ascii="Times New Roman" w:cs="Times New Roman" w:eastAsia="Times New Roman" w:hAnsi="Times New Roman"/>
          <w:sz w:val="18"/>
          <w:szCs w:val="18"/>
          <w:color w:val="auto"/>
        </w:rPr>
        <w:t>”) from and against any and all losses, claims, damages and liabilities (including, without limitation, any legal or other expenses reasonably incurred in connection with defending or investigating any such action or claim) (i) that arise out of, or are based upon, any untrue statement or alleged untrue</w:t>
      </w:r>
    </w:p>
    <w:p>
      <w:pPr>
        <w:sectPr>
          <w:pgSz w:w="11900" w:h="16838" w:orient="portrait"/>
          <w:cols w:equalWidth="0" w:num="1">
            <w:col w:w="10480"/>
          </w:cols>
          <w:pgMar w:left="920" w:top="268" w:right="499" w:bottom="1440" w:gutter="0" w:footer="0" w:header="0"/>
        </w:sectPr>
      </w:pPr>
    </w:p>
    <w:bookmarkStart w:id="273" w:name="page274"/>
    <w:bookmarkEnd w:id="27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statement of a material fact contained in any material prepared by or with the consent of the Company for distribution to Participants in connection with the Directed Share Program or arise out of, or are based upon, any omission or alleged omission to state therein a material fact required to be stated therein or necessary to make the statements therein not misleading; (ii) that arise out of, or are based upon,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Morgan Stanley Entities.</w:t>
      </w:r>
    </w:p>
    <w:p>
      <w:pPr>
        <w:spacing w:after="0" w:line="77" w:lineRule="exact"/>
        <w:rPr>
          <w:sz w:val="20"/>
          <w:szCs w:val="20"/>
          <w:color w:val="auto"/>
        </w:rPr>
      </w:pPr>
    </w:p>
    <w:p>
      <w:pPr>
        <w:ind w:left="440" w:firstLine="423"/>
        <w:spacing w:after="0" w:line="249" w:lineRule="auto"/>
        <w:tabs>
          <w:tab w:leader="none" w:pos="111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Morgan Stanley Entity in respect of which indemnity may be sought pursuant to Section 9(a), the Morgan Stanley Entity seeking indemnity, shall promptly notify the Company in writing and the Company, upon request of the Morgan Stanley Entity, shall retain counsel reasonably satisfactory to the Morgan Stanley Entity to represent the Morgan Stanley Entity and any others the Company may designate in such proceeding and shall pay the fees and disbursements of such counsel related to such proceeding. In any such proceeding, any Morgan Stanley Entity shall have the right to retain its own counsel, but the fees and expenses of such counsel shall be at the expense of such Morgan Stanley Entity unless (i) the Company shall have agreed to the retention of such counsel or (ii) the named parties to any such proceeding (including any impleaded parties) include both the Company and the Morgan Stanley Entity and representation of both parties by the same counsel would be inappropriate due to actual or potential differing interests between them. The Company shall not, in respect of the legal expenses of the Morgan Stanley Entities in connection with any proceeding or related proceedings in the same jurisdiction, be liable for the fees and expenses of more than one separate firm (in addition to any local counsel) for all Morgan Stanley Entities. Any such separate firm for the Morgan Stanley Entities shall be designated in writing by Morgan Stanley. The Company shall not be liable for any settlement of any proceeding effected without its written consent, but if settled with such consent or if there be a final judgment for the plaintiff, the Company agrees to indemnify the Morgan Stanley Entities from and against any loss or liability by reason of such settlement or judgment. Notwithstanding the foregoing sentence, if at any time a Morgan Stanley Entity shall have requested the Company to reimburse it for fees and expenses of counsel as contemplated by the second and third sentences of this paragraph, the Company agrees that it shall be liable for any settlement of any proceeding effected without its written consent if (i) such settlement is entered into more than 30 days after receipt by the Company of the aforesaid request and (ii) the Company shall not have reimbursed the Morgan Stanley Entity in accordance with such request prior to the date of such settlement. The Company shall not, without the prior written consent of Morgan Stanley, effect any settlement of any pending or threatened proceeding in respect of which any Morgan Stanley Entity is or could have been a party and indemnity could have been sought hereunder by such Morgan Stanley Entity, unless such settlement includes an unconditional release of the Morgan Stanley Entities from all liability on claims that are the subject matter of such proceeding.</w:t>
      </w:r>
    </w:p>
    <w:p>
      <w:pPr>
        <w:sectPr>
          <w:pgSz w:w="11900" w:h="16838" w:orient="portrait"/>
          <w:cols w:equalWidth="0" w:num="1">
            <w:col w:w="10860"/>
          </w:cols>
          <w:pgMar w:left="480" w:top="268" w:right="559" w:bottom="1440" w:gutter="0" w:footer="0" w:header="0"/>
        </w:sectPr>
      </w:pPr>
    </w:p>
    <w:bookmarkStart w:id="274" w:name="page275"/>
    <w:bookmarkEnd w:id="274"/>
    <w:p>
      <w:pPr>
        <w:ind w:left="-423" w:right="20" w:firstLine="423"/>
        <w:spacing w:after="0" w:line="250" w:lineRule="auto"/>
        <w:tabs>
          <w:tab w:leader="none" w:pos="23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the extent the indemnification provided for in Section 9(a) is unavailable to a Morgan Stanley Entity or insufficient in respect of any losses, claims, damages or liabilities referred to therein, then the Company in lieu of indemnifying the Morgan Stanley Entity thereunder, shall contribute to the amount paid or payable by the Morgan Stanley Entity as a result of such losses, claims, damages or liabilities (i) in such proportion as is appropriate to reflect the relative benefits received by the Company on the one hand and the Morgan Stanley Entities on the other hand from the offering of the Directed Shares or (ii) if the allocation provided by clause 9(c)(i) above is not permitted by applicable law, in such proportion as is appropriate to reflect not only the relative benefits referred to in clause 9(c)(i) above but also the relative fault of the Company on the one hand and of the Morgan Stanley Entities on the other hand in connection with any statements or omissions that resulted in such losses, claims, damages or liabilities, as well as any other relevant equitable considerations. The relative benefits received by the Company on the one hand and the Morgan Stanley Entities on the other hand in connection with the offering of the Directed Shares shall be deemed to be in the same respective proportions as the net proceeds from the offering of the Directed Shares (before deducting expenses) and the total underwriting discounts and commissions received by the Morgan Stanley Entities for the Directed Shares, bear to the aggregate Public Offering Price of the Directed Shares. If the loss, claim, damage or liability is caused by an untrue or alleged untrue statement of a material fact or the omission or alleged omission to state a material fact, the relative fault of the Company on the one hand and the Morgan Stanley Entities on the other hand shall be determined by reference to, among other things, whether the untrue or alleged untrue statement or the omission or alleged omission relates to information supplied by the Company or by the Morgan Stanley Entities and the parties’ relative intent, knowledge, access to information and opportunity to correct or prevent such statement or omission.</w:t>
      </w:r>
    </w:p>
    <w:p>
      <w:pPr>
        <w:spacing w:after="0" w:line="80" w:lineRule="exact"/>
        <w:rPr>
          <w:rFonts w:ascii="Times New Roman" w:cs="Times New Roman" w:eastAsia="Times New Roman" w:hAnsi="Times New Roman"/>
          <w:sz w:val="18"/>
          <w:szCs w:val="18"/>
          <w:color w:val="auto"/>
        </w:rPr>
      </w:pPr>
    </w:p>
    <w:p>
      <w:pPr>
        <w:ind w:left="-423" w:firstLine="423"/>
        <w:spacing w:after="0" w:line="251" w:lineRule="auto"/>
        <w:tabs>
          <w:tab w:leader="none" w:pos="24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Morgan Stanley Entities agree that it would not be just or equitable if contribution pursuant to this Section 9 were determined by pro rata allocation (even if the Morgan Stanley Entities were treated as one entity for such purpose) or by any other method of allocation that does not take account of the equitable considerations referred to in Section 9(c). The amount paid or payable by the Morgan Stanley Entities as a result of the losses, claims, damages and liabilities referred to in the immediately preceding paragraph shall be deemed to include, subject to the limitations set forth above, any legal or other expenses reasonably incurred by the Morgan Stanley Entities in connection with investigating or defending any such action or claim. Notwithstanding the provisions of this Section 9, no Morgan Stanley Entity shall be required to contribute any amount in excess of the amount by which the total price at which the Directed Shares distributed to the public were offered to the public exceeds the amount of any damages that such Morgan Stanley Entity has otherwise been required to pay. The remedies provided for in this Section 9 are not exclusive and shall not limit any rights or remedies which may otherwise be available to any indemnified party at law or in equity.</w:t>
      </w:r>
    </w:p>
    <w:p>
      <w:pPr>
        <w:sectPr>
          <w:pgSz w:w="11900" w:h="16838" w:orient="portrait"/>
          <w:cols w:equalWidth="0" w:num="1">
            <w:col w:w="10057"/>
          </w:cols>
          <w:pgMar w:left="1343" w:top="268" w:right="499" w:bottom="1440" w:gutter="0" w:footer="0" w:header="0"/>
        </w:sectPr>
      </w:pPr>
    </w:p>
    <w:bookmarkStart w:id="275" w:name="page276"/>
    <w:bookmarkEnd w:id="275"/>
    <w:p>
      <w:pPr>
        <w:ind w:left="1100" w:hanging="237"/>
        <w:spacing w:after="0"/>
        <w:tabs>
          <w:tab w:leader="none" w:pos="11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indemnity and contribution provisions contained in this Section 9 shall remain operative and in full force and effect regardless of</w:t>
      </w:r>
    </w:p>
    <w:p>
      <w:pPr>
        <w:spacing w:after="0" w:line="25" w:lineRule="exact"/>
        <w:rPr>
          <w:rFonts w:ascii="Times New Roman" w:cs="Times New Roman" w:eastAsia="Times New Roman" w:hAnsi="Times New Roman"/>
          <w:sz w:val="18"/>
          <w:szCs w:val="18"/>
          <w:color w:val="auto"/>
        </w:rPr>
      </w:pPr>
    </w:p>
    <w:p>
      <w:pPr>
        <w:ind w:left="440" w:right="280" w:firstLine="4"/>
        <w:spacing w:after="0" w:line="256" w:lineRule="auto"/>
        <w:tabs>
          <w:tab w:leader="none" w:pos="65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(ii) any investigation made by or on behalf of any Morgan Stanley Entity or the Company, its officers or directors or any person controlling the Company and (iii) acceptance of and payment for any of the Directed Shares.</w:t>
      </w:r>
    </w:p>
    <w:p>
      <w:pPr>
        <w:spacing w:after="0" w:line="73" w:lineRule="exact"/>
        <w:rPr>
          <w:sz w:val="20"/>
          <w:szCs w:val="20"/>
          <w:color w:val="auto"/>
        </w:rPr>
      </w:pPr>
    </w:p>
    <w:p>
      <w:pPr>
        <w:ind w:right="60" w:firstLine="444"/>
        <w:spacing w:after="0" w:line="269" w:lineRule="auto"/>
        <w:tabs>
          <w:tab w:leader="none" w:pos="704"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The Underwriters may terminate this Agreement by notice given by the Representatives to the Company, if after the execution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delivery of this Agreement and prior to or on the Closing Date or any Option Closing Date, as the case may be, (i) trading generally shall have been suspended or materially limited on, or by, as the case may be, any of the New York Stock Exchange, the NYSE MKT, the Nasdaq Global Market or other relevant exchanges, (ii) trading of any securities of the Company shall have been suspended on any exchange or in any over-the-counter market,</w:t>
      </w:r>
    </w:p>
    <w:p>
      <w:pPr>
        <w:ind w:right="60" w:firstLine="7"/>
        <w:spacing w:after="0" w:line="249" w:lineRule="auto"/>
        <w:tabs>
          <w:tab w:leader="none" w:pos="31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judgment of the Representatives, is material and adverse and which, singly or together with any other event specified in this clause (v), makes it, in the judgment of the Representatives, impracticable or inadvisable to proceed with the offer, sale or delivery of the Shares on the terms and in the manner contemplated in the Time of Sale Prospectus or the Prospectus.</w:t>
      </w:r>
    </w:p>
    <w:p>
      <w:pPr>
        <w:spacing w:after="0" w:line="81"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3"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w:t>
      </w:r>
    </w:p>
    <w:p>
      <w:pPr>
        <w:sectPr>
          <w:pgSz w:w="11900" w:h="16838" w:orient="portrait"/>
          <w:cols w:equalWidth="0" w:num="1">
            <w:col w:w="10900"/>
          </w:cols>
          <w:pgMar w:left="480" w:top="268" w:right="519" w:bottom="1440" w:gutter="0" w:footer="0" w:header="0"/>
        </w:sectPr>
      </w:pPr>
    </w:p>
    <w:bookmarkStart w:id="276" w:name="page277"/>
    <w:bookmarkEnd w:id="27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9"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reasonably incurred and documented fees and disbursements of their counsel) reasonably incurred by such Underwriters in connection with this Agreement or the offering contemplated hereunder provided, that if the Company shall be unable to perform its obligations under this Agreement for reason of a default by any of the Underwriters, the Company shall not be obligated to reimburse the defaulting Underwriters.</w:t>
      </w:r>
    </w:p>
    <w:p>
      <w:pPr>
        <w:spacing w:after="0" w:line="75" w:lineRule="exact"/>
        <w:rPr>
          <w:sz w:val="20"/>
          <w:szCs w:val="20"/>
          <w:color w:val="auto"/>
        </w:rPr>
      </w:pPr>
    </w:p>
    <w:p>
      <w:pPr>
        <w:ind w:right="60" w:firstLine="444"/>
        <w:spacing w:after="0" w:line="258" w:lineRule="auto"/>
        <w:tabs>
          <w:tab w:leader="none" w:pos="70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74" w:lineRule="exact"/>
        <w:rPr>
          <w:rFonts w:ascii="Times New Roman" w:cs="Times New Roman" w:eastAsia="Times New Roman" w:hAnsi="Times New Roman"/>
          <w:sz w:val="18"/>
          <w:szCs w:val="18"/>
          <w:color w:val="auto"/>
        </w:rPr>
      </w:pPr>
    </w:p>
    <w:p>
      <w:pPr>
        <w:ind w:left="440" w:right="200" w:firstLine="423"/>
        <w:spacing w:after="0" w:line="270" w:lineRule="auto"/>
        <w:tabs>
          <w:tab w:leader="none" w:pos="1111"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ectPr>
          <w:pgSz w:w="11900" w:h="16838" w:orient="portrait"/>
          <w:cols w:equalWidth="0" w:num="1">
            <w:col w:w="10920"/>
          </w:cols>
          <w:pgMar w:left="480" w:top="268" w:right="499" w:bottom="1440" w:gutter="0" w:footer="0" w:header="0"/>
        </w:sectPr>
      </w:pPr>
    </w:p>
    <w:bookmarkStart w:id="277" w:name="page278"/>
    <w:bookmarkEnd w:id="277"/>
    <w:p>
      <w:pPr>
        <w:ind w:right="80" w:firstLine="444"/>
        <w:spacing w:after="0" w:line="258" w:lineRule="auto"/>
        <w:tabs>
          <w:tab w:leader="none" w:pos="70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74" w:lineRule="exact"/>
        <w:rPr>
          <w:rFonts w:ascii="Times New Roman" w:cs="Times New Roman" w:eastAsia="Times New Roman" w:hAnsi="Times New Roman"/>
          <w:sz w:val="18"/>
          <w:szCs w:val="18"/>
          <w:color w:val="auto"/>
        </w:rPr>
      </w:pPr>
    </w:p>
    <w:p>
      <w:pPr>
        <w:ind w:left="440" w:right="20" w:firstLine="423"/>
        <w:spacing w:after="0" w:line="258" w:lineRule="auto"/>
        <w:tabs>
          <w:tab w:leader="none" w:pos="111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79" w:lineRule="exact"/>
        <w:rPr>
          <w:sz w:val="20"/>
          <w:szCs w:val="20"/>
          <w:color w:val="auto"/>
        </w:rPr>
      </w:pPr>
    </w:p>
    <w:p>
      <w:pPr>
        <w:ind w:firstLine="444"/>
        <w:spacing w:after="0" w:line="256" w:lineRule="auto"/>
        <w:tabs>
          <w:tab w:leader="none" w:pos="70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Any signature to this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w:t>
      </w:r>
    </w:p>
    <w:p>
      <w:pPr>
        <w:spacing w:after="0" w:line="72" w:lineRule="exact"/>
        <w:rPr>
          <w:rFonts w:ascii="Times New Roman" w:cs="Times New Roman" w:eastAsia="Times New Roman" w:hAnsi="Times New Roman"/>
          <w:sz w:val="18"/>
          <w:szCs w:val="18"/>
          <w:color w:val="auto"/>
        </w:rPr>
      </w:pPr>
    </w:p>
    <w:p>
      <w:pPr>
        <w:ind w:left="720" w:hanging="276"/>
        <w:spacing w:after="0"/>
        <w:tabs>
          <w:tab w:leader="none" w:pos="7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113" w:lineRule="exact"/>
        <w:rPr>
          <w:rFonts w:ascii="Times New Roman" w:cs="Times New Roman" w:eastAsia="Times New Roman" w:hAnsi="Times New Roman"/>
          <w:sz w:val="18"/>
          <w:szCs w:val="18"/>
          <w:color w:val="auto"/>
        </w:rPr>
      </w:pPr>
    </w:p>
    <w:p>
      <w:pPr>
        <w:ind w:firstLine="444"/>
        <w:spacing w:after="0" w:line="280" w:lineRule="auto"/>
        <w:tabs>
          <w:tab w:leader="none" w:pos="70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ectPr>
          <w:pgSz w:w="11900" w:h="16838" w:orient="portrait"/>
          <w:cols w:equalWidth="0" w:num="1">
            <w:col w:w="10880"/>
          </w:cols>
          <w:pgMar w:left="480" w:top="266" w:right="539" w:bottom="1440" w:gutter="0" w:footer="0" w:header="0"/>
        </w:sectPr>
      </w:pPr>
    </w:p>
    <w:bookmarkStart w:id="278" w:name="page279"/>
    <w:bookmarkEnd w:id="278"/>
    <w:p>
      <w:pPr>
        <w:ind w:left="-444" w:firstLine="444"/>
        <w:spacing w:after="0" w:line="254" w:lineRule="auto"/>
        <w:tabs>
          <w:tab w:leader="none" w:pos="2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(i) to Morgan Stanley at c/o Morgan Stanley &amp; Co. LLC, 1585 Broadway, New York, New York 10036, Attention: Equity Syndicate Desk, with a copy to the Legal Department; (ii) to Goldman Sachs at c/o Goldman Sachs &amp; Co. LLC at 200 West Street, New York, New York 10282-2198, Attention: Registration Department; and (iii) to BofAS at c/o BofA Securities, Inc., One Bryant Park, New York, New York 10036, Attention: Syndicate Department, with a copy to ECM Legal; and if to the Company shall be delivered, mailed or sent to c/o Prelude Therapeutics Incorporated, 200 Powder Mill Road, Wilmington, Delaware 19803.</w:t>
      </w:r>
    </w:p>
    <w:p>
      <w:pPr>
        <w:sectPr>
          <w:pgSz w:w="11900" w:h="16838" w:orient="portrait"/>
          <w:cols w:equalWidth="0" w:num="1">
            <w:col w:w="10456"/>
          </w:cols>
          <w:pgMar w:left="924" w:top="266" w:right="519" w:bottom="1440" w:gutter="0" w:footer="0" w:header="0"/>
        </w:sectPr>
      </w:pPr>
    </w:p>
    <w:bookmarkStart w:id="279" w:name="page280"/>
    <w:bookmarkEnd w:id="279"/>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Very truly yours,</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PRELUDE THERAPEUTICS INCORPORATED</w:t>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15875</wp:posOffset>
            </wp:positionV>
            <wp:extent cx="25393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160"/>
          </w:cols>
          <w:pgMar w:left="1440" w:top="268" w:right="12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Accepted as of the date hereof</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Acting severally on behalf of themselves and</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several Underwriters named</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Schedule I hereto.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&amp; Co.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Goldman Sachs &amp; Co.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BofA Securities,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979"/>
          </w:cols>
          <w:pgMar w:left="480" w:top="268" w:right="1440"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I</w:t>
      </w:r>
    </w:p>
    <w:p>
      <w:pPr>
        <w:spacing w:after="0" w:line="245" w:lineRule="exact"/>
        <w:rPr>
          <w:sz w:val="20"/>
          <w:szCs w:val="20"/>
          <w:color w:val="auto"/>
        </w:rPr>
      </w:pPr>
    </w:p>
    <w:p>
      <w:pPr>
        <w:spacing w:after="0"/>
        <w:tabs>
          <w:tab w:leader="none" w:pos="7040" w:val="left"/>
        </w:tabs>
        <w:rPr>
          <w:sz w:val="20"/>
          <w:szCs w:val="20"/>
          <w:color w:val="auto"/>
        </w:rPr>
      </w:pPr>
      <w:r>
        <w:rPr>
          <w:rFonts w:ascii="Times New Roman" w:cs="Times New Roman" w:eastAsia="Times New Roman" w:hAnsi="Times New Roman"/>
          <w:sz w:val="14"/>
          <w:szCs w:val="14"/>
          <w:b w:val="1"/>
          <w:bCs w:val="1"/>
          <w:u w:val="single" w:color="auto"/>
          <w:color w:val="auto"/>
        </w:rPr>
        <w:t>Underwriter</w:t>
      </w:r>
      <w:r>
        <w:rPr>
          <w:sz w:val="20"/>
          <w:szCs w:val="20"/>
          <w:color w:val="auto"/>
        </w:rPr>
        <w:tab/>
      </w:r>
      <w:r>
        <w:rPr>
          <w:rFonts w:ascii="Times New Roman" w:cs="Times New Roman" w:eastAsia="Times New Roman" w:hAnsi="Times New Roman"/>
          <w:sz w:val="14"/>
          <w:szCs w:val="14"/>
          <w:b w:val="1"/>
          <w:bCs w:val="1"/>
          <w:color w:val="auto"/>
        </w:rPr>
        <w:t>Number of Firm Shares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15240</wp:posOffset>
            </wp:positionV>
            <wp:extent cx="33204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3810</wp:posOffset>
            </wp:positionV>
            <wp:extent cx="33204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15875</wp:posOffset>
            </wp:positionV>
            <wp:extent cx="33204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33020</wp:posOffset>
            </wp:positionV>
            <wp:extent cx="33204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6">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0920"/>
          </w:cols>
          <w:pgMar w:left="480" w:top="264" w:right="49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II</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2" w:lineRule="exact"/>
        <w:rPr>
          <w:sz w:val="20"/>
          <w:szCs w:val="20"/>
          <w:color w:val="auto"/>
        </w:rPr>
      </w:pPr>
    </w:p>
    <w:p>
      <w:pPr>
        <w:ind w:left="440" w:hanging="433"/>
        <w:spacing w:after="0"/>
        <w:tabs>
          <w:tab w:leader="none" w:pos="4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dated [•], 2020</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920"/>
          </w:cols>
          <w:pgMar w:left="480" w:top="264" w:right="49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22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7"/>
          <w:szCs w:val="17"/>
          <w:color w:val="auto"/>
        </w:rPr>
        <w:t>_____________, 20__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ectPr>
          <w:pgSz w:w="11900" w:h="16838" w:orient="portrait"/>
          <w:cols w:equalWidth="0" w:num="1">
            <w:col w:w="10920"/>
          </w:cols>
          <w:pgMar w:left="480" w:top="264" w:right="49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0" w:lineRule="exact"/>
        <w:rPr>
          <w:sz w:val="20"/>
          <w:szCs w:val="20"/>
          <w:color w:val="auto"/>
        </w:rPr>
      </w:pPr>
    </w:p>
    <w:p>
      <w:pPr>
        <w:sectPr>
          <w:pgSz w:w="11900" w:h="16838" w:orient="portrait"/>
          <w:cols w:equalWidth="0" w:num="2">
            <w:col w:w="220" w:space="220"/>
            <w:col w:w="10480"/>
          </w:cols>
          <w:pgMar w:left="480" w:top="264" w:right="4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Goldman Sachs &amp; Co. LLC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200" w:lineRule="exact"/>
        <w:rPr>
          <w:sz w:val="20"/>
          <w:szCs w:val="20"/>
          <w:color w:val="auto"/>
        </w:rPr>
      </w:pPr>
    </w:p>
    <w:p>
      <w:pPr>
        <w:sectPr>
          <w:pgSz w:w="11900" w:h="16838" w:orient="portrait"/>
          <w:cols w:equalWidth="0" w:num="2">
            <w:col w:w="220" w:space="220"/>
            <w:col w:w="10480"/>
          </w:cols>
          <w:pgMar w:left="480" w:top="264" w:right="4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200" w:lineRule="exact"/>
        <w:rPr>
          <w:sz w:val="20"/>
          <w:szCs w:val="20"/>
          <w:color w:val="auto"/>
        </w:rPr>
      </w:pPr>
    </w:p>
    <w:p>
      <w:pPr>
        <w:sectPr>
          <w:pgSz w:w="11900" w:h="16838" w:orient="portrait"/>
          <w:cols w:equalWidth="0" w:num="2">
            <w:col w:w="220" w:space="220"/>
            <w:col w:w="10480"/>
          </w:cols>
          <w:pgMar w:left="480" w:top="264" w:right="49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understands that Morgan Stanley &amp; Co. LLC, Goldman Sachs &amp; Co. LLC and BofA Securities, Inc. (collectively,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Prelude Therapeutics Incorporated,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several Underwriters, including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common stock, par value $0.0001 per share, of the Company (the “</w:t>
      </w:r>
      <w:r>
        <w:rPr>
          <w:rFonts w:ascii="Times New Roman" w:cs="Times New Roman" w:eastAsia="Times New Roman" w:hAnsi="Times New Roman"/>
          <w:sz w:val="18"/>
          <w:szCs w:val="18"/>
          <w:b w:val="1"/>
          <w:bCs w:val="1"/>
          <w:color w:val="auto"/>
        </w:rPr>
        <w:t>Common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 hereby agrees that, without the prior written consent of each of the Representatives, on behalf of the Underwriters, it will not, and will not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publicly disclose an intention to, during the period commencing on the date hereof and ending 180 days after the date of the final prospectus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any option or contract to sell, grant any option, right or warrant to purchase, lend, or otherwise transfer or dispose of, directly or indirectly,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by the undersigned or any other securities so owned convertible into or exercisable or exchangeable for Common Stock or (2) enter into 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swap or other arrangement that transfers to another, in whole or in part, any of the economic consequences of ownership of the Common Stock, whether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such transaction described in clause (1) or (2) above is to be settled by delivery of Common Stock or such other securities, in cash or otherwise.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sentence shall not apply to: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20"/>
          </w:cols>
          <w:pgMar w:left="480" w:top="264" w:right="499" w:bottom="1440" w:gutter="0" w:footer="0" w:header="0"/>
          <w:type w:val="continuous"/>
        </w:sectPr>
      </w:pPr>
    </w:p>
    <w:bookmarkStart w:id="284" w:name="page285"/>
    <w:bookmarkEnd w:id="284"/>
    <w:p>
      <w:pPr>
        <w:ind w:right="120" w:firstLine="423"/>
        <w:spacing w:after="0" w:line="255" w:lineRule="auto"/>
        <w:tabs>
          <w:tab w:leader="none" w:pos="66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transactions relating to shares of Common Stock or other securities acquired in the Public Offering (other than issuer-directed shares of Common Stock purchased in the Public Offering by an officer or director of the Company) or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during the Restricted Period in connection with subsequent sales of Common Stock or other securities acquired in the Public Offering or such open market transactions;</w:t>
      </w:r>
    </w:p>
    <w:p>
      <w:pPr>
        <w:spacing w:after="0" w:line="77" w:lineRule="exact"/>
        <w:rPr>
          <w:rFonts w:ascii="Times New Roman" w:cs="Times New Roman" w:eastAsia="Times New Roman" w:hAnsi="Times New Roman"/>
          <w:sz w:val="18"/>
          <w:szCs w:val="18"/>
          <w:color w:val="auto"/>
        </w:rPr>
      </w:pPr>
    </w:p>
    <w:p>
      <w:pPr>
        <w:ind w:left="680" w:hanging="257"/>
        <w:spacing w:after="0"/>
        <w:tabs>
          <w:tab w:leader="none" w:pos="6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w:t>
      </w:r>
    </w:p>
    <w:p>
      <w:pPr>
        <w:spacing w:after="0" w:line="25" w:lineRule="exact"/>
        <w:rPr>
          <w:rFonts w:ascii="Times New Roman" w:cs="Times New Roman" w:eastAsia="Times New Roman" w:hAnsi="Times New Roman"/>
          <w:sz w:val="18"/>
          <w:szCs w:val="18"/>
          <w:color w:val="auto"/>
        </w:rPr>
      </w:pPr>
    </w:p>
    <w:p>
      <w:pPr>
        <w:ind w:firstLine="4"/>
        <w:spacing w:after="0" w:line="264" w:lineRule="auto"/>
        <w:tabs>
          <w:tab w:leader="none" w:pos="213"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a bona fide gift or charitable contribution, (ii) by will or intestacy or to any member of the undersigned’s immediate family or to a trust for the direct or indirect benefit of the undersigned and/or any member of the undersigned’s immediate family, (iii) to any corporation, partnership, limited liability company or other business entity, all of the beneficial ownership interests of which, in each such case, are held by the undersigned or any member of the undersigned’s immediate family, (iv) if the undersigned is an entity, to limited partners, members, shareholders or holders of similar equity interests in the undersigned, or (v) if the undersigned is an entity, to another corporation, partnership, limited liability company, trust or other business entity that is an affiliate (as defined in Rule 405 promulgated under the Securities Act of 1933, as amended) of the undersigned, or to any investment fund or other entity controlled or managed by the undersigned or affiliated with the undersigned;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any transfer or distribution pursuant to this clause (b), (A) each transferee, donee or distributee shall sign and deliver a lock-up agreement substantially in the form of this agreement and (B) no filing under Section 16(a) of the Exchange Act reporting a reduction in beneficial ownership of shares of Common Stock or any securities convertible into or exercisable or exchangeable for Common Stock shall be required or shall be voluntarily made during the Restricted Period (other than, in the case of a transfer or other disposition pursuant to clause (i) or (ii) above, a Form 5 required to be filed under the Exchange Act if the undersigned is subject to Section 16 reporting with respect to the Company under the Exchange Act; any such filing will indicate by footnote disclosure or otherwise the nature of the transfer or disposition);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any such transfer pursuant to this clause (b) shall not involve a transfer or distribution for value;</w:t>
      </w:r>
    </w:p>
    <w:p>
      <w:pPr>
        <w:spacing w:after="0" w:line="73" w:lineRule="exact"/>
        <w:rPr>
          <w:rFonts w:ascii="Times New Roman" w:cs="Times New Roman" w:eastAsia="Times New Roman" w:hAnsi="Times New Roman"/>
          <w:sz w:val="17"/>
          <w:szCs w:val="17"/>
          <w:color w:val="auto"/>
        </w:rPr>
      </w:pPr>
    </w:p>
    <w:p>
      <w:pPr>
        <w:ind w:right="60" w:firstLine="423"/>
        <w:spacing w:after="0" w:line="255" w:lineRule="auto"/>
        <w:tabs>
          <w:tab w:leader="none" w:pos="661"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or any security convertible into or exercisable or exchangeable for shares of Common Stock by operation of law pursuant to a qualified domestic order or other court order or in connection with a divorce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filing under Section 16(a) of the Exchange Act made during the Restricted Period shall clearly indicate in the footnotes thereto that (A) the filing relates to the circumstances described in this clause (c) and (B) no securities were sold by the undersigned, and (ii) the undersigned does not otherwise voluntarily effect any other public filing or report regarding such transfers during the Restricted Period;</w:t>
      </w:r>
    </w:p>
    <w:p>
      <w:pPr>
        <w:spacing w:after="0" w:line="1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480"/>
          </w:cols>
          <w:pgMar w:left="920" w:top="268" w:right="499" w:bottom="1440" w:gutter="0" w:footer="0" w:header="0"/>
        </w:sectPr>
      </w:pPr>
    </w:p>
    <w:bookmarkStart w:id="285" w:name="page286"/>
    <w:bookmarkEnd w:id="285"/>
    <w:p>
      <w:pPr>
        <w:ind w:right="60" w:firstLine="423"/>
        <w:spacing w:after="0" w:line="250" w:lineRule="auto"/>
        <w:tabs>
          <w:tab w:leader="none" w:pos="67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 the exercise of options or other similar awards or the vesting or settlement of awards granted pursuant to the Company’s equity incentive plans as described in the Prospectus and outstanding on the date of the Underwriting Agreement (including the delivery and receipt of shares of Common Stock, other awards or any securities convertible into or exercisable or exchangeable for shares of Common Stock in connection with such exercise, vesting or settlement), or (ii) the transfer or disposition of shares of Common Stock or any securities convertible into shares of Common Stock by the undersigned to the Company (or the purchase and cancellation of the same by the Company) upon a vesting or settlement event of the Company’s securities or upon the exercise of options to purchase the Company’s securities on a “cashless” or “net exercise” basis solely to the extent permitted by the instruments representing such options pursuant to the Company’s equity incentive plans as described in the Prospectus and solely to cover withholding tax obligations in connection with such transaction and any transfer to the Company for the payment of taxes as a result of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shares of Common Stock received upon the exercise or settlement of the option are subject to the terms of this agreement, (B) no public disclosure or filing under Section 16(a) of the Exchange Act shall be voluntarily made during the Restricted Period and (C) to the extent a filing under Section 16(a) of the Exchange Act is required during the Restricted Period as a result of transfers in this clause (d), it shall clearly indicate that the filing relates to the circumstances described in this clause (d);</w:t>
      </w:r>
    </w:p>
    <w:p>
      <w:pPr>
        <w:spacing w:after="0" w:line="85" w:lineRule="exact"/>
        <w:rPr>
          <w:rFonts w:ascii="Times New Roman" w:cs="Times New Roman" w:eastAsia="Times New Roman" w:hAnsi="Times New Roman"/>
          <w:sz w:val="18"/>
          <w:szCs w:val="18"/>
          <w:color w:val="auto"/>
        </w:rPr>
      </w:pPr>
    </w:p>
    <w:p>
      <w:pPr>
        <w:jc w:val="both"/>
        <w:ind w:right="80" w:firstLine="423"/>
        <w:spacing w:after="0" w:line="258" w:lineRule="auto"/>
        <w:tabs>
          <w:tab w:leader="none" w:pos="66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the Company pursuant to the repurchase of shares of Common Stock in connection with the termination of the undersigned’s employment with the Company or other service relationship with the Company pursuant to contractual agreements with the Company as in effect as of the date of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public disclosure or filing under Section 16(a) of the Exchange Act shall be required or shall be voluntarily made during the Restricted Period;</w:t>
      </w:r>
    </w:p>
    <w:p>
      <w:pPr>
        <w:spacing w:after="0" w:line="72" w:lineRule="exact"/>
        <w:rPr>
          <w:rFonts w:ascii="Times New Roman" w:cs="Times New Roman" w:eastAsia="Times New Roman" w:hAnsi="Times New Roman"/>
          <w:sz w:val="18"/>
          <w:szCs w:val="18"/>
          <w:color w:val="auto"/>
        </w:rPr>
      </w:pPr>
    </w:p>
    <w:p>
      <w:pPr>
        <w:jc w:val="both"/>
        <w:ind w:firstLine="423"/>
        <w:spacing w:after="0" w:line="258" w:lineRule="auto"/>
        <w:tabs>
          <w:tab w:leader="none" w:pos="64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or any security convertible into or exercisable or exchangeable for shares of Common Stock that are required to effect the recapitalization of the Company as described in the Prospectus and completed prior to the completion of the Public Offering, including the conversion of the outstanding preferred shares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shares of Common Stock received upon the exercise or exchange of any such convertible securities remain subject to the terms of this agreement;</w:t>
      </w:r>
    </w:p>
    <w:p>
      <w:pPr>
        <w:spacing w:after="0" w:line="73" w:lineRule="exact"/>
        <w:rPr>
          <w:sz w:val="20"/>
          <w:szCs w:val="20"/>
          <w:color w:val="auto"/>
        </w:rPr>
      </w:pPr>
    </w:p>
    <w:p>
      <w:pPr>
        <w:ind w:right="140" w:firstLine="423"/>
        <w:spacing w:after="0" w:line="255" w:lineRule="auto"/>
        <w:tabs>
          <w:tab w:leader="none" w:pos="67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facilitating the establishment of a trading plan on behalf of a stockholder, officer or director of the Company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or</w:t>
      </w:r>
    </w:p>
    <w:p>
      <w:pPr>
        <w:spacing w:after="0" w:line="1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480"/>
          </w:cols>
          <w:pgMar w:left="920" w:top="268" w:right="499" w:bottom="1440" w:gutter="0" w:footer="0" w:header="0"/>
        </w:sectPr>
      </w:pPr>
    </w:p>
    <w:bookmarkStart w:id="286" w:name="page287"/>
    <w:bookmarkEnd w:id="286"/>
    <w:p>
      <w:pPr>
        <w:ind w:right="60" w:firstLine="444"/>
        <w:spacing w:after="0" w:line="253" w:lineRule="auto"/>
        <w:tabs>
          <w:tab w:leader="none" w:pos="64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transfers pursuant to a bona fide third-party tender offer for all outstanding shares of Common Stock or securities convertible into or exercisable or exchangeable for shares of Common Stock, merger, amalgamation, consolidation or other similar transaction approved by the Company’s Board of Directors and made to all holders of the Company’s securities involving a “change of control” of the Company (including, without limitation, the entering into any lock-up, voting or similar agreement pursuant to which the undersigned may agree to transfer, sell, tender or otherwise dispose of shares of Common Stock or other such securities in connection with such transaction, or vote any shares of Common Stock or other such securities in favor of any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amalgamation, consolidation or other such transaction is not completed, such securities held by the undersigned shall remain subject to the provisions of this agreement.</w:t>
      </w:r>
    </w:p>
    <w:p>
      <w:pPr>
        <w:spacing w:after="0" w:line="184"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each of the Representatives, on behalf of the Underwriters, it will not, and will not publicly disclose an intention to,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For purposes of this agreement, (i) “immediate family” shall mean any relationship by blood, marriage, domestic partnership or adoption, not more remote than first cousin, and (ii) “change of control” shall mean the consummation of any bona fide third party tender offer, merger, amalgamation, consolidation or other similar transaction the result of which is that any “person” (as defined in Section 13(d)(3) of the Exchange Act), or group of persons, other than the Company, becomes the beneficial owner (as defined in Rules 13d-3 and 13d-5 of the Exchange Act) of greater than 75% of total voting power of all outstanding voting securities of the Company (or the surviving entity).</w:t>
      </w:r>
    </w:p>
    <w:p>
      <w:pPr>
        <w:spacing w:after="0" w:line="184" w:lineRule="exact"/>
        <w:rPr>
          <w:sz w:val="20"/>
          <w:szCs w:val="20"/>
          <w:color w:val="auto"/>
        </w:rPr>
      </w:pPr>
    </w:p>
    <w:p>
      <w:pPr>
        <w:ind w:right="740" w:firstLine="436"/>
        <w:spacing w:after="0" w:line="278"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the undersigned further agrees that the foregoing restrictions shall be equally applicable to any issuer-directed Shares the undersigned may purchase in the Public Offering.</w:t>
      </w:r>
    </w:p>
    <w:p>
      <w:pPr>
        <w:spacing w:after="0" w:line="162" w:lineRule="exact"/>
        <w:rPr>
          <w:sz w:val="20"/>
          <w:szCs w:val="20"/>
          <w:color w:val="auto"/>
        </w:rPr>
      </w:pPr>
    </w:p>
    <w:p>
      <w:pPr>
        <w:ind w:right="100" w:firstLine="436"/>
        <w:spacing w:after="0" w:line="252"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each of the Representatives agrees that, at least three business days before the effective date of any release or waiver of the foregoing restrictions in connection with a transfer of shares of Common Stock, the Representatives will notify the Company of the impending release or waiver, and (ii) the Company will agree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20"/>
          </w:cols>
          <w:pgMar w:left="480" w:top="268" w:right="499" w:bottom="1440" w:gutter="0" w:footer="0" w:header="0"/>
        </w:sectPr>
      </w:pPr>
    </w:p>
    <w:bookmarkStart w:id="287" w:name="page288"/>
    <w:bookmarkEnd w:id="287"/>
    <w:p>
      <w:pPr>
        <w:ind w:right="10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5"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84"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right="180" w:firstLine="436"/>
        <w:spacing w:after="0" w:line="268" w:lineRule="auto"/>
        <w:rPr>
          <w:sz w:val="20"/>
          <w:szCs w:val="20"/>
          <w:color w:val="auto"/>
        </w:rPr>
      </w:pPr>
      <w:r>
        <w:rPr>
          <w:rFonts w:ascii="Times New Roman" w:cs="Times New Roman" w:eastAsia="Times New Roman" w:hAnsi="Times New Roman"/>
          <w:sz w:val="17"/>
          <w:szCs w:val="17"/>
          <w:color w:val="auto"/>
        </w:rPr>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the execution of the Underwriting Agreement or</w:t>
      </w:r>
    </w:p>
    <w:p>
      <w:pPr>
        <w:spacing w:after="0" w:line="2" w:lineRule="exact"/>
        <w:rPr>
          <w:sz w:val="20"/>
          <w:szCs w:val="20"/>
          <w:color w:val="auto"/>
        </w:rPr>
      </w:pPr>
    </w:p>
    <w:p>
      <w:pPr>
        <w:jc w:val="both"/>
        <w:ind w:right="200" w:firstLine="7"/>
        <w:spacing w:after="0" w:line="250" w:lineRule="auto"/>
        <w:tabs>
          <w:tab w:leader="none" w:pos="30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is not executed on or before October 31, 2020 (provided that the Company may by written notice to the undersigned prior to October 31, 2020 extend such date for a period of up to an additional three months in the event that the Underwriting Agreement has not been executed by such date), then, in each case, this agreement shall automatically, and without any action on the part of any other party, be of no further force and effect, and the undersigned shall be automatically released from all obligations under this agreement.</w:t>
      </w:r>
    </w:p>
    <w:p>
      <w:pPr>
        <w:spacing w:after="0" w:line="189" w:lineRule="exact"/>
        <w:rPr>
          <w:sz w:val="20"/>
          <w:szCs w:val="20"/>
          <w:color w:val="auto"/>
        </w:rPr>
      </w:pPr>
    </w:p>
    <w:p>
      <w:pPr>
        <w:ind w:right="60" w:firstLine="436"/>
        <w:spacing w:after="0" w:line="278" w:lineRule="auto"/>
        <w:rPr>
          <w:sz w:val="20"/>
          <w:szCs w:val="20"/>
          <w:color w:val="auto"/>
        </w:rPr>
      </w:pPr>
      <w:r>
        <w:rPr>
          <w:rFonts w:ascii="Times New Roman" w:cs="Times New Roman" w:eastAsia="Times New Roman" w:hAnsi="Times New Roman"/>
          <w:sz w:val="18"/>
          <w:szCs w:val="18"/>
          <w:color w:val="auto"/>
        </w:rPr>
        <w:t>This agreement and any claim, controversy or dispute arising under or related to this agreement shall be governed by and construed in accordance with the laws of the State of New York, without regard to the conflict of laws principles thereof.</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00"/>
          </w:cols>
          <w:pgMar w:left="480" w:top="268" w:right="519" w:bottom="1440" w:gutter="0" w:footer="0" w:header="0"/>
        </w:sectPr>
      </w:pPr>
    </w:p>
    <w:bookmarkStart w:id="288" w:name="page289"/>
    <w:bookmarkEnd w:id="288"/>
    <w:p>
      <w:pPr>
        <w:jc w:val="right"/>
        <w:ind w:right="22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Very truly yours,</w:t>
      </w:r>
    </w:p>
    <w:p>
      <w:pPr>
        <w:spacing w:after="0" w:line="200" w:lineRule="exact"/>
        <w:rPr>
          <w:sz w:val="20"/>
          <w:szCs w:val="20"/>
          <w:color w:val="auto"/>
        </w:rPr>
      </w:pP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-127635</wp:posOffset>
            </wp:positionV>
            <wp:extent cx="27686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-127635</wp:posOffset>
            </wp:positionV>
            <wp:extent cx="27686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ectPr>
          <w:pgSz w:w="11900" w:h="16838" w:orient="portrait"/>
          <w:cols w:equalWidth="0" w:num="1">
            <w:col w:w="9019"/>
          </w:cols>
          <w:pgMar w:left="1440" w:top="268" w:right="1440"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WAIVER OF LOCK-UP</w:t>
      </w:r>
    </w:p>
    <w:p>
      <w:pPr>
        <w:spacing w:after="0" w:line="2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_____________, 20__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Director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Requesting Waiver]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Mr./Ms. [Name]: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letter is being delivered to Morgan Stanley &amp; Co. LLC, Goldman Sachs &amp; Co. LLC and BofA Securities, Inc. (collectively,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in connection with the offering by Prelude Therapeutics Incorporated,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of _____ shares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$0.0001 par value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and the lock-up agreement dated ____, 20__ (the “Lock-up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by you in connection with such offering, and your request for a [waiver] [release] dated ____, 20__, with respect to ____ shares of Common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340" w:firstLine="436"/>
        <w:spacing w:after="0" w:line="274" w:lineRule="auto"/>
        <w:rPr>
          <w:sz w:val="20"/>
          <w:szCs w:val="20"/>
          <w:color w:val="auto"/>
        </w:rPr>
      </w:pPr>
      <w:r>
        <w:rPr>
          <w:rFonts w:ascii="Times New Roman" w:cs="Times New Roman" w:eastAsia="Times New Roman" w:hAnsi="Times New Roman"/>
          <w:sz w:val="17"/>
          <w:szCs w:val="17"/>
          <w:color w:val="auto"/>
        </w:rPr>
        <w:t>The Representatives hereby agree to [waive] [release] the transfer restrictions set forth in the Lock-up Agreement, but only with respect to the Shares, effective _____, 20__; provided, however, that such [waiver] [release] is conditioned on the Company announcing the impending [waiver]</w:t>
      </w:r>
    </w:p>
    <w:p>
      <w:pPr>
        <w:ind w:right="20"/>
        <w:spacing w:after="0" w:line="256" w:lineRule="auto"/>
        <w:rPr>
          <w:sz w:val="20"/>
          <w:szCs w:val="20"/>
          <w:color w:val="auto"/>
        </w:rPr>
      </w:pPr>
      <w:r>
        <w:rPr>
          <w:rFonts w:ascii="Times New Roman" w:cs="Times New Roman" w:eastAsia="Times New Roman" w:hAnsi="Times New Roman"/>
          <w:sz w:val="18"/>
          <w:szCs w:val="18"/>
          <w:color w:val="auto"/>
        </w:rPr>
        <w:t>[release] by press release through a major news service at least two business days before effectiveness of such [waiver] [release]. This letter will serve as notice to the Company of the impending [waiver] [release].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920"/>
          </w:cols>
          <w:pgMar w:left="480" w:top="265" w:right="499" w:bottom="1440" w:gutter="0" w:footer="0" w:header="0"/>
        </w:sectPr>
      </w:pPr>
    </w:p>
    <w:bookmarkStart w:id="290" w:name="page291"/>
    <w:bookmarkEnd w:id="29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as expressly [waived] [released] hereby, the Lock-up Agreement shall remain in full force and effect.</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Acting severally on behalf of themselves and the several</w:t>
      </w:r>
    </w:p>
    <w:p>
      <w:pPr>
        <w:spacing w:after="0" w:line="1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15875</wp:posOffset>
            </wp:positionV>
            <wp:extent cx="25730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8">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15875</wp:posOffset>
            </wp:positionV>
            <wp:extent cx="25730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9">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15875</wp:posOffset>
            </wp:positionV>
            <wp:extent cx="25730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0">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Prelude Therapeutics Incorporated</w:t>
      </w:r>
    </w:p>
    <w:p>
      <w:pPr>
        <w:spacing w:after="0" w:line="1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580"/>
          </w:cols>
          <w:pgMar w:left="480" w:top="268" w:right="839" w:bottom="1440" w:gutter="0" w:footer="0" w:header="0"/>
        </w:sectPr>
      </w:pPr>
    </w:p>
    <w:bookmarkStart w:id="291" w:name="page292"/>
    <w:bookmarkEnd w:id="291"/>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FORM OF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9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Prelude Therapeutics Incorporated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announced today that Morgan Stanley &amp; Co. LLC, Goldman Sachs &amp; Co. LLC and BofA Securities, Inc., the lead book-running managers in the Company’s recent public sale of _____ shares of its common stock are [waiving][releasing]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restriction with respect to ____ shares of the Company’s common stock held by [certain officers or directors] [an officer or director]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[waiver][release] will take effect on ____, 20__ , and the shares may be sold on or after such date.</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620"/>
          </w:cols>
          <w:pgMar w:left="480" w:top="264" w:right="79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Prelude Therapeutics Incorporated, a Delaware corporation, hereby certifies as follows:</w:t>
      </w:r>
    </w:p>
    <w:p>
      <w:pPr>
        <w:spacing w:after="0" w:line="114" w:lineRule="exact"/>
        <w:rPr>
          <w:sz w:val="20"/>
          <w:szCs w:val="20"/>
          <w:color w:val="auto"/>
        </w:rPr>
      </w:pPr>
    </w:p>
    <w:p>
      <w:pPr>
        <w:ind w:right="180" w:firstLine="444"/>
        <w:spacing w:after="0" w:line="278" w:lineRule="auto"/>
        <w:tabs>
          <w:tab w:leader="none" w:pos="6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this corporation is “Prelude Therapeutics Incorporated.” The date of the filing of its original Certificate of Incorporation with the Secretary of State of the State of Delaware was February 5, 2016.</w:t>
      </w:r>
    </w:p>
    <w:p>
      <w:pPr>
        <w:spacing w:after="0" w:line="162" w:lineRule="exact"/>
        <w:rPr>
          <w:rFonts w:ascii="Times New Roman" w:cs="Times New Roman" w:eastAsia="Times New Roman" w:hAnsi="Times New Roman"/>
          <w:sz w:val="18"/>
          <w:szCs w:val="18"/>
          <w:color w:val="auto"/>
        </w:rPr>
      </w:pPr>
    </w:p>
    <w:p>
      <w:pPr>
        <w:ind w:firstLine="444"/>
        <w:spacing w:after="0" w:line="255" w:lineRule="auto"/>
        <w:tabs>
          <w:tab w:leader="none" w:pos="6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Restated Certificate of Incorporation of this corporation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84"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89"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Dated: [•], 2020</w:t>
      </w:r>
      <w:r>
        <w:rPr>
          <w:sz w:val="20"/>
          <w:szCs w:val="20"/>
          <w:color w:val="auto"/>
        </w:rPr>
        <w:tab/>
      </w:r>
      <w:r>
        <w:rPr>
          <w:rFonts w:ascii="Times New Roman" w:cs="Times New Roman" w:eastAsia="Times New Roman" w:hAnsi="Times New Roman"/>
          <w:sz w:val="17"/>
          <w:szCs w:val="17"/>
          <w:color w:val="auto"/>
        </w:rPr>
        <w:t>PRELUDE THERAPEUTICS INCORPORATED</w:t>
      </w:r>
    </w:p>
    <w:p>
      <w:pPr>
        <w:spacing w:after="0" w:line="2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15875</wp:posOffset>
            </wp:positionV>
            <wp:extent cx="3116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2">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6" w:lineRule="exact"/>
        <w:rPr>
          <w:sz w:val="20"/>
          <w:szCs w:val="20"/>
          <w:color w:val="auto"/>
        </w:rPr>
      </w:pPr>
    </w:p>
    <w:p>
      <w:pPr>
        <w:ind w:left="5480"/>
        <w:spacing w:after="0"/>
        <w:tabs>
          <w:tab w:leader="none" w:pos="6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Krishna Vaddi</w:t>
      </w:r>
    </w:p>
    <w:p>
      <w:pPr>
        <w:spacing w:after="0" w:line="20" w:lineRule="exact"/>
        <w:rPr>
          <w:sz w:val="20"/>
          <w:szCs w:val="20"/>
          <w:color w:val="auto"/>
        </w:rPr>
      </w:pPr>
    </w:p>
    <w:p>
      <w:pPr>
        <w:ind w:left="5480"/>
        <w:spacing w:after="0"/>
        <w:tabs>
          <w:tab w:leader="none" w:pos="61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920"/>
          </w:cols>
          <w:pgMar w:left="480" w:top="117" w:right="499" w:bottom="1440" w:gutter="0" w:footer="0" w:header="0"/>
        </w:sectPr>
      </w:pPr>
    </w:p>
    <w:bookmarkStart w:id="293" w:name="page294"/>
    <w:bookmarkEnd w:id="293"/>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 NAME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Prelude Therapeutics Incorporated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 AGENT FOR SERVICE OF PROCESS</w:t>
      </w:r>
    </w:p>
    <w:p>
      <w:pPr>
        <w:spacing w:after="0" w:line="225" w:lineRule="exact"/>
        <w:rPr>
          <w:sz w:val="20"/>
          <w:szCs w:val="20"/>
          <w:color w:val="auto"/>
        </w:rPr>
      </w:pPr>
    </w:p>
    <w:p>
      <w:pPr>
        <w:ind w:right="60" w:firstLine="436"/>
        <w:spacing w:after="0" w:line="263" w:lineRule="auto"/>
        <w:rPr>
          <w:sz w:val="20"/>
          <w:szCs w:val="20"/>
          <w:color w:val="auto"/>
        </w:rPr>
      </w:pPr>
      <w:r>
        <w:rPr>
          <w:rFonts w:ascii="Times New Roman" w:cs="Times New Roman" w:eastAsia="Times New Roman" w:hAnsi="Times New Roman"/>
          <w:sz w:val="18"/>
          <w:szCs w:val="18"/>
          <w:color w:val="auto"/>
        </w:rPr>
        <w:t>The address of the registered office of this Company in the State of Delaware is 1201 North Market Street,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Post Office Box 1347, in the City of Wilmington, County of New Castle, 19801, and the name of the registered agent of this Corporation in the State of Delaware at such address is Delaware Corporation Organizers, Inc.</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 PURPOSE</w:t>
      </w:r>
    </w:p>
    <w:p>
      <w:pPr>
        <w:spacing w:after="0" w:line="225"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 AUTHORIZED STOCK</w:t>
      </w:r>
    </w:p>
    <w:p>
      <w:pPr>
        <w:spacing w:after="0" w:line="221" w:lineRule="exact"/>
        <w:rPr>
          <w:sz w:val="20"/>
          <w:szCs w:val="20"/>
          <w:color w:val="auto"/>
        </w:rPr>
      </w:pPr>
    </w:p>
    <w:p>
      <w:pPr>
        <w:ind w:right="200" w:firstLine="444"/>
        <w:spacing w:after="0" w:line="265" w:lineRule="auto"/>
        <w:tabs>
          <w:tab w:leader="none" w:pos="614"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Total Authorized</w:t>
      </w:r>
      <w:r>
        <w:rPr>
          <w:rFonts w:ascii="Times New Roman" w:cs="Times New Roman" w:eastAsia="Times New Roman" w:hAnsi="Times New Roman"/>
          <w:sz w:val="18"/>
          <w:szCs w:val="18"/>
          <w:color w:val="auto"/>
        </w:rPr>
        <w:t>. The total number of shares of all classes of stock that the Corporation has authority to issue is 510,000,000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 two classes: 500,000,000 shares of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10,000,000 shares of Preferred Stock, $0.0001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120" w:firstLine="436"/>
        <w:spacing w:after="0" w:line="259" w:lineRule="auto"/>
        <w:rPr>
          <w:sz w:val="20"/>
          <w:szCs w:val="20"/>
          <w:color w:val="auto"/>
        </w:rPr>
      </w:pPr>
      <w:r>
        <w:rPr>
          <w:rFonts w:ascii="Times New Roman" w:cs="Times New Roman" w:eastAsia="Times New Roman" w:hAnsi="Times New Roman"/>
          <w:sz w:val="18"/>
          <w:szCs w:val="18"/>
          <w:color w:val="auto"/>
        </w:rPr>
        <w:t>487,149,741 shares of the Common Stock are voting and are hereby designated as “</w:t>
      </w:r>
      <w:r>
        <w:rPr>
          <w:rFonts w:ascii="Times New Roman" w:cs="Times New Roman" w:eastAsia="Times New Roman" w:hAnsi="Times New Roman"/>
          <w:sz w:val="18"/>
          <w:szCs w:val="18"/>
          <w:b w:val="1"/>
          <w:bCs w:val="1"/>
          <w:i w:val="1"/>
          <w:iCs w:val="1"/>
          <w:color w:val="auto"/>
        </w:rPr>
        <w:t>Voting Common Stock</w:t>
      </w:r>
      <w:r>
        <w:rPr>
          <w:rFonts w:ascii="Times New Roman" w:cs="Times New Roman" w:eastAsia="Times New Roman" w:hAnsi="Times New Roman"/>
          <w:sz w:val="18"/>
          <w:szCs w:val="18"/>
          <w:color w:val="auto"/>
        </w:rPr>
        <w:t>” and 12,850,259 shares of the Common Stock are non-voting and are hereby designated as “</w:t>
      </w:r>
      <w:r>
        <w:rPr>
          <w:rFonts w:ascii="Times New Roman" w:cs="Times New Roman" w:eastAsia="Times New Roman" w:hAnsi="Times New Roman"/>
          <w:sz w:val="18"/>
          <w:szCs w:val="18"/>
          <w:b w:val="1"/>
          <w:bCs w:val="1"/>
          <w:i w:val="1"/>
          <w:iCs w:val="1"/>
          <w:color w:val="auto"/>
        </w:rPr>
        <w:t>Non-Voting Common Stock</w:t>
      </w:r>
      <w:r>
        <w:rPr>
          <w:rFonts w:ascii="Times New Roman" w:cs="Times New Roman" w:eastAsia="Times New Roman" w:hAnsi="Times New Roman"/>
          <w:sz w:val="18"/>
          <w:szCs w:val="18"/>
          <w:color w:val="auto"/>
        </w:rPr>
        <w:t>,” each with the following rights, preferences, powers, privileges and restrictions, qualifications and limitations. For the avoidance of doubt, each reference to “Common Stock” in this Restated Certificate of Incorporation, as amended from time to time, shall be deemed to include both Voting Common Stock and Non-Voting Common Stock.</w:t>
      </w:r>
    </w:p>
    <w:p>
      <w:pPr>
        <w:spacing w:after="0" w:line="176" w:lineRule="exact"/>
        <w:rPr>
          <w:sz w:val="20"/>
          <w:szCs w:val="20"/>
          <w:color w:val="auto"/>
        </w:rPr>
      </w:pPr>
    </w:p>
    <w:p>
      <w:pPr>
        <w:ind w:left="620" w:hanging="176"/>
        <w:spacing w:after="0"/>
        <w:tabs>
          <w:tab w:leader="none" w:pos="62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Designation of Additional Series.</w:t>
      </w:r>
    </w:p>
    <w:p>
      <w:pPr>
        <w:spacing w:after="0" w:line="114"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color w:val="auto"/>
        </w:rPr>
        <w:t>2.1.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4" w:right="519" w:bottom="1440" w:gutter="0" w:footer="0" w:header="0"/>
        </w:sectPr>
      </w:pPr>
    </w:p>
    <w:bookmarkStart w:id="294" w:name="page295"/>
    <w:bookmarkEnd w:id="294"/>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Restated Certificate of Incorporation (as the same may be amended and/or restated from time to time, including pursuant to the terms of any Certificate of Designation designating a series of Preferred Stock, this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mean the total number of authorized directors whether or not there exist any vacancies in previously authorized directorships.</w:t>
      </w:r>
    </w:p>
    <w:p>
      <w:pPr>
        <w:spacing w:after="0" w:line="191" w:lineRule="exact"/>
        <w:rPr>
          <w:sz w:val="20"/>
          <w:szCs w:val="20"/>
          <w:color w:val="auto"/>
        </w:rPr>
      </w:pPr>
    </w:p>
    <w:p>
      <w:pPr>
        <w:ind w:right="20" w:firstLine="982"/>
        <w:spacing w:after="0" w:line="254" w:lineRule="auto"/>
        <w:rPr>
          <w:sz w:val="20"/>
          <w:szCs w:val="20"/>
          <w:color w:val="auto"/>
        </w:rPr>
      </w:pPr>
      <w:r>
        <w:rPr>
          <w:rFonts w:ascii="Times New Roman" w:cs="Times New Roman" w:eastAsia="Times New Roman" w:hAnsi="Times New Roman"/>
          <w:sz w:val="18"/>
          <w:szCs w:val="18"/>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Voting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84"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 xml:space="preserve">2.3 Each outstanding share of Voting Common Stock shall entitle the holder thereof to one vote on each matter properly submitted to the stockholders of the Corporation for their vote;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that</w:t>
      </w:r>
      <w:r>
        <w:rPr>
          <w:rFonts w:ascii="Times New Roman" w:cs="Times New Roman" w:eastAsia="Times New Roman" w:hAnsi="Times New Roman"/>
          <w:sz w:val="18"/>
          <w:szCs w:val="18"/>
          <w:color w:val="auto"/>
        </w:rPr>
        <w:t>, except as otherwise required by law, holders of Voting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84" w:lineRule="exact"/>
        <w:rPr>
          <w:sz w:val="20"/>
          <w:szCs w:val="20"/>
          <w:color w:val="auto"/>
        </w:rPr>
      </w:pPr>
    </w:p>
    <w:p>
      <w:pPr>
        <w:ind w:right="20" w:firstLine="982"/>
        <w:spacing w:after="0" w:line="258" w:lineRule="auto"/>
        <w:rPr>
          <w:sz w:val="20"/>
          <w:szCs w:val="20"/>
          <w:color w:val="auto"/>
        </w:rPr>
      </w:pPr>
      <w:r>
        <w:rPr>
          <w:rFonts w:ascii="Times New Roman" w:cs="Times New Roman" w:eastAsia="Times New Roman" w:hAnsi="Times New Roman"/>
          <w:sz w:val="18"/>
          <w:szCs w:val="18"/>
          <w:color w:val="auto"/>
        </w:rPr>
        <w:t>2.4 Any holder of Non-Voting Common Stock may elect to convert each share of Non-Voting Common Stock into one fully paid and non-assessable share of Voting Common Stock at any time by providing written notice to the Corporation; provided, however, that such shares of Non-Voting Common Stock may only be converted by a holder of Non-Voting Common Stock into shares of Voting Common Stock during such time or times as immediately prior to or as a result of such conversion would not result in such holder (when aggregated with affiliates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8" w:right="519" w:bottom="1440" w:gutter="0" w:footer="0" w:header="0"/>
        </w:sectPr>
      </w:pPr>
    </w:p>
    <w:bookmarkStart w:id="295" w:name="page296"/>
    <w:bookmarkEnd w:id="295"/>
    <w:p>
      <w:pPr>
        <w:jc w:val="both"/>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with whom such holder is required to aggregate beneficial ownership for purposes of Section 13(d) of the Securities Exchange Act of 1934, as amended, and the rules and regulations promulgated thereunder (collectively,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being a beneficial owner (for purposes of Section 13(d) of the Exchange Act) (a “</w:t>
      </w:r>
      <w:r>
        <w:rPr>
          <w:rFonts w:ascii="Times New Roman" w:cs="Times New Roman" w:eastAsia="Times New Roman" w:hAnsi="Times New Roman"/>
          <w:sz w:val="17"/>
          <w:szCs w:val="17"/>
          <w:b w:val="1"/>
          <w:bCs w:val="1"/>
          <w:i w:val="1"/>
          <w:iCs w:val="1"/>
          <w:color w:val="auto"/>
        </w:rPr>
        <w:t>Beneficial Owner</w:t>
      </w:r>
      <w:r>
        <w:rPr>
          <w:rFonts w:ascii="Times New Roman" w:cs="Times New Roman" w:eastAsia="Times New Roman" w:hAnsi="Times New Roman"/>
          <w:sz w:val="17"/>
          <w:szCs w:val="17"/>
          <w:color w:val="auto"/>
        </w:rPr>
        <w:t>”) in excess of the Beneficial Ownership Limitation (as defined in Section 6(b) below). Except for the fact that the Non-Voting Common Stock has no voting rights, the Non-Voting Common Stock is identical in all respects to the Voting Common Stock.</w:t>
      </w:r>
    </w:p>
    <w:p>
      <w:pPr>
        <w:spacing w:after="0" w:line="16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Beneficial Ownership Limitation</w:t>
      </w:r>
      <w:r>
        <w:rPr>
          <w:rFonts w:ascii="Times New Roman" w:cs="Times New Roman" w:eastAsia="Times New Roman" w:hAnsi="Times New Roman"/>
          <w:sz w:val="18"/>
          <w:szCs w:val="18"/>
          <w:color w:val="auto"/>
        </w:rPr>
        <w:t>” means initially 9.99% of any class of securities of the Corporation registered under the Exchange Act, which percentage may be increased (not to exceed 19.99%) or decreased to such other percentage as any holder may designate (solely with respect to such holder and not with respect to any other holder) in writing upon 61 days’ notice to the Corporation, provided, however, that no holder may make such an election to change the percentage unless all holders managed by the same investment advisor as such electing holder make the same election.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 AMENDMENT OF BYLAWS</w:t>
      </w:r>
    </w:p>
    <w:p>
      <w:pPr>
        <w:spacing w:after="0" w:line="225" w:lineRule="exact"/>
        <w:rPr>
          <w:sz w:val="20"/>
          <w:szCs w:val="20"/>
          <w:color w:val="auto"/>
        </w:rPr>
      </w:pPr>
    </w:p>
    <w:p>
      <w:pPr>
        <w:ind w:firstLine="436"/>
        <w:spacing w:after="0" w:line="266" w:lineRule="auto"/>
        <w:rPr>
          <w:sz w:val="20"/>
          <w:szCs w:val="20"/>
          <w:color w:val="auto"/>
        </w:rPr>
      </w:pPr>
      <w:r>
        <w:rPr>
          <w:rFonts w:ascii="Times New Roman" w:cs="Times New Roman" w:eastAsia="Times New Roman" w:hAnsi="Times New Roman"/>
          <w:sz w:val="17"/>
          <w:szCs w:val="17"/>
          <w:color w:val="auto"/>
        </w:rPr>
        <w:t>The Board shall have the power to adopt, amend or repeal the Bylaws of the Corporation (as the same may be amended and/or restated from time to time, the “</w:t>
      </w:r>
      <w:r>
        <w:rPr>
          <w:rFonts w:ascii="Times New Roman" w:cs="Times New Roman" w:eastAsia="Times New Roman" w:hAnsi="Times New Roman"/>
          <w:sz w:val="17"/>
          <w:szCs w:val="17"/>
          <w:b w:val="1"/>
          <w:bCs w:val="1"/>
          <w:i w:val="1"/>
          <w:iCs w:val="1"/>
          <w:color w:val="auto"/>
        </w:rPr>
        <w:t>Bylaws</w:t>
      </w:r>
      <w:r>
        <w:rPr>
          <w:rFonts w:ascii="Times New Roman" w:cs="Times New Roman" w:eastAsia="Times New Roman" w:hAnsi="Times New Roman"/>
          <w:sz w:val="17"/>
          <w:szCs w:val="17"/>
          <w:color w:val="auto"/>
        </w:rPr>
        <w:t xml:space="preserve">”). Any adoption, amendment or repeal of the Bylaws by the Board shall require the approval of a majority of the Whole Board. The stockholders shall also have power to adopt, amend or repeal the Bylaws;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that</w:t>
      </w:r>
      <w:r>
        <w:rPr>
          <w:rFonts w:ascii="Times New Roman" w:cs="Times New Roman" w:eastAsia="Times New Roman" w:hAnsi="Times New Roman"/>
          <w:sz w:val="17"/>
          <w:szCs w:val="17"/>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further</w:t>
      </w:r>
      <w:r>
        <w:rPr>
          <w:rFonts w:ascii="Times New Roman" w:cs="Times New Roman" w:eastAsia="Times New Roman" w:hAnsi="Times New Roman"/>
          <w:sz w:val="17"/>
          <w:szCs w:val="17"/>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 MATTERS RELATING TO THE BOARD OF DIRECTORS</w:t>
      </w:r>
    </w:p>
    <w:p>
      <w:pPr>
        <w:spacing w:after="0" w:line="221" w:lineRule="exact"/>
        <w:rPr>
          <w:sz w:val="20"/>
          <w:szCs w:val="20"/>
          <w:color w:val="auto"/>
        </w:rPr>
      </w:pPr>
    </w:p>
    <w:p>
      <w:pPr>
        <w:ind w:right="760" w:firstLine="444"/>
        <w:spacing w:after="0" w:line="282" w:lineRule="auto"/>
        <w:tabs>
          <w:tab w:leader="none" w:pos="61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 Powers</w:t>
      </w:r>
      <w:r>
        <w:rPr>
          <w:rFonts w:ascii="Times New Roman" w:cs="Times New Roman" w:eastAsia="Times New Roman" w:hAnsi="Times New Roman"/>
          <w:sz w:val="18"/>
          <w:szCs w:val="18"/>
          <w:color w:val="auto"/>
        </w:rPr>
        <w:t>. Except as otherwise provided by the General Corporation Law, the Bylaws of the Corporation or this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the business and affairs of the Corporation shall be managed by or under the direction of the Board.</w:t>
      </w:r>
    </w:p>
    <w:p>
      <w:pPr>
        <w:spacing w:after="0" w:line="155" w:lineRule="exact"/>
        <w:rPr>
          <w:rFonts w:ascii="Times New Roman" w:cs="Times New Roman" w:eastAsia="Times New Roman" w:hAnsi="Times New Roman"/>
          <w:sz w:val="18"/>
          <w:szCs w:val="18"/>
          <w:b w:val="1"/>
          <w:bCs w:val="1"/>
          <w:color w:val="auto"/>
        </w:rPr>
      </w:pPr>
    </w:p>
    <w:p>
      <w:pPr>
        <w:ind w:right="180" w:firstLine="444"/>
        <w:spacing w:after="0" w:line="265" w:lineRule="auto"/>
        <w:tabs>
          <w:tab w:leader="none" w:pos="61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of Directors</w:t>
      </w:r>
      <w:r>
        <w:rPr>
          <w:rFonts w:ascii="Times New Roman" w:cs="Times New Roman" w:eastAsia="Times New Roman" w:hAnsi="Times New Roman"/>
          <w:sz w:val="18"/>
          <w:szCs w:val="18"/>
          <w:color w:val="auto"/>
        </w:rPr>
        <w:t>. Subject to the special rights of the holders of any series of Preferred Stock to elect additional directors under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the total number of directors constituting the Whole Board shall be fixed from time to time exclusively by resolution adopted by a majority of the Whole Board.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296" w:name="page297"/>
    <w:bookmarkEnd w:id="296"/>
    <w:p>
      <w:pPr>
        <w:ind w:left="-7" w:right="80" w:firstLine="444"/>
        <w:spacing w:after="0" w:line="267" w:lineRule="auto"/>
        <w:tabs>
          <w:tab w:leader="none" w:pos="607" w:val="left"/>
        </w:tabs>
        <w:numPr>
          <w:ilvl w:val="1"/>
          <w:numId w:val="1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Classified Board</w:t>
      </w:r>
      <w:r>
        <w:rPr>
          <w:rFonts w:ascii="Times New Roman" w:cs="Times New Roman" w:eastAsia="Times New Roman" w:hAnsi="Times New Roman"/>
          <w:sz w:val="17"/>
          <w:szCs w:val="17"/>
          <w:color w:val="auto"/>
        </w:rPr>
        <w:t>. Subject to the special rights of the holders of one or more series of Preferred Stock to elect additional directors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specified circumstances, the directors shall be divided, with respect to the time for which they severally hold office, into three classes designated as Class I, Class II and Class III, respectively (the “</w:t>
      </w:r>
      <w:r>
        <w:rPr>
          <w:rFonts w:ascii="Times New Roman" w:cs="Times New Roman" w:eastAsia="Times New Roman" w:hAnsi="Times New Roman"/>
          <w:sz w:val="17"/>
          <w:szCs w:val="17"/>
          <w:b w:val="1"/>
          <w:bCs w:val="1"/>
          <w:i w:val="1"/>
          <w:iCs w:val="1"/>
          <w:color w:val="auto"/>
        </w:rPr>
        <w:t>Classified Board</w:t>
      </w:r>
      <w:r>
        <w:rPr>
          <w:rFonts w:ascii="Times New Roman" w:cs="Times New Roman" w:eastAsia="Times New Roman" w:hAnsi="Times New Roman"/>
          <w:sz w:val="17"/>
          <w:szCs w:val="17"/>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Voting Common Stock to the public (the “</w:t>
      </w:r>
      <w:r>
        <w:rPr>
          <w:rFonts w:ascii="Times New Roman" w:cs="Times New Roman" w:eastAsia="Times New Roman" w:hAnsi="Times New Roman"/>
          <w:sz w:val="17"/>
          <w:szCs w:val="17"/>
          <w:b w:val="1"/>
          <w:bCs w:val="1"/>
          <w:i w:val="1"/>
          <w:iCs w:val="1"/>
          <w:color w:val="auto"/>
        </w:rPr>
        <w:t>Initial Public Offering</w:t>
      </w:r>
      <w:r>
        <w:rPr>
          <w:rFonts w:ascii="Times New Roman" w:cs="Times New Roman" w:eastAsia="Times New Roman" w:hAnsi="Times New Roman"/>
          <w:sz w:val="17"/>
          <w:szCs w:val="17"/>
          <w:color w:val="auto"/>
        </w:rPr>
        <w:t>”), the initial term of office of the Class II directors shall expire at the Corporation’s second annual meeting of 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expiring at the third succeeding annual meeting of stockholders after their election.</w:t>
      </w:r>
    </w:p>
    <w:p>
      <w:pPr>
        <w:spacing w:after="0" w:line="172" w:lineRule="exact"/>
        <w:rPr>
          <w:rFonts w:ascii="Times New Roman" w:cs="Times New Roman" w:eastAsia="Times New Roman" w:hAnsi="Times New Roman"/>
          <w:sz w:val="17"/>
          <w:szCs w:val="17"/>
          <w:b w:val="1"/>
          <w:bCs w:val="1"/>
          <w:color w:val="auto"/>
        </w:rPr>
      </w:pPr>
    </w:p>
    <w:p>
      <w:pPr>
        <w:ind w:left="-7" w:right="120" w:firstLine="444"/>
        <w:spacing w:after="0" w:line="266" w:lineRule="auto"/>
        <w:tabs>
          <w:tab w:leader="none" w:pos="607" w:val="left"/>
        </w:tabs>
        <w:numPr>
          <w:ilvl w:val="1"/>
          <w:numId w:val="1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Term and Removal</w:t>
      </w:r>
      <w:r>
        <w:rPr>
          <w:rFonts w:ascii="Times New Roman" w:cs="Times New Roman" w:eastAsia="Times New Roman" w:hAnsi="Times New Roman"/>
          <w:sz w:val="17"/>
          <w:szCs w:val="17"/>
          <w:color w:val="auto"/>
        </w:rPr>
        <w:t>. Each director shall hold office until the annual meeting at which such director’s term expires and until such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w:t>
      </w:r>
    </w:p>
    <w:p>
      <w:pPr>
        <w:spacing w:after="0" w:line="4" w:lineRule="exact"/>
        <w:rPr>
          <w:rFonts w:ascii="Times New Roman" w:cs="Times New Roman" w:eastAsia="Times New Roman" w:hAnsi="Times New Roman"/>
          <w:sz w:val="17"/>
          <w:szCs w:val="17"/>
          <w:b w:val="1"/>
          <w:bCs w:val="1"/>
          <w:color w:val="auto"/>
        </w:rPr>
      </w:pPr>
    </w:p>
    <w:p>
      <w:pPr>
        <w:ind w:left="-7" w:firstLine="7"/>
        <w:spacing w:after="0" w:line="252" w:lineRule="auto"/>
        <w:tabs>
          <w:tab w:leader="none" w:pos="24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81" w:lineRule="exact"/>
        <w:rPr>
          <w:rFonts w:ascii="Times New Roman" w:cs="Times New Roman" w:eastAsia="Times New Roman" w:hAnsi="Times New Roman"/>
          <w:sz w:val="18"/>
          <w:szCs w:val="18"/>
          <w:color w:val="auto"/>
        </w:rPr>
      </w:pPr>
    </w:p>
    <w:p>
      <w:pPr>
        <w:jc w:val="both"/>
        <w:ind w:left="-7" w:right="80" w:firstLine="444"/>
        <w:spacing w:after="0" w:line="276" w:lineRule="auto"/>
        <w:tabs>
          <w:tab w:leader="none" w:pos="607" w:val="left"/>
        </w:tabs>
        <w:numPr>
          <w:ilvl w:val="1"/>
          <w:numId w:val="1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Board Vacancies and Newly Created Directorships</w:t>
      </w:r>
      <w:r>
        <w:rPr>
          <w:rFonts w:ascii="Times New Roman" w:cs="Times New Roman" w:eastAsia="Times New Roman" w:hAnsi="Times New Roman"/>
          <w:sz w:val="17"/>
          <w:szCs w:val="17"/>
          <w:color w:val="auto"/>
        </w:rPr>
        <w:t>. Subject to the special rights of the holders of any series of Preferred Stock, any vacancy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occurring in the Board for any cause, and any newly created directorship resulting from any increase in the authorized number of directors, shall, unless</w:t>
      </w:r>
    </w:p>
    <w:p>
      <w:pPr>
        <w:spacing w:after="0" w:line="1" w:lineRule="exact"/>
        <w:rPr>
          <w:rFonts w:ascii="Times New Roman" w:cs="Times New Roman" w:eastAsia="Times New Roman" w:hAnsi="Times New Roman"/>
          <w:sz w:val="17"/>
          <w:szCs w:val="17"/>
          <w:b w:val="1"/>
          <w:bCs w:val="1"/>
          <w:color w:val="auto"/>
        </w:rPr>
      </w:pPr>
    </w:p>
    <w:p>
      <w:pPr>
        <w:ind w:left="-7" w:right="120" w:firstLine="7"/>
        <w:spacing w:after="0" w:line="250" w:lineRule="auto"/>
        <w:tabs>
          <w:tab w:leader="none" w:pos="23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2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13"/>
          </w:cols>
          <w:pgMar w:left="487" w:top="264" w:right="499" w:bottom="1440" w:gutter="0" w:footer="0" w:header="0"/>
        </w:sectPr>
      </w:pPr>
    </w:p>
    <w:bookmarkStart w:id="297" w:name="page298"/>
    <w:bookmarkEnd w:id="297"/>
    <w:p>
      <w:pPr>
        <w:ind w:left="620" w:hanging="176"/>
        <w:spacing w:after="0"/>
        <w:tabs>
          <w:tab w:leader="none" w:pos="62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Vote by Ballot</w:t>
      </w:r>
      <w:r>
        <w:rPr>
          <w:rFonts w:ascii="Times New Roman" w:cs="Times New Roman" w:eastAsia="Times New Roman" w:hAnsi="Times New Roman"/>
          <w:sz w:val="18"/>
          <w:szCs w:val="18"/>
          <w:color w:val="auto"/>
        </w:rPr>
        <w:t>. Election of directors need not be by written ballot unless the Bylaws shall so provide.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 DIRECTOR LIABILITY</w:t>
      </w:r>
    </w:p>
    <w:p>
      <w:pPr>
        <w:spacing w:after="0" w:line="221" w:lineRule="exact"/>
        <w:rPr>
          <w:sz w:val="20"/>
          <w:szCs w:val="20"/>
          <w:color w:val="auto"/>
        </w:rPr>
      </w:pPr>
    </w:p>
    <w:p>
      <w:pPr>
        <w:jc w:val="both"/>
        <w:ind w:right="40" w:firstLine="444"/>
        <w:spacing w:after="0" w:line="259" w:lineRule="auto"/>
        <w:tabs>
          <w:tab w:leader="none" w:pos="61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To the fullest extent permitted by law, no director of the Corporation shall be personally liable for monetary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76" w:lineRule="exact"/>
        <w:rPr>
          <w:rFonts w:ascii="Times New Roman" w:cs="Times New Roman" w:eastAsia="Times New Roman" w:hAnsi="Times New Roman"/>
          <w:sz w:val="18"/>
          <w:szCs w:val="18"/>
          <w:b w:val="1"/>
          <w:bCs w:val="1"/>
          <w:color w:val="auto"/>
        </w:rPr>
      </w:pPr>
    </w:p>
    <w:p>
      <w:pPr>
        <w:ind w:right="120" w:firstLine="444"/>
        <w:spacing w:after="0" w:line="265" w:lineRule="auto"/>
        <w:tabs>
          <w:tab w:leader="none" w:pos="61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Rights</w:t>
      </w:r>
      <w:r>
        <w:rPr>
          <w:rFonts w:ascii="Times New Roman" w:cs="Times New Roman" w:eastAsia="Times New Roman" w:hAnsi="Times New Roman"/>
          <w:sz w:val="18"/>
          <w:szCs w:val="18"/>
          <w:color w:val="auto"/>
        </w:rPr>
        <w:t>. Neither any amendment nor repeal of this Article VII, nor the adoption of any provision of this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 MATTERS RELATING TO STOCKHOLDERS</w:t>
      </w:r>
    </w:p>
    <w:p>
      <w:pPr>
        <w:spacing w:after="0" w:line="221" w:lineRule="exact"/>
        <w:rPr>
          <w:sz w:val="20"/>
          <w:szCs w:val="20"/>
          <w:color w:val="auto"/>
        </w:rPr>
      </w:pPr>
    </w:p>
    <w:p>
      <w:pPr>
        <w:ind w:right="380" w:firstLine="444"/>
        <w:spacing w:after="0" w:line="265" w:lineRule="auto"/>
        <w:tabs>
          <w:tab w:leader="none" w:pos="614"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Action by Written Consent of Stockholders</w:t>
      </w:r>
      <w:r>
        <w:rPr>
          <w:rFonts w:ascii="Times New Roman" w:cs="Times New Roman" w:eastAsia="Times New Roman" w:hAnsi="Times New Roman"/>
          <w:sz w:val="18"/>
          <w:szCs w:val="18"/>
          <w:color w:val="auto"/>
        </w:rPr>
        <w:t>. Subject to the rights of any series of Preferred Stock then outstanding, no action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by the stockholders of the Corporation except at a duly called annual or special meeting of stockholders and no action shall be taken by the stockholders of the Corporation by written consent in lieu of a meeting.</w:t>
      </w:r>
    </w:p>
    <w:p>
      <w:pPr>
        <w:spacing w:after="0" w:line="170" w:lineRule="exact"/>
        <w:rPr>
          <w:rFonts w:ascii="Times New Roman" w:cs="Times New Roman" w:eastAsia="Times New Roman" w:hAnsi="Times New Roman"/>
          <w:sz w:val="18"/>
          <w:szCs w:val="18"/>
          <w:b w:val="1"/>
          <w:bCs w:val="1"/>
          <w:color w:val="auto"/>
        </w:rPr>
      </w:pPr>
    </w:p>
    <w:p>
      <w:pPr>
        <w:ind w:right="20" w:firstLine="444"/>
        <w:spacing w:after="0" w:line="265" w:lineRule="auto"/>
        <w:tabs>
          <w:tab w:leader="none" w:pos="614"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stockholders of the Corporation may be called only by the Chairperson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70" w:lineRule="exact"/>
        <w:rPr>
          <w:rFonts w:ascii="Times New Roman" w:cs="Times New Roman" w:eastAsia="Times New Roman" w:hAnsi="Times New Roman"/>
          <w:sz w:val="18"/>
          <w:szCs w:val="18"/>
          <w:b w:val="1"/>
          <w:bCs w:val="1"/>
          <w:color w:val="auto"/>
        </w:rPr>
      </w:pPr>
    </w:p>
    <w:p>
      <w:pPr>
        <w:jc w:val="both"/>
        <w:ind w:right="40" w:firstLine="444"/>
        <w:spacing w:after="0" w:line="259" w:lineRule="auto"/>
        <w:tabs>
          <w:tab w:leader="none" w:pos="614"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Advance Notice of Stockholder Nominations and Business Transacted at Special Meetings</w:t>
      </w:r>
      <w:r>
        <w:rPr>
          <w:rFonts w:ascii="Times New Roman" w:cs="Times New Roman" w:eastAsia="Times New Roman" w:hAnsi="Times New Roman"/>
          <w:sz w:val="18"/>
          <w:szCs w:val="18"/>
          <w:color w:val="auto"/>
        </w:rPr>
        <w:t>. Advance notice of stockholder nominations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 CHOICE OF FORUM</w:t>
      </w:r>
    </w:p>
    <w:p>
      <w:pPr>
        <w:spacing w:after="0" w:line="225"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4" w:right="499" w:bottom="1440" w:gutter="0" w:footer="0" w:header="0"/>
        </w:sectPr>
      </w:pPr>
    </w:p>
    <w:bookmarkStart w:id="298" w:name="page299"/>
    <w:bookmarkEnd w:id="29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 AMENDMENT OF CERTIFICATE OF INCORPORATION</w:t>
      </w:r>
    </w:p>
    <w:p>
      <w:pPr>
        <w:spacing w:after="0" w:line="225" w:lineRule="exact"/>
        <w:rPr>
          <w:sz w:val="20"/>
          <w:szCs w:val="20"/>
          <w:color w:val="auto"/>
        </w:rPr>
      </w:pPr>
    </w:p>
    <w:p>
      <w:pPr>
        <w:ind w:right="160" w:firstLine="436"/>
        <w:spacing w:after="0" w:line="258" w:lineRule="auto"/>
        <w:rPr>
          <w:sz w:val="20"/>
          <w:szCs w:val="20"/>
          <w:color w:val="auto"/>
        </w:rPr>
      </w:pPr>
      <w:r>
        <w:rPr>
          <w:rFonts w:ascii="Times New Roman" w:cs="Times New Roman" w:eastAsia="Times New Roman" w:hAnsi="Times New Roman"/>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80" w:lineRule="exact"/>
        <w:rPr>
          <w:sz w:val="20"/>
          <w:szCs w:val="20"/>
          <w:color w:val="auto"/>
        </w:rPr>
      </w:pPr>
    </w:p>
    <w:p>
      <w:pPr>
        <w:ind w:right="20" w:firstLine="436"/>
        <w:spacing w:after="0" w:line="250"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of by this Certificate of Incorporation or any Certificate of Designation), shall be required to amend or repeal such provisions of this Certificate of Incorporation.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8" w:right="51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808355</wp:posOffset>
            </wp:positionV>
            <wp:extent cx="69297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PRELUDE THERAPEUTICS INCORPORATED</w:t>
      </w:r>
    </w:p>
    <w:p>
      <w:pPr>
        <w:spacing w:after="0" w:line="4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RESTATED BYLAWS</w:t>
      </w:r>
    </w:p>
    <w:p>
      <w:pPr>
        <w:spacing w:after="0" w:line="200" w:lineRule="exact"/>
        <w:rPr>
          <w:sz w:val="20"/>
          <w:szCs w:val="20"/>
          <w:color w:val="auto"/>
        </w:rPr>
      </w:pPr>
    </w:p>
    <w:p>
      <w:pPr>
        <w:spacing w:after="0" w:line="239"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As Adopted [•], 2020 and</w:t>
      </w:r>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As Effective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177165</wp:posOffset>
            </wp:positionV>
            <wp:extent cx="69297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9960"/>
          </w:cols>
          <w:pgMar w:left="1440" w:top="117" w:right="49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18"/>
        </w:trPr>
        <w:tc>
          <w:tcPr>
            <w:tcW w:w="1480" w:type="dxa"/>
            <w:vAlign w:val="bottom"/>
          </w:tcPr>
          <w:p>
            <w:pPr>
              <w:spacing w:after="0"/>
              <w:rPr>
                <w:sz w:val="18"/>
                <w:szCs w:val="18"/>
                <w:color w:val="auto"/>
              </w:rPr>
            </w:pPr>
          </w:p>
        </w:tc>
        <w:tc>
          <w:tcPr>
            <w:tcW w:w="7380" w:type="dxa"/>
            <w:vAlign w:val="bottom"/>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w w:val="98"/>
              </w:rPr>
              <w:t>PRELUDE THERAPEUTICS INCORPORATED</w:t>
            </w:r>
          </w:p>
        </w:tc>
        <w:tc>
          <w:tcPr>
            <w:tcW w:w="1840" w:type="dxa"/>
            <w:vAlign w:val="bottom"/>
          </w:tcPr>
          <w:p>
            <w:pPr>
              <w:spacing w:after="0"/>
              <w:rPr>
                <w:sz w:val="18"/>
                <w:szCs w:val="18"/>
                <w:color w:val="auto"/>
              </w:rPr>
            </w:pPr>
          </w:p>
        </w:tc>
      </w:tr>
      <w:tr>
        <w:trPr>
          <w:trHeight w:val="233"/>
        </w:trPr>
        <w:tc>
          <w:tcPr>
            <w:tcW w:w="1480" w:type="dxa"/>
            <w:vAlign w:val="bottom"/>
          </w:tcPr>
          <w:p>
            <w:pPr>
              <w:spacing w:after="0"/>
              <w:rPr>
                <w:sz w:val="20"/>
                <w:szCs w:val="20"/>
                <w:color w:val="auto"/>
              </w:rPr>
            </w:pPr>
          </w:p>
        </w:tc>
        <w:tc>
          <w:tcPr>
            <w:tcW w:w="738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w w:val="99"/>
              </w:rPr>
              <w:t>(a Delaware corporation)</w:t>
            </w:r>
          </w:p>
        </w:tc>
        <w:tc>
          <w:tcPr>
            <w:tcW w:w="1840" w:type="dxa"/>
            <w:vAlign w:val="bottom"/>
          </w:tcPr>
          <w:p>
            <w:pPr>
              <w:spacing w:after="0"/>
              <w:rPr>
                <w:sz w:val="20"/>
                <w:szCs w:val="20"/>
                <w:color w:val="auto"/>
              </w:rPr>
            </w:pPr>
          </w:p>
        </w:tc>
      </w:tr>
      <w:tr>
        <w:trPr>
          <w:trHeight w:val="428"/>
        </w:trPr>
        <w:tc>
          <w:tcPr>
            <w:tcW w:w="1480" w:type="dxa"/>
            <w:vAlign w:val="bottom"/>
          </w:tcPr>
          <w:p>
            <w:pPr>
              <w:spacing w:after="0"/>
              <w:rPr>
                <w:sz w:val="24"/>
                <w:szCs w:val="24"/>
                <w:color w:val="auto"/>
              </w:rPr>
            </w:pPr>
          </w:p>
        </w:tc>
        <w:tc>
          <w:tcPr>
            <w:tcW w:w="7380" w:type="dxa"/>
            <w:vAlign w:val="bottom"/>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w w:val="95"/>
              </w:rPr>
              <w:t>RESTATED BYLAWS</w:t>
            </w:r>
          </w:p>
        </w:tc>
        <w:tc>
          <w:tcPr>
            <w:tcW w:w="1840" w:type="dxa"/>
            <w:vAlign w:val="bottom"/>
          </w:tcPr>
          <w:p>
            <w:pPr>
              <w:spacing w:after="0"/>
              <w:rPr>
                <w:sz w:val="24"/>
                <w:szCs w:val="24"/>
                <w:color w:val="auto"/>
              </w:rPr>
            </w:pPr>
          </w:p>
        </w:tc>
      </w:tr>
      <w:tr>
        <w:trPr>
          <w:trHeight w:val="428"/>
        </w:trPr>
        <w:tc>
          <w:tcPr>
            <w:tcW w:w="1480" w:type="dxa"/>
            <w:vAlign w:val="bottom"/>
          </w:tcPr>
          <w:p>
            <w:pPr>
              <w:spacing w:after="0"/>
              <w:rPr>
                <w:sz w:val="24"/>
                <w:szCs w:val="24"/>
                <w:color w:val="auto"/>
              </w:rPr>
            </w:pPr>
          </w:p>
        </w:tc>
        <w:tc>
          <w:tcPr>
            <w:tcW w:w="7380" w:type="dxa"/>
            <w:vAlign w:val="bottom"/>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40" w:type="dxa"/>
            <w:vAlign w:val="bottom"/>
          </w:tcPr>
          <w:p>
            <w:pPr>
              <w:spacing w:after="0"/>
              <w:rPr>
                <w:sz w:val="24"/>
                <w:szCs w:val="24"/>
                <w:color w:val="auto"/>
              </w:rPr>
            </w:pPr>
          </w:p>
        </w:tc>
      </w:tr>
      <w:tr>
        <w:trPr>
          <w:trHeight w:val="455"/>
        </w:trPr>
        <w:tc>
          <w:tcPr>
            <w:tcW w:w="14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8"/>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STOCKHOLDERS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Annual Meetings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Meetings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1.3:</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Meetings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1.4:</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Adjournments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1.5:</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1.7:</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Voting; Proxies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1.8:</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Fixing Date for Determination of Stockholders of Record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1.9:</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1.10:</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Inspectors of Elections.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1.11:</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Meetings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1.12:</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Stockholder Business; Nominations.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8"/>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BOARD OF DIRECTORS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Number; Qualifications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2.2:</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Election; Resignation; Removal; Vacancies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2.3:</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Regular Meetings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2.4:</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Meetings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2.5:</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Remote Meetings Permitted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2.6:</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 Vote Required for Action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2.7:</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2.8:</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Unanimous Action by Directors in Lieu of a Meeting</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2.9:</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2.10:</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2.11:</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8"/>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COMMITTEES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 Rules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8"/>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OFFICERS; CHAIRPERSON; LEAD INDEPENDENT DIRECTOR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Generally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4.3:</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Chairperson of the Board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4.4:</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4.5:</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4.6:</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4.7:</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4.8:</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700"/>
          </w:cols>
          <w:pgMar w:left="480" w:top="265" w:right="71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4.9:</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Secretary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4.10:</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Delegation of Authority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4.11:</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Removal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STOCK</w:t>
            </w:r>
          </w:p>
        </w:tc>
        <w:tc>
          <w:tcPr>
            <w:tcW w:w="8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Uncertificated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Lost, Stolen or Destroyed Stock Certificates; Issuance of New Certificates or Uncertificated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5.3:</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Regulations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98"/>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INDEMNIFICATION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Advancement of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6.3:</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Non-Exclusivity of Rights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6.4:</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Contracts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6.5:</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Indemnitee to Bring Suit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6.6:</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Nature of Rights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6.7:</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or Repeal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6.8:</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98"/>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NOTICES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7.1:</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7.2:</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Notice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98"/>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INTERESTED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Interested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8.2:</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Quorum</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8"/>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MISCELLANEOUS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Fiscal Year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9.2:</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9.3:</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Records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9.4:</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Reliance Upon Books and Records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9.5:</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Incorporation Governs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9.6:</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7"/>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9.7:</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Periods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98"/>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AMENDMENT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7"/>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Article XI:</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EXCLUSIVE FORUM</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2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700"/>
          </w:cols>
          <w:pgMar w:left="480" w:top="265" w:right="719" w:bottom="1440" w:gutter="0" w:footer="0" w:header="0"/>
        </w:sectPr>
      </w:pPr>
    </w:p>
    <w:bookmarkStart w:id="302" w:name="page303"/>
    <w:bookmarkEnd w:id="3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PRELUDE THERAPEUTICS INCORPORATED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RESTATED BYLAWS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 2020 and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Effective [•], 2020</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 STOCKHOLDERS</w:t>
      </w:r>
    </w:p>
    <w:p>
      <w:pPr>
        <w:spacing w:after="0" w:line="221"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Annual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required by applicable law, an annual meeting of stockholders shall be held for the election of directors 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time as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Prelude Therapeutics Incorporated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each year fix. The meeting may be held either at a place, within or without the State of Delaware as permitted by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or by means of remote communication as the Board in its sole discretion may determine. Any proper business may be transacted at the annual meeting.</w:t>
      </w:r>
    </w:p>
    <w:p>
      <w:pPr>
        <w:spacing w:after="0" w:line="176" w:lineRule="exact"/>
        <w:rPr>
          <w:sz w:val="20"/>
          <w:szCs w:val="20"/>
          <w:color w:val="auto"/>
        </w:rPr>
      </w:pPr>
    </w:p>
    <w:p>
      <w:pPr>
        <w:ind w:right="18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stockholders for any purpose or purposes shall be called in the manner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 of Incorporation of the Corporation (as the same may be amended and/or restated from time to time,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The special meeting may be held either at a place, within or without the State of Delaware, or by means of remote communication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in its sole discretion may determine. Business transacted at any special meeting of stockholders shall be limited to matters relating to the purpose or purposes stated in the notice of the meeting.</w:t>
      </w:r>
    </w:p>
    <w:p>
      <w:pPr>
        <w:spacing w:after="0" w:line="180" w:lineRule="exact"/>
        <w:rPr>
          <w:sz w:val="20"/>
          <w:szCs w:val="20"/>
          <w:color w:val="auto"/>
        </w:rPr>
      </w:pPr>
    </w:p>
    <w:p>
      <w:pPr>
        <w:ind w:right="12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Notice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all meetings of stockholders shall be given in writing or by electronic transmission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80"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Adjournments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Section 1.5 of these Bylaws, the chairperson of the meeting shall have the power to adjourn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the adjournment is for more than thirty (30) days, a notice of the adjourned meeting shall be given to each stockholder of record entitled to vote at the meeting. If, after the adjournment, a new record date for determination of stockholders</w:t>
      </w:r>
    </w:p>
    <w:p>
      <w:pPr>
        <w:sectPr>
          <w:pgSz w:w="11900" w:h="16838" w:orient="portrait"/>
          <w:cols w:equalWidth="0" w:num="1">
            <w:col w:w="10920"/>
          </w:cols>
          <w:pgMar w:left="480" w:top="265" w:right="499" w:bottom="1440" w:gutter="0" w:footer="0" w:header="0"/>
        </w:sectPr>
      </w:pPr>
    </w:p>
    <w:bookmarkStart w:id="303" w:name="page304"/>
    <w:bookmarkEnd w:id="30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83" w:lineRule="exact"/>
        <w:rPr>
          <w:sz w:val="20"/>
          <w:szCs w:val="20"/>
          <w:color w:val="auto"/>
        </w:rPr>
      </w:pPr>
    </w:p>
    <w:p>
      <w:pPr>
        <w:ind w:right="80" w:firstLine="43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by applicable law, the Certificate of Incorporation or these Bylaws, at each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the holders of a majority of the voting power of the shares of stock issued and outstanding and entitled to vote at the meeting, present in person or represented by proxy, shall constitute a quorum for the transaction of business;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93" w:lineRule="exact"/>
        <w:rPr>
          <w:sz w:val="20"/>
          <w:szCs w:val="20"/>
          <w:color w:val="auto"/>
        </w:rPr>
      </w:pPr>
    </w:p>
    <w:p>
      <w:pPr>
        <w:ind w:right="8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stockholders shall be presided over by (a) such person as the Board may designate, or (b) in the absence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80" w:lineRule="exact"/>
        <w:rPr>
          <w:sz w:val="20"/>
          <w:szCs w:val="20"/>
          <w:color w:val="auto"/>
        </w:rPr>
      </w:pPr>
    </w:p>
    <w:p>
      <w:pPr>
        <w:ind w:right="4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u w:val="single" w:color="auto"/>
          <w:color w:val="auto"/>
        </w:rPr>
        <w:t>Voting; Proxies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stockholder of record entitled to vote at a meeting of stockholders may authorize another person or persons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304" w:name="page305"/>
    <w:bookmarkEnd w:id="30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80"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u w:val="single" w:color="auto"/>
          <w:color w:val="auto"/>
        </w:rPr>
        <w:t>Fixing Date for Determination of Stockholders of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that the Corporation may determine the stockholders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8" w:lineRule="exact"/>
        <w:rPr>
          <w:sz w:val="20"/>
          <w:szCs w:val="20"/>
          <w:color w:val="auto"/>
        </w:rPr>
      </w:pPr>
    </w:p>
    <w:p>
      <w:pPr>
        <w:ind w:right="100" w:firstLine="436"/>
        <w:spacing w:after="0" w:line="274" w:lineRule="auto"/>
        <w:rPr>
          <w:sz w:val="20"/>
          <w:szCs w:val="20"/>
          <w:color w:val="auto"/>
        </w:rPr>
      </w:pPr>
      <w:r>
        <w:rPr>
          <w:rFonts w:ascii="Times New Roman" w:cs="Times New Roman" w:eastAsia="Times New Roman" w:hAnsi="Times New Roman"/>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64"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b w:val="1"/>
          <w:bCs w:val="1"/>
          <w:u w:val="single" w:color="auto"/>
          <w:color w:val="auto"/>
        </w:rPr>
        <w:t>List of Stockholders Entitled to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prepare, at least ten (10) days before every meeting of stockholders,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list of stockholders entitled to vote at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either (a) on a reasonably accessible electronic network as permitted by applicable law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305" w:name="page306"/>
    <w:bookmarkEnd w:id="305"/>
    <w:p>
      <w:pPr>
        <w:ind w:right="2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1.10: </w:t>
      </w:r>
      <w:r>
        <w:rPr>
          <w:rFonts w:ascii="Times New Roman" w:cs="Times New Roman" w:eastAsia="Times New Roman" w:hAnsi="Times New Roman"/>
          <w:sz w:val="18"/>
          <w:szCs w:val="18"/>
          <w:b w:val="1"/>
          <w:bCs w:val="1"/>
          <w:u w:val="single" w:color="auto"/>
          <w:color w:val="auto"/>
        </w:rPr>
        <w:t>Inspectors of Elections</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ind w:right="160" w:firstLine="436"/>
        <w:spacing w:after="0" w:line="277" w:lineRule="auto"/>
        <w:rPr>
          <w:sz w:val="20"/>
          <w:szCs w:val="20"/>
          <w:color w:val="auto"/>
        </w:rPr>
      </w:pPr>
      <w:r>
        <w:rPr>
          <w:rFonts w:ascii="Times New Roman" w:cs="Times New Roman" w:eastAsia="Times New Roman" w:hAnsi="Times New Roman"/>
          <w:sz w:val="17"/>
          <w:szCs w:val="17"/>
          <w:color w:val="auto"/>
        </w:rPr>
        <w:t xml:space="preserve">1.10.1 </w:t>
      </w:r>
      <w:r>
        <w:rPr>
          <w:rFonts w:ascii="Times New Roman" w:cs="Times New Roman" w:eastAsia="Times New Roman" w:hAnsi="Times New Roman"/>
          <w:sz w:val="17"/>
          <w:szCs w:val="17"/>
          <w:u w:val="single" w:color="auto"/>
          <w:color w:val="auto"/>
        </w:rPr>
        <w:t>Applicability</w:t>
      </w:r>
      <w:r>
        <w:rPr>
          <w:rFonts w:ascii="Times New Roman" w:cs="Times New Roman" w:eastAsia="Times New Roman" w:hAnsi="Times New Roman"/>
          <w:sz w:val="17"/>
          <w:szCs w:val="17"/>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67"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 xml:space="preserve">1.10.2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80"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 xml:space="preserve">1.10.3 </w:t>
      </w:r>
      <w:r>
        <w:rPr>
          <w:rFonts w:ascii="Times New Roman" w:cs="Times New Roman" w:eastAsia="Times New Roman" w:hAnsi="Times New Roman"/>
          <w:sz w:val="18"/>
          <w:szCs w:val="18"/>
          <w:u w:val="single" w:color="auto"/>
          <w:color w:val="auto"/>
        </w:rPr>
        <w:t>Inspector’s Oath</w:t>
      </w:r>
      <w:r>
        <w:rPr>
          <w:rFonts w:ascii="Times New Roman" w:cs="Times New Roman" w:eastAsia="Times New Roman" w:hAnsi="Times New Roman"/>
          <w:sz w:val="18"/>
          <w:szCs w:val="18"/>
          <w:color w:val="auto"/>
        </w:rPr>
        <w:t>. Each inspector of election, before entering upon the discharge of his or her duties, shall take and sign an oath faithfully to execute the duties of inspector with strict impartiality and according to the best of such inspector’s ability.</w:t>
      </w:r>
    </w:p>
    <w:p>
      <w:pPr>
        <w:spacing w:after="0" w:line="162" w:lineRule="exact"/>
        <w:rPr>
          <w:sz w:val="20"/>
          <w:szCs w:val="20"/>
          <w:color w:val="auto"/>
        </w:rPr>
      </w:pPr>
    </w:p>
    <w:p>
      <w:pPr>
        <w:ind w:right="220" w:firstLine="436"/>
        <w:spacing w:after="0" w:line="274" w:lineRule="auto"/>
        <w:rPr>
          <w:sz w:val="20"/>
          <w:szCs w:val="20"/>
          <w:color w:val="auto"/>
        </w:rPr>
      </w:pPr>
      <w:r>
        <w:rPr>
          <w:rFonts w:ascii="Times New Roman" w:cs="Times New Roman" w:eastAsia="Times New Roman" w:hAnsi="Times New Roman"/>
          <w:sz w:val="17"/>
          <w:szCs w:val="17"/>
          <w:color w:val="auto"/>
        </w:rPr>
        <w:t xml:space="preserve">1.10.4 </w:t>
      </w:r>
      <w:r>
        <w:rPr>
          <w:rFonts w:ascii="Times New Roman" w:cs="Times New Roman" w:eastAsia="Times New Roman" w:hAnsi="Times New Roman"/>
          <w:sz w:val="17"/>
          <w:szCs w:val="17"/>
          <w:u w:val="single" w:color="auto"/>
          <w:color w:val="auto"/>
        </w:rPr>
        <w:t>Duties of Inspectors</w:t>
      </w:r>
      <w:r>
        <w:rPr>
          <w:rFonts w:ascii="Times New Roman" w:cs="Times New Roman" w:eastAsia="Times New Roman" w:hAnsi="Times New Roman"/>
          <w:sz w:val="17"/>
          <w:szCs w:val="17"/>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w:t>
      </w:r>
    </w:p>
    <w:p>
      <w:pPr>
        <w:ind w:left="260" w:hanging="253"/>
        <w:spacing w:after="0"/>
        <w:tabs>
          <w:tab w:leader="none" w:pos="2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of time a record of the disposition of any challenges made to any determination by the inspectors, and</w:t>
      </w:r>
    </w:p>
    <w:p>
      <w:pPr>
        <w:spacing w:after="0" w:line="6" w:lineRule="exact"/>
        <w:rPr>
          <w:rFonts w:ascii="Times New Roman" w:cs="Times New Roman" w:eastAsia="Times New Roman" w:hAnsi="Times New Roman"/>
          <w:sz w:val="18"/>
          <w:szCs w:val="18"/>
          <w:color w:val="auto"/>
        </w:rPr>
      </w:pPr>
    </w:p>
    <w:p>
      <w:pPr>
        <w:ind w:right="60" w:firstLine="7"/>
        <w:spacing w:after="0" w:line="256" w:lineRule="auto"/>
        <w:tabs>
          <w:tab w:leader="none" w:pos="24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82" w:lineRule="exact"/>
        <w:rPr>
          <w:sz w:val="20"/>
          <w:szCs w:val="20"/>
          <w:color w:val="auto"/>
        </w:rPr>
      </w:pPr>
    </w:p>
    <w:p>
      <w:pPr>
        <w:jc w:val="both"/>
        <w:ind w:right="220" w:firstLine="436"/>
        <w:spacing w:after="0" w:line="258" w:lineRule="auto"/>
        <w:rPr>
          <w:sz w:val="20"/>
          <w:szCs w:val="20"/>
          <w:color w:val="auto"/>
        </w:rPr>
      </w:pPr>
      <w:r>
        <w:rPr>
          <w:rFonts w:ascii="Times New Roman" w:cs="Times New Roman" w:eastAsia="Times New Roman" w:hAnsi="Times New Roman"/>
          <w:sz w:val="18"/>
          <w:szCs w:val="18"/>
          <w:color w:val="auto"/>
        </w:rPr>
        <w:t xml:space="preserve">1.10.5 </w:t>
      </w:r>
      <w:r>
        <w:rPr>
          <w:rFonts w:ascii="Times New Roman" w:cs="Times New Roman" w:eastAsia="Times New Roman" w:hAnsi="Times New Roman"/>
          <w:sz w:val="18"/>
          <w:szCs w:val="18"/>
          <w:u w:val="single" w:color="auto"/>
          <w:color w:val="auto"/>
        </w:rPr>
        <w:t>Opening and Closing of Polls</w:t>
      </w:r>
      <w:r>
        <w:rPr>
          <w:rFonts w:ascii="Times New Roman" w:cs="Times New Roman" w:eastAsia="Times New Roman" w:hAnsi="Times New Roman"/>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8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1.10.6 </w:t>
      </w:r>
      <w:r>
        <w:rPr>
          <w:rFonts w:ascii="Times New Roman" w:cs="Times New Roman" w:eastAsia="Times New Roman" w:hAnsi="Times New Roman"/>
          <w:sz w:val="18"/>
          <w:szCs w:val="18"/>
          <w:u w:val="single" w:color="auto"/>
          <w:color w:val="auto"/>
        </w:rPr>
        <w:t>Determinations</w:t>
      </w:r>
      <w:r>
        <w:rPr>
          <w:rFonts w:ascii="Times New Roman" w:cs="Times New Roman" w:eastAsia="Times New Roman" w:hAnsi="Times New Roman"/>
          <w:sz w:val="18"/>
          <w:szCs w:val="18"/>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306" w:name="page307"/>
    <w:bookmarkEnd w:id="306"/>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80"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Section 1.11: </w:t>
      </w:r>
      <w:r>
        <w:rPr>
          <w:rFonts w:ascii="Times New Roman" w:cs="Times New Roman" w:eastAsia="Times New Roman" w:hAnsi="Times New Roman"/>
          <w:sz w:val="17"/>
          <w:szCs w:val="17"/>
          <w:b w:val="1"/>
          <w:bCs w:val="1"/>
          <w:u w:val="single" w:color="auto"/>
          <w:color w:val="auto"/>
        </w:rPr>
        <w:t>Conduct of Meetings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may adopt by resolution such rules and regulations for the conduct of the meeting of stockholders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(e) limitations on the time allotted to questions or comments by participants;</w:t>
      </w:r>
    </w:p>
    <w:p>
      <w:pPr>
        <w:spacing w:after="0" w:line="6" w:lineRule="exact"/>
        <w:rPr>
          <w:sz w:val="20"/>
          <w:szCs w:val="20"/>
          <w:color w:val="auto"/>
        </w:rPr>
      </w:pPr>
    </w:p>
    <w:p>
      <w:pPr>
        <w:ind w:firstLine="7"/>
        <w:spacing w:after="0" w:line="249" w:lineRule="auto"/>
        <w:tabs>
          <w:tab w:leader="none" w:pos="22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use of audio/video recording devices and cell phones; and (g)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b w:val="1"/>
          <w:bCs w:val="1"/>
          <w:u w:val="single" w:color="auto"/>
          <w:color w:val="auto"/>
        </w:rPr>
        <w:t>Notice of Stockholder Business; Nominations</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1.12.1 </w:t>
      </w:r>
      <w:r>
        <w:rPr>
          <w:rFonts w:ascii="Times New Roman" w:cs="Times New Roman" w:eastAsia="Times New Roman" w:hAnsi="Times New Roman"/>
          <w:sz w:val="18"/>
          <w:szCs w:val="18"/>
          <w:u w:val="single" w:color="auto"/>
          <w:color w:val="auto"/>
        </w:rPr>
        <w:t>Annual Meeting of Stockholders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444"/>
        <w:spacing w:after="0" w:line="251" w:lineRule="auto"/>
        <w:tabs>
          <w:tab w:leader="none" w:pos="67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Times New Roman" w:cs="Times New Roman" w:eastAsia="Times New Roman" w:hAnsi="Times New Roman"/>
          <w:sz w:val="18"/>
          <w:szCs w:val="18"/>
          <w:b w:val="1"/>
          <w:bCs w:val="1"/>
          <w:i w:val="1"/>
          <w:iCs w:val="1"/>
          <w:color w:val="auto"/>
        </w:rPr>
        <w:t>Record Stockholder</w:t>
      </w:r>
      <w:r>
        <w:rPr>
          <w:rFonts w:ascii="Times New Roman" w:cs="Times New Roman" w:eastAsia="Times New Roman" w:hAnsi="Times New Roman"/>
          <w:sz w:val="18"/>
          <w:szCs w:val="18"/>
          <w:color w:val="auto"/>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at an annual meeting of stockholders, and such stockholder must fully comply with the notice and other procedures set forth in this Section 1.12 to make such nominations or propose business before an annual meeting.</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307" w:name="page308"/>
    <w:bookmarkEnd w:id="307"/>
    <w:p>
      <w:pPr>
        <w:ind w:right="160" w:firstLine="444"/>
        <w:spacing w:after="0" w:line="278" w:lineRule="auto"/>
        <w:tabs>
          <w:tab w:leader="none" w:pos="68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 nominations or other business to be properly brought before an annual meeting by a Record Stockholder pursuant to Section 1.12.1(a) of these Bylaws:</w:t>
      </w:r>
    </w:p>
    <w:p>
      <w:pPr>
        <w:spacing w:after="0" w:line="162" w:lineRule="exact"/>
        <w:rPr>
          <w:rFonts w:ascii="Times New Roman" w:cs="Times New Roman" w:eastAsia="Times New Roman" w:hAnsi="Times New Roman"/>
          <w:sz w:val="18"/>
          <w:szCs w:val="18"/>
          <w:color w:val="auto"/>
        </w:rPr>
      </w:pPr>
    </w:p>
    <w:p>
      <w:pPr>
        <w:ind w:right="40" w:firstLine="990"/>
        <w:spacing w:after="0" w:line="278" w:lineRule="auto"/>
        <w:tabs>
          <w:tab w:leader="none" w:pos="1195"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62" w:lineRule="exact"/>
        <w:rPr>
          <w:rFonts w:ascii="Times New Roman" w:cs="Times New Roman" w:eastAsia="Times New Roman" w:hAnsi="Times New Roman"/>
          <w:sz w:val="18"/>
          <w:szCs w:val="18"/>
          <w:color w:val="auto"/>
        </w:rPr>
      </w:pPr>
    </w:p>
    <w:p>
      <w:pPr>
        <w:ind w:left="1260" w:hanging="270"/>
        <w:spacing w:after="0"/>
        <w:tabs>
          <w:tab w:leader="none" w:pos="1260"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business (other than the nomination of persons for election to the Board) must otherwise be a proper matter for stockholder</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action;</w:t>
      </w:r>
    </w:p>
    <w:p>
      <w:pPr>
        <w:spacing w:after="0" w:line="202" w:lineRule="exact"/>
        <w:rPr>
          <w:rFonts w:ascii="Times New Roman" w:cs="Times New Roman" w:eastAsia="Times New Roman" w:hAnsi="Times New Roman"/>
          <w:sz w:val="17"/>
          <w:szCs w:val="17"/>
          <w:color w:val="auto"/>
        </w:rPr>
      </w:pPr>
    </w:p>
    <w:p>
      <w:pPr>
        <w:ind w:firstLine="990"/>
        <w:spacing w:after="0" w:line="254" w:lineRule="auto"/>
        <w:tabs>
          <w:tab w:leader="none" w:pos="129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83" w:lineRule="exact"/>
        <w:rPr>
          <w:rFonts w:ascii="Times New Roman" w:cs="Times New Roman" w:eastAsia="Times New Roman" w:hAnsi="Times New Roman"/>
          <w:sz w:val="18"/>
          <w:szCs w:val="18"/>
          <w:color w:val="auto"/>
        </w:rPr>
      </w:pPr>
    </w:p>
    <w:p>
      <w:pPr>
        <w:ind w:right="100" w:firstLine="990"/>
        <w:spacing w:after="0" w:line="263" w:lineRule="auto"/>
        <w:tabs>
          <w:tab w:leader="none" w:pos="128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75"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To be timely, a Record Stockholder’s notice must be delivered to the Secretary at the principal executive offices of the Corporation not later than 5:00 p.m. Eastern Time on the seventy-fifth (75th) day nor earlier than 5:00 p.m. Eastern Time on the one hundred and fifth (105th) day prior to the first anniversary of the preceding year’s annual meeting (except in the case of the Corporation’s first annual meeting following its initial public offering, for which such notice shall be timely if delivered in the same time period as if such meeting were a special meeting governed by Section 1.12.3 of these Bylaws);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the event that the date of the annual meeting is more than thirty (30) days before or more than sixty (60) days after such anniversary date, notice by the Record Stockholder to be timely must be so delivered (A) no earlier than 5:00 p.m. Eastern Time on the one hundred and fifth (105th)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89" w:lineRule="exact"/>
        <w:rPr>
          <w:sz w:val="20"/>
          <w:szCs w:val="20"/>
          <w:color w:val="auto"/>
        </w:rPr>
      </w:pPr>
    </w:p>
    <w:p>
      <w:pPr>
        <w:ind w:right="340" w:firstLine="444"/>
        <w:spacing w:after="0" w:line="278" w:lineRule="auto"/>
        <w:tabs>
          <w:tab w:leader="none" w:pos="67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Record Stockholder proposes to nominate for election or reelection as a director, in addition to the matters set forth in paragraph (e) below, such Record Stockholder’s notice shall set forth:</w:t>
      </w:r>
    </w:p>
    <w:p>
      <w:pPr>
        <w:spacing w:after="0" w:line="55" w:lineRule="exact"/>
        <w:rPr>
          <w:rFonts w:ascii="Times New Roman" w:cs="Times New Roman" w:eastAsia="Times New Roman" w:hAnsi="Times New Roman"/>
          <w:sz w:val="18"/>
          <w:szCs w:val="18"/>
          <w:color w:val="auto"/>
        </w:rPr>
      </w:pPr>
    </w:p>
    <w:p>
      <w:pPr>
        <w:ind w:left="1080" w:hanging="217"/>
        <w:spacing w:after="0"/>
        <w:tabs>
          <w:tab w:leader="none" w:pos="108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such person;</w:t>
      </w:r>
    </w:p>
    <w:p>
      <w:pPr>
        <w:spacing w:after="0" w:line="113" w:lineRule="exact"/>
        <w:rPr>
          <w:rFonts w:ascii="Times New Roman" w:cs="Times New Roman" w:eastAsia="Times New Roman" w:hAnsi="Times New Roman"/>
          <w:sz w:val="18"/>
          <w:szCs w:val="18"/>
          <w:color w:val="auto"/>
        </w:rPr>
      </w:pPr>
    </w:p>
    <w:p>
      <w:pPr>
        <w:ind w:left="1120" w:hanging="257"/>
        <w:spacing w:after="0"/>
        <w:tabs>
          <w:tab w:leader="none" w:pos="11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such nominee;</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8" w:right="519" w:bottom="1440" w:gutter="0" w:footer="0" w:header="0"/>
        </w:sectPr>
      </w:pPr>
    </w:p>
    <w:bookmarkStart w:id="308" w:name="page309"/>
    <w:bookmarkEnd w:id="308"/>
    <w:p>
      <w:pPr>
        <w:ind w:left="400" w:right="80" w:firstLine="423"/>
        <w:spacing w:after="0" w:line="278" w:lineRule="auto"/>
        <w:tabs>
          <w:tab w:leader="none" w:pos="113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class, series and number of any shares of stock of the Corporation that are beneficially owned or owned of record by such person or any Associated Person (as defined in Section 1.12.4(c));</w:t>
      </w:r>
    </w:p>
    <w:p>
      <w:pPr>
        <w:spacing w:after="0" w:line="55" w:lineRule="exact"/>
        <w:rPr>
          <w:rFonts w:ascii="Times New Roman" w:cs="Times New Roman" w:eastAsia="Times New Roman" w:hAnsi="Times New Roman"/>
          <w:sz w:val="18"/>
          <w:szCs w:val="18"/>
          <w:color w:val="auto"/>
        </w:rPr>
      </w:pPr>
    </w:p>
    <w:p>
      <w:pPr>
        <w:ind w:left="1120" w:hanging="297"/>
        <w:spacing w:after="0"/>
        <w:tabs>
          <w:tab w:leader="none" w:pos="112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such shares were acquired and the investment intent of such acquisition;</w:t>
      </w:r>
    </w:p>
    <w:p>
      <w:pPr>
        <w:spacing w:after="0" w:line="113" w:lineRule="exact"/>
        <w:rPr>
          <w:rFonts w:ascii="Times New Roman" w:cs="Times New Roman" w:eastAsia="Times New Roman" w:hAnsi="Times New Roman"/>
          <w:sz w:val="18"/>
          <w:szCs w:val="18"/>
          <w:color w:val="auto"/>
        </w:rPr>
      </w:pPr>
    </w:p>
    <w:p>
      <w:pPr>
        <w:ind w:left="400" w:right="140" w:firstLine="423"/>
        <w:spacing w:after="0" w:line="263" w:lineRule="auto"/>
        <w:tabs>
          <w:tab w:leader="none" w:pos="107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68" w:lineRule="exact"/>
        <w:rPr>
          <w:rFonts w:ascii="Times New Roman" w:cs="Times New Roman" w:eastAsia="Times New Roman" w:hAnsi="Times New Roman"/>
          <w:sz w:val="18"/>
          <w:szCs w:val="18"/>
          <w:color w:val="auto"/>
        </w:rPr>
      </w:pPr>
    </w:p>
    <w:p>
      <w:pPr>
        <w:ind w:left="400" w:right="20" w:firstLine="423"/>
        <w:spacing w:after="0" w:line="263" w:lineRule="auto"/>
        <w:tabs>
          <w:tab w:leader="none" w:pos="112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68" w:lineRule="exact"/>
        <w:rPr>
          <w:rFonts w:ascii="Times New Roman" w:cs="Times New Roman" w:eastAsia="Times New Roman" w:hAnsi="Times New Roman"/>
          <w:sz w:val="18"/>
          <w:szCs w:val="18"/>
          <w:color w:val="auto"/>
        </w:rPr>
      </w:pPr>
    </w:p>
    <w:p>
      <w:pPr>
        <w:ind w:left="400" w:right="420" w:firstLine="423"/>
        <w:spacing w:after="0" w:line="278" w:lineRule="auto"/>
        <w:tabs>
          <w:tab w:leader="none" w:pos="117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person meets the independence requirements of the stock exchange upon which the Corporation’s Common Stock is primarily traded;</w:t>
      </w:r>
    </w:p>
    <w:p>
      <w:pPr>
        <w:spacing w:after="0" w:line="55" w:lineRule="exact"/>
        <w:rPr>
          <w:rFonts w:ascii="Times New Roman" w:cs="Times New Roman" w:eastAsia="Times New Roman" w:hAnsi="Times New Roman"/>
          <w:sz w:val="18"/>
          <w:szCs w:val="18"/>
          <w:color w:val="auto"/>
        </w:rPr>
      </w:pPr>
    </w:p>
    <w:p>
      <w:pPr>
        <w:ind w:left="400" w:right="20" w:firstLine="423"/>
        <w:spacing w:after="0" w:line="254" w:lineRule="auto"/>
        <w:tabs>
          <w:tab w:leader="none" w:pos="122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76" w:lineRule="exact"/>
        <w:rPr>
          <w:rFonts w:ascii="Times New Roman" w:cs="Times New Roman" w:eastAsia="Times New Roman" w:hAnsi="Times New Roman"/>
          <w:sz w:val="18"/>
          <w:szCs w:val="18"/>
          <w:color w:val="auto"/>
        </w:rPr>
      </w:pPr>
    </w:p>
    <w:p>
      <w:pPr>
        <w:ind w:left="1120" w:hanging="297"/>
        <w:spacing w:after="0"/>
        <w:tabs>
          <w:tab w:leader="none" w:pos="112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and signed questionnaire, representation and agreement required by Section 1.12.2 of these Bylaws.</w:t>
      </w:r>
    </w:p>
    <w:p>
      <w:pPr>
        <w:spacing w:after="0" w:line="220" w:lineRule="exact"/>
        <w:rPr>
          <w:rFonts w:ascii="Times New Roman" w:cs="Times New Roman" w:eastAsia="Times New Roman" w:hAnsi="Times New Roman"/>
          <w:sz w:val="18"/>
          <w:szCs w:val="18"/>
          <w:color w:val="auto"/>
        </w:rPr>
      </w:pPr>
    </w:p>
    <w:p>
      <w:pPr>
        <w:ind w:left="-40" w:right="280" w:firstLine="444"/>
        <w:spacing w:after="0" w:line="278" w:lineRule="auto"/>
        <w:tabs>
          <w:tab w:leader="none" w:pos="64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55" w:lineRule="exact"/>
        <w:rPr>
          <w:rFonts w:ascii="Times New Roman" w:cs="Times New Roman" w:eastAsia="Times New Roman" w:hAnsi="Times New Roman"/>
          <w:sz w:val="18"/>
          <w:szCs w:val="18"/>
          <w:color w:val="auto"/>
        </w:rPr>
      </w:pPr>
    </w:p>
    <w:p>
      <w:pPr>
        <w:ind w:left="400" w:right="60" w:firstLine="423"/>
        <w:spacing w:after="0" w:line="258" w:lineRule="auto"/>
        <w:tabs>
          <w:tab w:leader="none" w:pos="103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72" w:lineRule="exact"/>
        <w:rPr>
          <w:rFonts w:ascii="Times New Roman" w:cs="Times New Roman" w:eastAsia="Times New Roman" w:hAnsi="Times New Roman"/>
          <w:sz w:val="18"/>
          <w:szCs w:val="18"/>
          <w:color w:val="auto"/>
        </w:rPr>
      </w:pPr>
    </w:p>
    <w:p>
      <w:pPr>
        <w:ind w:left="400" w:firstLine="423"/>
        <w:spacing w:after="0" w:line="263" w:lineRule="auto"/>
        <w:tabs>
          <w:tab w:leader="none" w:pos="108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520" w:top="268" w:right="519" w:bottom="1440" w:gutter="0" w:footer="0" w:header="0"/>
        </w:sectPr>
      </w:pPr>
    </w:p>
    <w:bookmarkStart w:id="309" w:name="page310"/>
    <w:bookmarkEnd w:id="309"/>
    <w:p>
      <w:pPr>
        <w:ind w:left="240" w:hanging="236"/>
        <w:spacing w:after="0"/>
        <w:tabs>
          <w:tab w:leader="none" w:pos="2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As to each Proposing Person giving the notice, such Record Stockholder’s notice shall set forth:</w:t>
      </w:r>
    </w:p>
    <w:p>
      <w:pPr>
        <w:spacing w:after="0" w:line="113" w:lineRule="exact"/>
        <w:rPr>
          <w:rFonts w:ascii="Times New Roman" w:cs="Times New Roman" w:eastAsia="Times New Roman" w:hAnsi="Times New Roman"/>
          <w:sz w:val="18"/>
          <w:szCs w:val="18"/>
          <w:color w:val="auto"/>
        </w:rPr>
      </w:pPr>
    </w:p>
    <w:p>
      <w:pPr>
        <w:ind w:right="880" w:firstLine="423"/>
        <w:spacing w:after="0" w:line="278" w:lineRule="auto"/>
        <w:tabs>
          <w:tab w:leader="none" w:pos="63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name and address of such Proposing Person, including, if applicable, their name and address as they appear on the Corporation’s stock ledger, if different;</w:t>
      </w:r>
    </w:p>
    <w:p>
      <w:pPr>
        <w:spacing w:after="0" w:line="55" w:lineRule="exact"/>
        <w:rPr>
          <w:rFonts w:ascii="Times New Roman" w:cs="Times New Roman" w:eastAsia="Times New Roman" w:hAnsi="Times New Roman"/>
          <w:sz w:val="18"/>
          <w:szCs w:val="18"/>
          <w:color w:val="auto"/>
        </w:rPr>
      </w:pPr>
    </w:p>
    <w:p>
      <w:pPr>
        <w:jc w:val="both"/>
        <w:ind w:right="80" w:firstLine="423"/>
        <w:spacing w:after="0" w:line="263" w:lineRule="auto"/>
        <w:tabs>
          <w:tab w:leader="none" w:pos="68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68" w:lineRule="exact"/>
        <w:rPr>
          <w:rFonts w:ascii="Times New Roman" w:cs="Times New Roman" w:eastAsia="Times New Roman" w:hAnsi="Times New Roman"/>
          <w:sz w:val="18"/>
          <w:szCs w:val="18"/>
          <w:color w:val="auto"/>
        </w:rPr>
      </w:pPr>
    </w:p>
    <w:p>
      <w:pPr>
        <w:ind w:firstLine="423"/>
        <w:spacing w:after="0" w:line="250" w:lineRule="auto"/>
        <w:tabs>
          <w:tab w:leader="none" w:pos="73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Times New Roman" w:cs="Times New Roman" w:eastAsia="Times New Roman" w:hAnsi="Times New Roman"/>
          <w:sz w:val="18"/>
          <w:szCs w:val="18"/>
          <w:b w:val="1"/>
          <w:bCs w:val="1"/>
          <w:i w:val="1"/>
          <w:iCs w:val="1"/>
          <w:color w:val="auto"/>
        </w:rPr>
        <w:t>Derivative Instrument</w:t>
      </w:r>
      <w:r>
        <w:rPr>
          <w:rFonts w:ascii="Times New Roman" w:cs="Times New Roman" w:eastAsia="Times New Roman" w:hAnsi="Times New Roman"/>
          <w:sz w:val="18"/>
          <w:szCs w:val="18"/>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Times New Roman" w:cs="Times New Roman" w:eastAsia="Times New Roman" w:hAnsi="Times New Roman"/>
          <w:sz w:val="18"/>
          <w:szCs w:val="18"/>
          <w:b w:val="1"/>
          <w:bCs w:val="1"/>
          <w:i w:val="1"/>
          <w:iCs w:val="1"/>
          <w:color w:val="auto"/>
        </w:rPr>
        <w:t>Short Interest</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right="400" w:firstLine="423"/>
        <w:spacing w:after="0" w:line="263" w:lineRule="auto"/>
        <w:tabs>
          <w:tab w:leader="none" w:pos="72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68" w:lineRule="exact"/>
        <w:rPr>
          <w:rFonts w:ascii="Times New Roman" w:cs="Times New Roman" w:eastAsia="Times New Roman" w:hAnsi="Times New Roman"/>
          <w:sz w:val="18"/>
          <w:szCs w:val="18"/>
          <w:color w:val="auto"/>
        </w:rPr>
      </w:pPr>
    </w:p>
    <w:p>
      <w:pPr>
        <w:ind w:right="60" w:firstLine="423"/>
        <w:spacing w:after="0" w:line="263" w:lineRule="auto"/>
        <w:tabs>
          <w:tab w:leader="none" w:pos="67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68" w:lineRule="exact"/>
        <w:rPr>
          <w:rFonts w:ascii="Times New Roman" w:cs="Times New Roman" w:eastAsia="Times New Roman" w:hAnsi="Times New Roman"/>
          <w:sz w:val="18"/>
          <w:szCs w:val="18"/>
          <w:color w:val="auto"/>
        </w:rPr>
      </w:pPr>
    </w:p>
    <w:p>
      <w:pPr>
        <w:ind w:right="20" w:firstLine="423"/>
        <w:spacing w:after="0" w:line="278" w:lineRule="auto"/>
        <w:tabs>
          <w:tab w:leader="none" w:pos="72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equity interests or any Derivative Instruments or Short Interests in any Competitor held by such Proposing Person and/or any of its respective affiliates or associates;</w:t>
      </w:r>
    </w:p>
    <w:p>
      <w:pPr>
        <w:spacing w:after="0" w:line="9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60"/>
          </w:cols>
          <w:pgMar w:left="920" w:top="268" w:right="519" w:bottom="1440" w:gutter="0" w:footer="0" w:header="0"/>
        </w:sectPr>
      </w:pPr>
    </w:p>
    <w:bookmarkStart w:id="310" w:name="page311"/>
    <w:bookmarkEnd w:id="310"/>
    <w:p>
      <w:pPr>
        <w:ind w:left="440" w:right="120" w:firstLine="423"/>
        <w:spacing w:after="0" w:line="278" w:lineRule="auto"/>
        <w:tabs>
          <w:tab w:leader="none" w:pos="121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other material relationship between such Proposing Person, on the one hand, and the Corporation, any affiliate of the Corporation or any Competitor, on the other hand;</w:t>
      </w:r>
    </w:p>
    <w:p>
      <w:pPr>
        <w:spacing w:after="0" w:line="55" w:lineRule="exact"/>
        <w:rPr>
          <w:rFonts w:ascii="Times New Roman" w:cs="Times New Roman" w:eastAsia="Times New Roman" w:hAnsi="Times New Roman"/>
          <w:sz w:val="18"/>
          <w:szCs w:val="18"/>
          <w:color w:val="auto"/>
        </w:rPr>
      </w:pPr>
    </w:p>
    <w:p>
      <w:pPr>
        <w:ind w:left="440" w:right="40" w:firstLine="423"/>
        <w:spacing w:after="0" w:line="263" w:lineRule="auto"/>
        <w:tabs>
          <w:tab w:leader="none" w:pos="12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68" w:lineRule="exact"/>
        <w:rPr>
          <w:rFonts w:ascii="Times New Roman" w:cs="Times New Roman" w:eastAsia="Times New Roman" w:hAnsi="Times New Roman"/>
          <w:sz w:val="18"/>
          <w:szCs w:val="18"/>
          <w:color w:val="auto"/>
        </w:rPr>
      </w:pPr>
    </w:p>
    <w:p>
      <w:pPr>
        <w:ind w:left="440" w:right="260" w:firstLine="423"/>
        <w:spacing w:after="0" w:line="258" w:lineRule="auto"/>
        <w:tabs>
          <w:tab w:leader="none" w:pos="116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72" w:lineRule="exact"/>
        <w:rPr>
          <w:rFonts w:ascii="Times New Roman" w:cs="Times New Roman" w:eastAsia="Times New Roman" w:hAnsi="Times New Roman"/>
          <w:sz w:val="18"/>
          <w:szCs w:val="18"/>
          <w:color w:val="auto"/>
        </w:rPr>
      </w:pPr>
    </w:p>
    <w:p>
      <w:pPr>
        <w:ind w:left="1120" w:hanging="257"/>
        <w:spacing w:after="0"/>
        <w:tabs>
          <w:tab w:leader="none" w:pos="11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Proposing Person’s written consent to the public disclosure of information provided to the Corporation pursuant to this</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1.12;</w:t>
      </w:r>
    </w:p>
    <w:p>
      <w:pPr>
        <w:spacing w:after="0" w:line="95" w:lineRule="exact"/>
        <w:rPr>
          <w:sz w:val="20"/>
          <w:szCs w:val="20"/>
          <w:color w:val="auto"/>
        </w:rPr>
      </w:pPr>
    </w:p>
    <w:p>
      <w:pPr>
        <w:ind w:left="440" w:firstLine="423"/>
        <w:spacing w:after="0" w:line="263" w:lineRule="auto"/>
        <w:tabs>
          <w:tab w:leader="none" w:pos="116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68" w:lineRule="exact"/>
        <w:rPr>
          <w:rFonts w:ascii="Times New Roman" w:cs="Times New Roman" w:eastAsia="Times New Roman" w:hAnsi="Times New Roman"/>
          <w:sz w:val="18"/>
          <w:szCs w:val="18"/>
          <w:color w:val="auto"/>
        </w:rPr>
      </w:pPr>
    </w:p>
    <w:p>
      <w:pPr>
        <w:ind w:left="440" w:right="440" w:firstLine="423"/>
        <w:spacing w:after="0" w:line="278" w:lineRule="auto"/>
        <w:tabs>
          <w:tab w:leader="none" w:pos="121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55" w:lineRule="exact"/>
        <w:rPr>
          <w:rFonts w:ascii="Times New Roman" w:cs="Times New Roman" w:eastAsia="Times New Roman" w:hAnsi="Times New Roman"/>
          <w:sz w:val="18"/>
          <w:szCs w:val="18"/>
          <w:color w:val="auto"/>
        </w:rPr>
      </w:pPr>
    </w:p>
    <w:p>
      <w:pPr>
        <w:ind w:left="440" w:firstLine="423"/>
        <w:spacing w:after="0" w:line="258" w:lineRule="auto"/>
        <w:tabs>
          <w:tab w:leader="none" w:pos="12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Times New Roman" w:cs="Times New Roman" w:eastAsia="Times New Roman" w:hAnsi="Times New Roman"/>
          <w:sz w:val="18"/>
          <w:szCs w:val="18"/>
          <w:b w:val="1"/>
          <w:bCs w:val="1"/>
          <w:i w:val="1"/>
          <w:iCs w:val="1"/>
          <w:color w:val="auto"/>
        </w:rPr>
        <w:t>Solicitation Notice</w:t>
      </w:r>
      <w:r>
        <w:rPr>
          <w:rFonts w:ascii="Times New Roman" w:cs="Times New Roman" w:eastAsia="Times New Roman" w:hAnsi="Times New Roman"/>
          <w:sz w:val="18"/>
          <w:szCs w:val="18"/>
          <w:color w:val="auto"/>
        </w:rPr>
        <w:t>”); and</w:t>
      </w:r>
    </w:p>
    <w:p>
      <w:pPr>
        <w:spacing w:after="0" w:line="72" w:lineRule="exact"/>
        <w:rPr>
          <w:rFonts w:ascii="Times New Roman" w:cs="Times New Roman" w:eastAsia="Times New Roman" w:hAnsi="Times New Roman"/>
          <w:sz w:val="18"/>
          <w:szCs w:val="18"/>
          <w:color w:val="auto"/>
        </w:rPr>
      </w:pPr>
    </w:p>
    <w:p>
      <w:pPr>
        <w:ind w:left="440" w:right="40" w:firstLine="423"/>
        <w:spacing w:after="0" w:line="278" w:lineRule="auto"/>
        <w:tabs>
          <w:tab w:leader="none" w:pos="125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contract, arrangement, or relationship pursuant to which the Proposing Person has a right to vote, directly or indirectly, any shares of any security of the Corporation.</w:t>
      </w:r>
    </w:p>
    <w:p>
      <w:pPr>
        <w:spacing w:after="0" w:line="162" w:lineRule="exact"/>
        <w:rPr>
          <w:sz w:val="20"/>
          <w:szCs w:val="20"/>
          <w:color w:val="auto"/>
        </w:rPr>
      </w:pPr>
    </w:p>
    <w:p>
      <w:pPr>
        <w:jc w:val="both"/>
        <w:ind w:right="60" w:firstLine="436"/>
        <w:spacing w:after="0" w:line="263" w:lineRule="auto"/>
        <w:rPr>
          <w:sz w:val="20"/>
          <w:szCs w:val="20"/>
          <w:color w:val="auto"/>
        </w:rPr>
      </w:pPr>
      <w:r>
        <w:rPr>
          <w:rFonts w:ascii="Times New Roman" w:cs="Times New Roman" w:eastAsia="Times New Roman" w:hAnsi="Times New Roman"/>
          <w:sz w:val="18"/>
          <w:szCs w:val="18"/>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75" w:lineRule="exact"/>
        <w:rPr>
          <w:sz w:val="20"/>
          <w:szCs w:val="20"/>
          <w:color w:val="auto"/>
        </w:rPr>
      </w:pPr>
    </w:p>
    <w:p>
      <w:pPr>
        <w:jc w:val="both"/>
        <w:ind w:right="200" w:firstLine="444"/>
        <w:spacing w:after="0" w:line="258" w:lineRule="auto"/>
        <w:tabs>
          <w:tab w:leader="none" w:pos="65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or postponement thereof. In the case of an update pursuant to clause (i) of the foregoing sentence, such update shall be received by the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480" w:top="268" w:right="559" w:bottom="1440" w:gutter="0" w:footer="0" w:header="0"/>
        </w:sectPr>
      </w:pPr>
    </w:p>
    <w:bookmarkStart w:id="311" w:name="page312"/>
    <w:bookmarkEnd w:id="311"/>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w:t>
      </w:r>
    </w:p>
    <w:p>
      <w:pPr>
        <w:spacing w:after="0" w:line="1" w:lineRule="exact"/>
        <w:rPr>
          <w:sz w:val="20"/>
          <w:szCs w:val="20"/>
          <w:color w:val="auto"/>
        </w:rPr>
      </w:pPr>
    </w:p>
    <w:p>
      <w:pPr>
        <w:ind w:firstLine="7"/>
        <w:spacing w:after="0" w:line="249" w:lineRule="auto"/>
        <w:tabs>
          <w:tab w:leader="none" w:pos="25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90" w:lineRule="exact"/>
        <w:rPr>
          <w:rFonts w:ascii="Times New Roman" w:cs="Times New Roman" w:eastAsia="Times New Roman" w:hAnsi="Times New Roman"/>
          <w:sz w:val="18"/>
          <w:szCs w:val="18"/>
          <w:color w:val="auto"/>
        </w:rPr>
      </w:pPr>
    </w:p>
    <w:p>
      <w:pPr>
        <w:jc w:val="both"/>
        <w:ind w:right="60" w:firstLine="444"/>
        <w:spacing w:after="0" w:line="258" w:lineRule="auto"/>
        <w:tabs>
          <w:tab w:leader="none" w:pos="689"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1.12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80"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7"/>
          <w:szCs w:val="17"/>
          <w:color w:val="auto"/>
        </w:rPr>
        <w:t xml:space="preserve">1.12.2 </w:t>
      </w:r>
      <w:r>
        <w:rPr>
          <w:rFonts w:ascii="Times New Roman" w:cs="Times New Roman" w:eastAsia="Times New Roman" w:hAnsi="Times New Roman"/>
          <w:sz w:val="17"/>
          <w:szCs w:val="17"/>
          <w:u w:val="single" w:color="auto"/>
          <w:color w:val="auto"/>
        </w:rPr>
        <w:t>Submission of Questionnaire, Representation and Agreement</w:t>
      </w:r>
      <w:r>
        <w:rPr>
          <w:rFonts w:ascii="Times New Roman" w:cs="Times New Roman" w:eastAsia="Times New Roman" w:hAnsi="Times New Roman"/>
          <w:sz w:val="17"/>
          <w:szCs w:val="17"/>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7"/>
          <w:szCs w:val="17"/>
          <w:b w:val="1"/>
          <w:bCs w:val="1"/>
          <w:i w:val="1"/>
          <w:iCs w:val="1"/>
          <w:u w:val="single" w:color="auto"/>
          <w:color w:val="auto"/>
        </w:rPr>
        <w:t>Voting Commitment</w:t>
      </w:r>
      <w:r>
        <w:rPr>
          <w:rFonts w:ascii="Times New Roman" w:cs="Times New Roman" w:eastAsia="Times New Roman" w:hAnsi="Times New Roman"/>
          <w:sz w:val="17"/>
          <w:szCs w:val="17"/>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8" w:right="499" w:bottom="1440" w:gutter="0" w:footer="0" w:header="0"/>
        </w:sectPr>
      </w:pPr>
    </w:p>
    <w:bookmarkStart w:id="312" w:name="page313"/>
    <w:bookmarkEnd w:id="312"/>
    <w:p>
      <w:pPr>
        <w:ind w:firstLine="436"/>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1.12.3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fifth (105th) day prior to such special meeting and (ii) no later than 5:00 p.m. Eastern Time on the later of the seventy-fifth (75th)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1.12.4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444"/>
        <w:spacing w:after="0" w:line="251" w:lineRule="auto"/>
        <w:tabs>
          <w:tab w:leader="none" w:pos="679"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89" w:lineRule="exact"/>
        <w:rPr>
          <w:rFonts w:ascii="Times New Roman" w:cs="Times New Roman" w:eastAsia="Times New Roman" w:hAnsi="Times New Roman"/>
          <w:sz w:val="18"/>
          <w:szCs w:val="18"/>
          <w:color w:val="auto"/>
        </w:rPr>
      </w:pPr>
    </w:p>
    <w:p>
      <w:pPr>
        <w:ind w:right="20" w:firstLine="444"/>
        <w:spacing w:after="0" w:line="270" w:lineRule="auto"/>
        <w:tabs>
          <w:tab w:leader="none" w:pos="689"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w:t>
      </w:r>
    </w:p>
    <w:p>
      <w:pPr>
        <w:spacing w:after="0" w:line="1"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any series of Preferred Stock to elect directors pursuant to any applicable provisions of the Certificate of Incorporation.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8" w:right="519" w:bottom="1440" w:gutter="0" w:footer="0" w:header="0"/>
        </w:sectPr>
      </w:pPr>
    </w:p>
    <w:bookmarkStart w:id="313" w:name="page314"/>
    <w:bookmarkEnd w:id="313"/>
    <w:p>
      <w:pPr>
        <w:ind w:left="240" w:hanging="236"/>
        <w:spacing w:after="0"/>
        <w:tabs>
          <w:tab w:leader="none" w:pos="2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 purposes of these Bylaws the following definitions shall apply:</w:t>
      </w:r>
    </w:p>
    <w:p>
      <w:pPr>
        <w:spacing w:after="0" w:line="109" w:lineRule="exact"/>
        <w:rPr>
          <w:rFonts w:ascii="Times New Roman" w:cs="Times New Roman" w:eastAsia="Times New Roman" w:hAnsi="Times New Roman"/>
          <w:sz w:val="18"/>
          <w:szCs w:val="18"/>
          <w:color w:val="auto"/>
        </w:rPr>
      </w:pPr>
    </w:p>
    <w:p>
      <w:pPr>
        <w:ind w:left="540" w:right="20" w:firstLine="407"/>
        <w:spacing w:after="0" w:line="251" w:lineRule="auto"/>
        <w:tabs>
          <w:tab w:leader="none" w:pos="122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to be “</w:t>
      </w:r>
      <w:r>
        <w:rPr>
          <w:rFonts w:ascii="Times New Roman" w:cs="Times New Roman" w:eastAsia="Times New Roman" w:hAnsi="Times New Roman"/>
          <w:sz w:val="18"/>
          <w:szCs w:val="18"/>
          <w:b w:val="1"/>
          <w:bCs w:val="1"/>
          <w:i w:val="1"/>
          <w:iCs w:val="1"/>
          <w:color w:val="auto"/>
        </w:rPr>
        <w:t>Acting in Concert</w:t>
      </w:r>
      <w:r>
        <w:rPr>
          <w:rFonts w:ascii="Times New Roman" w:cs="Times New Roman" w:eastAsia="Times New Roman" w:hAnsi="Times New Roman"/>
          <w:sz w:val="18"/>
          <w:szCs w:val="18"/>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79" w:lineRule="exact"/>
        <w:rPr>
          <w:rFonts w:ascii="Times New Roman" w:cs="Times New Roman" w:eastAsia="Times New Roman" w:hAnsi="Times New Roman"/>
          <w:sz w:val="18"/>
          <w:szCs w:val="18"/>
          <w:color w:val="auto"/>
        </w:rPr>
      </w:pPr>
    </w:p>
    <w:p>
      <w:pPr>
        <w:ind w:left="540" w:firstLine="407"/>
        <w:spacing w:after="0" w:line="265" w:lineRule="auto"/>
        <w:tabs>
          <w:tab w:leader="none" w:pos="121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shall have the meanings ascribed thereto in Rule 405 under the Securities Act of 1933, as amended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provided, however, that the term “partner” as used in the definition of “associate” shall not include any limited partner that is not involved in the management of the relevant partnership;</w:t>
      </w:r>
    </w:p>
    <w:p>
      <w:pPr>
        <w:spacing w:after="0" w:line="63" w:lineRule="exact"/>
        <w:rPr>
          <w:rFonts w:ascii="Times New Roman" w:cs="Times New Roman" w:eastAsia="Times New Roman" w:hAnsi="Times New Roman"/>
          <w:sz w:val="18"/>
          <w:szCs w:val="18"/>
          <w:color w:val="auto"/>
        </w:rPr>
      </w:pPr>
    </w:p>
    <w:p>
      <w:pPr>
        <w:ind w:left="540" w:right="40" w:firstLine="407"/>
        <w:spacing w:after="0" w:line="256" w:lineRule="auto"/>
        <w:tabs>
          <w:tab w:leader="none" w:pos="121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Associated Person</w:t>
      </w:r>
      <w:r>
        <w:rPr>
          <w:rFonts w:ascii="Times New Roman" w:cs="Times New Roman" w:eastAsia="Times New Roman" w:hAnsi="Times New Roman"/>
          <w:sz w:val="18"/>
          <w:szCs w:val="18"/>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72" w:lineRule="exact"/>
        <w:rPr>
          <w:rFonts w:ascii="Times New Roman" w:cs="Times New Roman" w:eastAsia="Times New Roman" w:hAnsi="Times New Roman"/>
          <w:sz w:val="18"/>
          <w:szCs w:val="18"/>
          <w:color w:val="auto"/>
        </w:rPr>
      </w:pPr>
    </w:p>
    <w:p>
      <w:pPr>
        <w:ind w:left="540" w:right="540" w:firstLine="407"/>
        <w:spacing w:after="0" w:line="259" w:lineRule="auto"/>
        <w:tabs>
          <w:tab w:leader="none" w:pos="122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Arrangement</w:t>
      </w:r>
      <w:r>
        <w:rPr>
          <w:rFonts w:ascii="Times New Roman" w:cs="Times New Roman" w:eastAsia="Times New Roman" w:hAnsi="Times New Roman"/>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69" w:lineRule="exact"/>
        <w:rPr>
          <w:rFonts w:ascii="Times New Roman" w:cs="Times New Roman" w:eastAsia="Times New Roman" w:hAnsi="Times New Roman"/>
          <w:sz w:val="18"/>
          <w:szCs w:val="18"/>
          <w:color w:val="auto"/>
        </w:rPr>
      </w:pPr>
    </w:p>
    <w:p>
      <w:pPr>
        <w:ind w:left="540" w:right="480" w:firstLine="407"/>
        <w:spacing w:after="0" w:line="282" w:lineRule="auto"/>
        <w:tabs>
          <w:tab w:leader="none" w:pos="120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Competitor</w:t>
      </w:r>
      <w:r>
        <w:rPr>
          <w:rFonts w:ascii="Times New Roman" w:cs="Times New Roman" w:eastAsia="Times New Roman" w:hAnsi="Times New Roman"/>
          <w:sz w:val="18"/>
          <w:szCs w:val="18"/>
          <w:color w:val="auto"/>
        </w:rPr>
        <w:t>” shall mean any entity that provides products or services that compete with or are alternatives to the principal products produced or services provided by the Corporation or its affiliates;</w:t>
      </w:r>
    </w:p>
    <w:p>
      <w:pPr>
        <w:spacing w:after="0" w:line="48" w:lineRule="exact"/>
        <w:rPr>
          <w:rFonts w:ascii="Times New Roman" w:cs="Times New Roman" w:eastAsia="Times New Roman" w:hAnsi="Times New Roman"/>
          <w:sz w:val="18"/>
          <w:szCs w:val="18"/>
          <w:color w:val="auto"/>
        </w:rPr>
      </w:pPr>
    </w:p>
    <w:p>
      <w:pPr>
        <w:ind w:left="540" w:right="260" w:firstLine="407"/>
        <w:spacing w:after="0" w:line="282" w:lineRule="auto"/>
        <w:tabs>
          <w:tab w:leader="none" w:pos="119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Proposing Person</w:t>
      </w:r>
      <w:r>
        <w:rPr>
          <w:rFonts w:ascii="Times New Roman" w:cs="Times New Roman" w:eastAsia="Times New Roman" w:hAnsi="Times New Roman"/>
          <w:sz w:val="18"/>
          <w:szCs w:val="18"/>
          <w:color w:val="auto"/>
        </w:rPr>
        <w:t>” shall mean (1) the Record Stockholder providing the notice of business proposed to be brought before an annual meeting or nomination of persons for election to the Board at a stockholder meeting, (2) the</w:t>
      </w:r>
    </w:p>
    <w:p>
      <w:pPr>
        <w:spacing w:after="0" w:line="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60"/>
          </w:cols>
          <w:pgMar w:left="920" w:top="268" w:right="519" w:bottom="1440" w:gutter="0" w:footer="0" w:header="0"/>
        </w:sectPr>
      </w:pPr>
    </w:p>
    <w:bookmarkStart w:id="314" w:name="page315"/>
    <w:bookmarkEnd w:id="314"/>
    <w:p>
      <w:pPr>
        <w:ind w:left="980" w:right="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69" w:lineRule="exact"/>
        <w:rPr>
          <w:sz w:val="20"/>
          <w:szCs w:val="20"/>
          <w:color w:val="auto"/>
        </w:rPr>
      </w:pPr>
    </w:p>
    <w:p>
      <w:pPr>
        <w:ind w:left="980" w:right="140" w:firstLine="407"/>
        <w:spacing w:after="0" w:line="313" w:lineRule="auto"/>
        <w:tabs>
          <w:tab w:leader="none" w:pos="1669"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Public Announcement</w:t>
      </w:r>
      <w:r>
        <w:rPr>
          <w:rFonts w:ascii="Times New Roman" w:cs="Times New Roman" w:eastAsia="Times New Roman" w:hAnsi="Times New Roman"/>
          <w:sz w:val="17"/>
          <w:szCs w:val="17"/>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25" w:lineRule="exact"/>
        <w:rPr>
          <w:rFonts w:ascii="Times New Roman" w:cs="Times New Roman" w:eastAsia="Times New Roman" w:hAnsi="Times New Roman"/>
          <w:sz w:val="17"/>
          <w:szCs w:val="17"/>
          <w:color w:val="auto"/>
        </w:rPr>
      </w:pPr>
    </w:p>
    <w:p>
      <w:pPr>
        <w:ind w:left="980" w:right="80" w:firstLine="407"/>
        <w:spacing w:after="0" w:line="255" w:lineRule="auto"/>
        <w:tabs>
          <w:tab w:leader="none" w:pos="166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considered 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 BOARD OF DIRECTORS</w:t>
      </w:r>
    </w:p>
    <w:p>
      <w:pPr>
        <w:spacing w:after="0" w:line="221"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Number; Qualifications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number of directors constituting the Whole Board shall be fixed from time to time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Certificate of Incorporation and the term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76"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Election; Resignation; Removal; 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need not be by written ballot. Each director shall hold office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80" w:lineRule="exact"/>
        <w:rPr>
          <w:sz w:val="20"/>
          <w:szCs w:val="20"/>
          <w:color w:val="auto"/>
        </w:rPr>
      </w:pPr>
    </w:p>
    <w:p>
      <w:pPr>
        <w:ind w:right="1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meetings of the Board may be held at such places, within or without the State of Delaware, and 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as the Board may from time to time determine. Notice of regular meetings need not be given if the date, times and places thereof are fixed by resolution of the Board.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8" w:right="519" w:bottom="1440" w:gutter="0" w:footer="0" w:header="0"/>
        </w:sectPr>
      </w:pPr>
    </w:p>
    <w:bookmarkStart w:id="315" w:name="page316"/>
    <w:bookmarkEnd w:id="315"/>
    <w:p>
      <w:pPr>
        <w:ind w:firstLine="436"/>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2.4: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Board may be called by the Chairperson of the Board, the Chief Executive Officer,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84" w:lineRule="exact"/>
        <w:rPr>
          <w:sz w:val="20"/>
          <w:szCs w:val="20"/>
          <w:color w:val="auto"/>
        </w:rPr>
      </w:pPr>
    </w:p>
    <w:p>
      <w:pPr>
        <w:jc w:val="both"/>
        <w:ind w:right="8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Remote Meetings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or any committee of the Board, may participate in a meeting of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76" w:lineRule="exact"/>
        <w:rPr>
          <w:sz w:val="20"/>
          <w:szCs w:val="20"/>
          <w:color w:val="auto"/>
        </w:rPr>
      </w:pPr>
    </w:p>
    <w:p>
      <w:pPr>
        <w:jc w:val="both"/>
        <w:ind w:right="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Quorum; Vote Required for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meetings of the Board, a majority of the Whole Board shall constitute a quorum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76"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Board shall be presided over by (a) the Chairperson of the Board, or (b) in the absence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the Lead Independent Director, or (c) in such person’s absence, by the Chief Executive Officer, or (d) in such person’s absence, by a chairperson chosen by the Board at the meeting. The Secretary shall act as secretary of the meeting, but in such person’s absence the chairperson of the meeting may appoint any person to act as secretary of the meeting.</w:t>
      </w:r>
    </w:p>
    <w:p>
      <w:pPr>
        <w:spacing w:after="0" w:line="176" w:lineRule="exact"/>
        <w:rPr>
          <w:sz w:val="20"/>
          <w:szCs w:val="20"/>
          <w:color w:val="auto"/>
        </w:rPr>
      </w:pPr>
    </w:p>
    <w:p>
      <w:pPr>
        <w:ind w:right="2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Unanimous Action by Directors in Lieu of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required or permitted to be taken at any meeting of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80" w:lineRule="exact"/>
        <w:rPr>
          <w:sz w:val="20"/>
          <w:szCs w:val="20"/>
          <w:color w:val="auto"/>
        </w:rPr>
      </w:pPr>
    </w:p>
    <w:p>
      <w:pPr>
        <w:ind w:right="20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by the Certificate of Incorporation or the DGCL, the business and affairs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managed by or under the direction of the Board.</w:t>
      </w:r>
    </w:p>
    <w:p>
      <w:pPr>
        <w:spacing w:after="0" w:line="156" w:lineRule="exact"/>
        <w:rPr>
          <w:sz w:val="20"/>
          <w:szCs w:val="20"/>
          <w:color w:val="auto"/>
        </w:rPr>
      </w:pPr>
    </w:p>
    <w:p>
      <w:pPr>
        <w:ind w:right="3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Compensation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as such, may receive, pursuant to a resolution of the Board, fees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their services as directors, including without limitation their services as members of committees of the Board.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4" w:right="519" w:bottom="1440" w:gutter="0" w:footer="0" w:header="0"/>
        </w:sectPr>
      </w:pPr>
    </w:p>
    <w:bookmarkStart w:id="316" w:name="page317"/>
    <w:bookmarkEnd w:id="316"/>
    <w:p>
      <w:pPr>
        <w:ind w:right="20" w:firstLine="436"/>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2.11: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director shall maintain the confidentiality of, and shall not share with any third party person or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third parties that originally sponsored, nominated or designated such director (the “</w:t>
      </w:r>
      <w:r>
        <w:rPr>
          <w:rFonts w:ascii="Times New Roman" w:cs="Times New Roman" w:eastAsia="Times New Roman" w:hAnsi="Times New Roman"/>
          <w:sz w:val="18"/>
          <w:szCs w:val="18"/>
          <w:b w:val="1"/>
          <w:bCs w:val="1"/>
          <w:i w:val="1"/>
          <w:iCs w:val="1"/>
          <w:color w:val="auto"/>
        </w:rPr>
        <w:t>Sponsoring Party</w:t>
      </w:r>
      <w:r>
        <w:rPr>
          <w:rFonts w:ascii="Times New Roman" w:cs="Times New Roman" w:eastAsia="Times New Roman" w:hAnsi="Times New Roman"/>
          <w:sz w:val="18"/>
          <w:szCs w:val="18"/>
          <w:color w:val="auto"/>
        </w:rPr>
        <w:t>”)), any non-public information learned in their capacities as directors, including communications among Board members in their capacities as directors, provided that directors that are originally nominated or designated by a Sponsoring Party may disclose such information to the Sponsoring Party (or the management company of the Sponsoring Party) if the Sponsoring Party (or the management company of the Sponsoring Party) has applicable confidentiality restrictions in place. The Board may adopt a board confidentiality policy further implementing and interpreting this Section 2.11 (a “</w:t>
      </w:r>
      <w:r>
        <w:rPr>
          <w:rFonts w:ascii="Times New Roman" w:cs="Times New Roman" w:eastAsia="Times New Roman" w:hAnsi="Times New Roman"/>
          <w:sz w:val="18"/>
          <w:szCs w:val="18"/>
          <w:b w:val="1"/>
          <w:bCs w:val="1"/>
          <w:i w:val="1"/>
          <w:iCs w:val="1"/>
          <w:color w:val="auto"/>
        </w:rPr>
        <w:t>Board Confidentiality Policy</w:t>
      </w:r>
      <w:r>
        <w:rPr>
          <w:rFonts w:ascii="Times New Roman" w:cs="Times New Roman" w:eastAsia="Times New Roman" w:hAnsi="Times New Roman"/>
          <w:sz w:val="18"/>
          <w:szCs w:val="18"/>
          <w:color w:val="auto"/>
        </w:rPr>
        <w:t>”). Other than as provided in the first sentence of this Section 2.11, all directors are required to comply with this Section 2.11 and 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 COMMITTEES</w:t>
      </w:r>
    </w:p>
    <w:p>
      <w:pPr>
        <w:spacing w:after="0" w:line="221" w:lineRule="exact"/>
        <w:rPr>
          <w:sz w:val="20"/>
          <w:szCs w:val="20"/>
          <w:color w:val="auto"/>
        </w:rPr>
      </w:pPr>
    </w:p>
    <w:p>
      <w:pPr>
        <w:ind w:right="100"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designate one or more committees, each committee to consist of one or more of the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89"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Committee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committee shall keep records of its proceedings and make such reports as the Board may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 OFFICERS; CHAIRPERSON; LEAD INDEPENDENT DIRECTOR</w:t>
      </w:r>
    </w:p>
    <w:p>
      <w:pPr>
        <w:spacing w:after="0" w:line="221"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consist of a Chief Executive Officer (who may be the Chairperson of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may 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80" w:top="264" w:right="499" w:bottom="1440" w:gutter="0" w:footer="0" w:header="0"/>
        </w:sectPr>
      </w:pPr>
    </w:p>
    <w:bookmarkStart w:id="317" w:name="page318"/>
    <w:bookmarkEnd w:id="317"/>
    <w:p>
      <w:pPr>
        <w:ind w:right="2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69"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control of the Board and such supervisory powers, if any, as may be given by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powers and duties of the Chief Executive Officer of the Corporation are:</w:t>
      </w:r>
    </w:p>
    <w:p>
      <w:pPr>
        <w:spacing w:after="0" w:line="53" w:lineRule="exact"/>
        <w:rPr>
          <w:sz w:val="20"/>
          <w:szCs w:val="20"/>
          <w:color w:val="auto"/>
        </w:rPr>
      </w:pPr>
    </w:p>
    <w:p>
      <w:pPr>
        <w:ind w:left="440" w:right="180" w:firstLine="423"/>
        <w:spacing w:after="0" w:line="278" w:lineRule="auto"/>
        <w:tabs>
          <w:tab w:leader="none" w:pos="110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the general manager and, subject to the control of the Board, to have general supervision, direction and control of the business and affairs of the Corporation;</w:t>
      </w:r>
    </w:p>
    <w:p>
      <w:pPr>
        <w:spacing w:after="0" w:line="55" w:lineRule="exact"/>
        <w:rPr>
          <w:rFonts w:ascii="Times New Roman" w:cs="Times New Roman" w:eastAsia="Times New Roman" w:hAnsi="Times New Roman"/>
          <w:sz w:val="18"/>
          <w:szCs w:val="18"/>
          <w:color w:val="auto"/>
        </w:rPr>
      </w:pPr>
    </w:p>
    <w:p>
      <w:pPr>
        <w:ind w:left="1120" w:hanging="257"/>
        <w:spacing w:after="0"/>
        <w:tabs>
          <w:tab w:leader="none" w:pos="11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1.6 of these Bylaws, to preside at all meetings of the stockholders;</w:t>
      </w:r>
    </w:p>
    <w:p>
      <w:pPr>
        <w:spacing w:after="0" w:line="113" w:lineRule="exact"/>
        <w:rPr>
          <w:rFonts w:ascii="Times New Roman" w:cs="Times New Roman" w:eastAsia="Times New Roman" w:hAnsi="Times New Roman"/>
          <w:sz w:val="18"/>
          <w:szCs w:val="18"/>
          <w:color w:val="auto"/>
        </w:rPr>
      </w:pPr>
    </w:p>
    <w:p>
      <w:pPr>
        <w:ind w:left="440" w:right="40" w:firstLine="423"/>
        <w:spacing w:after="0" w:line="278" w:lineRule="auto"/>
        <w:tabs>
          <w:tab w:leader="none" w:pos="110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55" w:lineRule="exact"/>
        <w:rPr>
          <w:rFonts w:ascii="Times New Roman" w:cs="Times New Roman" w:eastAsia="Times New Roman" w:hAnsi="Times New Roman"/>
          <w:sz w:val="18"/>
          <w:szCs w:val="18"/>
          <w:color w:val="auto"/>
        </w:rPr>
      </w:pPr>
    </w:p>
    <w:p>
      <w:pPr>
        <w:ind w:left="440" w:firstLine="423"/>
        <w:spacing w:after="0" w:line="255" w:lineRule="auto"/>
        <w:tabs>
          <w:tab w:leader="none" w:pos="111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8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The person holding the office of President shall be the Chief Executive Officer of the Corporation unless the Board shall designate another officer to be the Chief Executive Officer.</w:t>
      </w:r>
    </w:p>
    <w:p>
      <w:pPr>
        <w:spacing w:after="0" w:line="158" w:lineRule="exact"/>
        <w:rPr>
          <w:sz w:val="20"/>
          <w:szCs w:val="20"/>
          <w:color w:val="auto"/>
        </w:rPr>
      </w:pPr>
    </w:p>
    <w:p>
      <w:pPr>
        <w:ind w:right="1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Chairperson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2.7 of these Bylaws, the Chairperson of the Board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70"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Lead Independent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in its discretion, elect a lead independent director from among its members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Directors (as defined below) (such director, the “</w:t>
      </w:r>
      <w:r>
        <w:rPr>
          <w:rFonts w:ascii="Times New Roman" w:cs="Times New Roman" w:eastAsia="Times New Roman" w:hAnsi="Times New Roman"/>
          <w:sz w:val="18"/>
          <w:szCs w:val="18"/>
          <w:b w:val="1"/>
          <w:bCs w:val="1"/>
          <w:i w:val="1"/>
          <w:iCs w:val="1"/>
          <w:color w:val="auto"/>
        </w:rPr>
        <w:t>Lead Independent Director</w:t>
      </w:r>
      <w:r>
        <w:rPr>
          <w:rFonts w:ascii="Times New Roman" w:cs="Times New Roman" w:eastAsia="Times New Roman" w:hAnsi="Times New Roman"/>
          <w:sz w:val="18"/>
          <w:szCs w:val="18"/>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has the meaning ascribed to such term under the rules of the exchange upon which the Corporation’s Common Stock is primarily traded.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80" w:top="268" w:right="519" w:bottom="1440" w:gutter="0" w:footer="0" w:header="0"/>
        </w:sectPr>
      </w:pPr>
    </w:p>
    <w:bookmarkStart w:id="318" w:name="page319"/>
    <w:bookmarkEnd w:id="318"/>
    <w:p>
      <w:pPr>
        <w:ind w:right="2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4.5: </w:t>
      </w:r>
      <w:r>
        <w:rPr>
          <w:rFonts w:ascii="Times New Roman" w:cs="Times New Roman" w:eastAsia="Times New Roman" w:hAnsi="Times New Roman"/>
          <w:sz w:val="18"/>
          <w:szCs w:val="18"/>
          <w:b w:val="1"/>
          <w:bCs w:val="1"/>
          <w:u w:val="single" w:color="auto"/>
          <w:color w:val="auto"/>
        </w:rPr>
        <w:t>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Chief Executive Officer shall be the President of the Corporation unless the Board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80"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Chief Financial Officer shall be the Treasurer of the Corporation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76"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Treasurer shall be the Chief Financial Officer of the Corporation unless the Board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designated another officer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80" w:lineRule="exact"/>
        <w:rPr>
          <w:sz w:val="20"/>
          <w:szCs w:val="20"/>
          <w:color w:val="auto"/>
        </w:rPr>
      </w:pPr>
    </w:p>
    <w:p>
      <w:pPr>
        <w:jc w:val="both"/>
        <w:ind w:right="160" w:firstLine="436"/>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Section 4.8: </w:t>
      </w:r>
      <w:r>
        <w:rPr>
          <w:rFonts w:ascii="Times New Roman" w:cs="Times New Roman" w:eastAsia="Times New Roman" w:hAnsi="Times New Roman"/>
          <w:sz w:val="17"/>
          <w:szCs w:val="17"/>
          <w:b w:val="1"/>
          <w:bCs w:val="1"/>
          <w:u w:val="single" w:color="auto"/>
          <w:color w:val="auto"/>
        </w:rPr>
        <w:t>Vice President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Vice President shall have all such powers and duties as are commonly incident to the office of Vice President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52"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shall issue or cause to be issued all authorized notices for, and shall keep, or cause to be kept, minutes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76"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Delegation of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from time to time delegate the powers or duties of any officer of the Corporation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officers or agents of the Corporation, notwithstanding any provision hereof.</w:t>
      </w:r>
    </w:p>
    <w:p>
      <w:pPr>
        <w:spacing w:after="0" w:line="156" w:lineRule="exact"/>
        <w:rPr>
          <w:sz w:val="20"/>
          <w:szCs w:val="20"/>
          <w:color w:val="auto"/>
        </w:rPr>
      </w:pPr>
    </w:p>
    <w:p>
      <w:pPr>
        <w:jc w:val="both"/>
        <w:ind w:right="16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Removal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officer of the Corporation shall serve at the pleasure of the Board and may be removed at any time, with or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cause,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64" w:right="499" w:bottom="1440" w:gutter="0" w:footer="0" w:header="0"/>
        </w:sectPr>
      </w:pPr>
    </w:p>
    <w:bookmarkStart w:id="319" w:name="page320"/>
    <w:bookmarkEnd w:id="3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 STOCK</w:t>
      </w:r>
    </w:p>
    <w:p>
      <w:pPr>
        <w:spacing w:after="0" w:line="221"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Certificates; 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capital stock of the Corporation shall be 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-979170</wp:posOffset>
            </wp:positionV>
            <wp:extent cx="2857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Lost, Stolen or Destroyed Stock Certificates; Issuance of New Certificates or 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8" w:lineRule="exact"/>
        <w:rPr>
          <w:sz w:val="20"/>
          <w:szCs w:val="20"/>
          <w:color w:val="auto"/>
        </w:rPr>
      </w:pPr>
    </w:p>
    <w:p>
      <w:pPr>
        <w:ind w:right="160" w:firstLine="436"/>
        <w:spacing w:after="0" w:line="313" w:lineRule="auto"/>
        <w:rPr>
          <w:sz w:val="20"/>
          <w:szCs w:val="20"/>
          <w:color w:val="auto"/>
        </w:rPr>
      </w:pPr>
      <w:r>
        <w:rPr>
          <w:rFonts w:ascii="Times New Roman" w:cs="Times New Roman" w:eastAsia="Times New Roman" w:hAnsi="Times New Roman"/>
          <w:sz w:val="17"/>
          <w:szCs w:val="17"/>
          <w:b w:val="1"/>
          <w:bCs w:val="1"/>
          <w:color w:val="auto"/>
        </w:rPr>
        <w:t xml:space="preserve">Section 5.3: </w:t>
      </w:r>
      <w:r>
        <w:rPr>
          <w:rFonts w:ascii="Times New Roman" w:cs="Times New Roman" w:eastAsia="Times New Roman" w:hAnsi="Times New Roman"/>
          <w:sz w:val="17"/>
          <w:szCs w:val="17"/>
          <w:b w:val="1"/>
          <w:bCs w:val="1"/>
          <w:u w:val="single" w:color="auto"/>
          <w:color w:val="auto"/>
        </w:rPr>
        <w:t>Other Regulations</w:t>
      </w:r>
      <w:r>
        <w:rPr>
          <w:rFonts w:ascii="Times New Roman" w:cs="Times New Roman" w:eastAsia="Times New Roman" w:hAnsi="Times New Roman"/>
          <w:sz w:val="17"/>
          <w:szCs w:val="17"/>
          <w:color w:val="auto"/>
        </w:rPr>
        <w:t>. Subject to applicable law, the Certificate of Incorporation and these Bylaws, the issue, transfer, conversion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registration of shares represented by certificates and of uncertificated shares shall be governed by such other regulations as the Board may establish.</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 INDEMNIFICATION</w:t>
      </w:r>
    </w:p>
    <w:p>
      <w:pPr>
        <w:spacing w:after="0" w:line="221" w:lineRule="exact"/>
        <w:rPr>
          <w:sz w:val="20"/>
          <w:szCs w:val="20"/>
          <w:color w:val="auto"/>
        </w:rPr>
      </w:pPr>
    </w:p>
    <w:p>
      <w:pPr>
        <w:ind w:right="80" w:firstLine="43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Indemnification of Officers and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who was or is made a party to, or is threatened to be made a party to,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involved in any threatened, pending or completed action, suit or proceeding, whether civil, criminal, administrative, legislative, investigative or any other type whatsoever, preliminary, informal or formal, including any arbitration or other alternative dispute resolution (including but not limited to giving testimony or responding to a subpoena) and including any appeal of any of the foregoing (a “Proceeding”), by reason of the fact that such person (or a person of whom such person is the legal representative), is or was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“Indemnitee”), shall be indemnified and held harmless by the Corporation to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80" w:top="264" w:right="499" w:bottom="1440" w:gutter="0" w:footer="0" w:header="0"/>
        </w:sectPr>
      </w:pPr>
    </w:p>
    <w:bookmarkStart w:id="320" w:name="page321"/>
    <w:bookmarkEnd w:id="320"/>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Such indemnification shall continue as to an Indemnitee who has ceased to be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“Reincorporated Predecessor” means a corporation that is merged with and into the Corporation in a statutory merger where (a) the Corporation is the surviving corporation of such merger; (b) the primary purpose of such merger is to change the corporate domicile of the Reincorporated Predecessor to Delaware.</w:t>
      </w:r>
    </w:p>
    <w:p>
      <w:pPr>
        <w:spacing w:after="0" w:line="189"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Advancement of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these Bylaws, the Corporation shall pay all reasonable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attorneys’ fees) incurred by an Indemnitee in defending any Proceeding in advance of its final disposition; provided, however, that if the DGCL then so requires,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a court of competent jurisdiction in a final judgment not subject to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184"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Non-Exclusivity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conferred on any person in this Article VI shall not be exclusive of any other right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76" w:lineRule="exact"/>
        <w:rPr>
          <w:sz w:val="20"/>
          <w:szCs w:val="20"/>
          <w:color w:val="auto"/>
        </w:rPr>
      </w:pPr>
    </w:p>
    <w:p>
      <w:pPr>
        <w:ind w:right="1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Indemnification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is authorized to cause the Corporation to enter into indemnification contracts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officer, employee or agent of the Corporation, or any person serving at the request of the Corporation as a director, officer, employee, agent or trustee of another corporation, partnership, joint venture, trust or other enterprise or non-profit entity, including employee benefit plans, providing indemnification or advancement rights to such person. Such rights may be greater than those provided in this Article VI.</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68" w:right="499" w:bottom="1440" w:gutter="0" w:footer="0" w:header="0"/>
        </w:sectPr>
      </w:pPr>
    </w:p>
    <w:bookmarkStart w:id="321" w:name="page322"/>
    <w:bookmarkEnd w:id="32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6.5: </w:t>
      </w:r>
      <w:r>
        <w:rPr>
          <w:rFonts w:ascii="Times New Roman" w:cs="Times New Roman" w:eastAsia="Times New Roman" w:hAnsi="Times New Roman"/>
          <w:sz w:val="18"/>
          <w:szCs w:val="18"/>
          <w:b w:val="1"/>
          <w:bCs w:val="1"/>
          <w:u w:val="single" w:color="auto"/>
          <w:color w:val="auto"/>
        </w:rPr>
        <w:t>Right of Indemnitee to Bring Suit</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ind w:right="80" w:firstLine="436"/>
        <w:spacing w:after="0" w:line="254"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u w:val="single" w:color="auto"/>
          <w:color w:val="auto"/>
        </w:rPr>
        <w:t>Right to Bring Suit</w:t>
      </w:r>
      <w:r>
        <w:rPr>
          <w:rFonts w:ascii="Times New Roman" w:cs="Times New Roman" w:eastAsia="Times New Roman" w:hAnsi="Times New Roman"/>
          <w:sz w:val="18"/>
          <w:szCs w:val="18"/>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w:t>
      </w:r>
    </w:p>
    <w:p>
      <w:pPr>
        <w:spacing w:after="0" w:line="184" w:lineRule="exact"/>
        <w:rPr>
          <w:sz w:val="20"/>
          <w:szCs w:val="20"/>
          <w:color w:val="auto"/>
        </w:rPr>
      </w:pPr>
    </w:p>
    <w:p>
      <w:pPr>
        <w:ind w:right="100" w:firstLine="436"/>
        <w:spacing w:after="0" w:line="258"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u w:val="single" w:color="auto"/>
          <w:color w:val="auto"/>
        </w:rPr>
        <w:t>Effect of Determination</w:t>
      </w:r>
      <w:r>
        <w:rPr>
          <w:rFonts w:ascii="Times New Roman" w:cs="Times New Roman" w:eastAsia="Times New Roman" w:hAnsi="Times New Roman"/>
          <w:sz w:val="18"/>
          <w:szCs w:val="18"/>
          <w:color w:val="auto"/>
        </w:rPr>
        <w:t>. Neither the absence of a determination prior to the commencement of such suit that indemnification of or the providing of advancement to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80" w:lineRule="exact"/>
        <w:rPr>
          <w:sz w:val="20"/>
          <w:szCs w:val="20"/>
          <w:color w:val="auto"/>
        </w:rPr>
      </w:pPr>
    </w:p>
    <w:p>
      <w:pPr>
        <w:jc w:val="both"/>
        <w:ind w:right="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6.5.3 </w:t>
      </w:r>
      <w:r>
        <w:rPr>
          <w:rFonts w:ascii="Times New Roman" w:cs="Times New Roman" w:eastAsia="Times New Roman" w:hAnsi="Times New Roman"/>
          <w:sz w:val="18"/>
          <w:szCs w:val="18"/>
          <w:u w:val="single" w:color="auto"/>
          <w:color w:val="auto"/>
        </w:rPr>
        <w:t>Burden of Proof</w:t>
      </w:r>
      <w:r>
        <w:rPr>
          <w:rFonts w:ascii="Times New Roman" w:cs="Times New Roman" w:eastAsia="Times New Roman" w:hAnsi="Times New Roman"/>
          <w:sz w:val="18"/>
          <w:szCs w:val="18"/>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1" w:lineRule="exact"/>
        <w:rPr>
          <w:sz w:val="20"/>
          <w:szCs w:val="20"/>
          <w:color w:val="auto"/>
        </w:rPr>
      </w:pPr>
    </w:p>
    <w:p>
      <w:pPr>
        <w:ind w:right="10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b w:val="1"/>
          <w:bCs w:val="1"/>
          <w:u w:val="single" w:color="auto"/>
          <w:color w:val="auto"/>
        </w:rPr>
        <w:t>Nature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conferred upon Indemnitees in this Article VI shall be contract rights and such rights shall continue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Indemnitee who has ceased to be a director or officer and shall inure to the benefit of the Indemnitee’s heirs, executors and administrators.</w:t>
      </w:r>
    </w:p>
    <w:p>
      <w:pPr>
        <w:spacing w:after="0" w:line="156" w:lineRule="exact"/>
        <w:rPr>
          <w:sz w:val="20"/>
          <w:szCs w:val="20"/>
          <w:color w:val="auto"/>
        </w:rPr>
      </w:pPr>
    </w:p>
    <w:p>
      <w:pPr>
        <w:ind w:right="1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b w:val="1"/>
          <w:bCs w:val="1"/>
          <w:u w:val="single" w:color="auto"/>
          <w:color w:val="auto"/>
        </w:rPr>
        <w:t>Amendment or Repeal</w:t>
      </w:r>
      <w:r>
        <w:rPr>
          <w:rFonts w:ascii="Times New Roman" w:cs="Times New Roman" w:eastAsia="Times New Roman" w:hAnsi="Times New Roman"/>
          <w:sz w:val="18"/>
          <w:szCs w:val="18"/>
          <w:color w:val="auto"/>
        </w:rPr>
        <w:t>. Any amendment, repeal or modification of any provision of this Article VI that adversely affects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170" w:lineRule="exact"/>
        <w:rPr>
          <w:sz w:val="20"/>
          <w:szCs w:val="20"/>
          <w:color w:val="auto"/>
        </w:rPr>
      </w:pPr>
    </w:p>
    <w:p>
      <w:pPr>
        <w:ind w:firstLine="436"/>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Section 6.8: </w:t>
      </w:r>
      <w:r>
        <w:rPr>
          <w:rFonts w:ascii="Times New Roman" w:cs="Times New Roman" w:eastAsia="Times New Roman" w:hAnsi="Times New Roman"/>
          <w:sz w:val="17"/>
          <w:szCs w:val="17"/>
          <w:b w:val="1"/>
          <w:bCs w:val="1"/>
          <w:u w:val="single" w:color="auto"/>
          <w:color w:val="auto"/>
        </w:rPr>
        <w:t>Insurance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Corporation may purchase and maintain insurance, at its expense, to protect itself and any director, officer, employee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VII:NOTICES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jc w:val="both"/>
        <w:ind w:right="40" w:firstLine="436"/>
        <w:spacing w:after="0" w:line="263"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Form and Delivery</w:t>
      </w:r>
      <w:r>
        <w:rPr>
          <w:rFonts w:ascii="Times New Roman" w:cs="Times New Roman" w:eastAsia="Times New Roman" w:hAnsi="Times New Roman"/>
          <w:sz w:val="18"/>
          <w:szCs w:val="18"/>
          <w:color w:val="auto"/>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480" w:top="264" w:right="539" w:bottom="1440" w:gutter="0" w:footer="0" w:header="0"/>
        </w:sectPr>
      </w:pPr>
    </w:p>
    <w:bookmarkStart w:id="322" w:name="page323"/>
    <w:bookmarkEnd w:id="32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87" w:lineRule="exact"/>
        <w:rPr>
          <w:sz w:val="20"/>
          <w:szCs w:val="20"/>
          <w:color w:val="auto"/>
        </w:rPr>
      </w:pPr>
    </w:p>
    <w:p>
      <w:pPr>
        <w:ind w:right="100" w:firstLine="436"/>
        <w:spacing w:after="0" w:line="267" w:lineRule="auto"/>
        <w:rPr>
          <w:sz w:val="20"/>
          <w:szCs w:val="20"/>
          <w:color w:val="auto"/>
        </w:rPr>
      </w:pPr>
      <w:r>
        <w:rPr>
          <w:rFonts w:ascii="Times New Roman" w:cs="Times New Roman" w:eastAsia="Times New Roman" w:hAnsi="Times New Roman"/>
          <w:sz w:val="17"/>
          <w:szCs w:val="17"/>
          <w:color w:val="auto"/>
        </w:rPr>
        <w:t xml:space="preserve">7.1.2 </w:t>
      </w:r>
      <w:r>
        <w:rPr>
          <w:rFonts w:ascii="Times New Roman" w:cs="Times New Roman" w:eastAsia="Times New Roman" w:hAnsi="Times New Roman"/>
          <w:sz w:val="17"/>
          <w:szCs w:val="17"/>
          <w:u w:val="single" w:color="auto"/>
          <w:color w:val="auto"/>
        </w:rPr>
        <w:t>Electronic Transmission</w:t>
      </w:r>
      <w:r>
        <w:rPr>
          <w:rFonts w:ascii="Times New Roman" w:cs="Times New Roman" w:eastAsia="Times New Roman" w:hAnsi="Times New Roman"/>
          <w:sz w:val="17"/>
          <w:szCs w:val="17"/>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76" w:lineRule="exact"/>
        <w:rPr>
          <w:sz w:val="20"/>
          <w:szCs w:val="20"/>
          <w:color w:val="auto"/>
        </w:rPr>
      </w:pPr>
    </w:p>
    <w:p>
      <w:pPr>
        <w:ind w:right="60" w:firstLine="436"/>
        <w:spacing w:after="0" w:line="263"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Affidavit of Giving Notice</w:t>
      </w:r>
      <w:r>
        <w:rPr>
          <w:rFonts w:ascii="Times New Roman" w:cs="Times New Roman" w:eastAsia="Times New Roman" w:hAnsi="Times New Roman"/>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71"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notice is required to be given under any provision of the DGCL, the Certificate of Incorporation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80" w:top="268" w:right="499" w:bottom="1440" w:gutter="0" w:footer="0" w:header="0"/>
        </w:sectPr>
      </w:pPr>
    </w:p>
    <w:bookmarkStart w:id="323" w:name="page324"/>
    <w:bookmarkEnd w:id="3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VIII: INTERESTED DIRECTORS</w:t>
      </w:r>
    </w:p>
    <w:p>
      <w:pPr>
        <w:spacing w:after="0" w:line="221"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Interested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contract or transaction between the Corporation and one or more of its members of the Board or officers,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89"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color w:val="auto"/>
        </w:rPr>
        <w:t>. Interested directors may be counted in determining the presence of a quorum at a meeting of the Board or of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authorizes the contract or transaction.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 MISCELLANEOUS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of the Corporation shall be determined by resolution of the Board.</w:t>
      </w:r>
    </w:p>
    <w:p>
      <w:pPr>
        <w:spacing w:after="0" w:line="221" w:lineRule="exact"/>
        <w:rPr>
          <w:sz w:val="20"/>
          <w:szCs w:val="20"/>
          <w:color w:val="auto"/>
        </w:rPr>
      </w:pPr>
    </w:p>
    <w:p>
      <w:pPr>
        <w:ind w:right="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Seal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provide for a corporate seal, which may have the name of the Corporation inscribed thereon and shall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 such form as may be approved from time to time by the Board.</w:t>
      </w:r>
    </w:p>
    <w:p>
      <w:pPr>
        <w:spacing w:after="0" w:line="156" w:lineRule="exact"/>
        <w:rPr>
          <w:sz w:val="20"/>
          <w:szCs w:val="20"/>
          <w:color w:val="auto"/>
        </w:rPr>
      </w:pPr>
    </w:p>
    <w:p>
      <w:pPr>
        <w:ind w:right="20" w:firstLine="436"/>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Section 9.3: </w:t>
      </w:r>
      <w:r>
        <w:rPr>
          <w:rFonts w:ascii="Times New Roman" w:cs="Times New Roman" w:eastAsia="Times New Roman" w:hAnsi="Times New Roman"/>
          <w:sz w:val="17"/>
          <w:szCs w:val="17"/>
          <w:b w:val="1"/>
          <w:bCs w:val="1"/>
          <w:u w:val="single" w:color="auto"/>
          <w:color w:val="auto"/>
        </w:rPr>
        <w:t>Form of Records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records administered by or on behalf of the Corporation in the regular course of its business, including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64" w:lineRule="exact"/>
        <w:rPr>
          <w:sz w:val="20"/>
          <w:szCs w:val="20"/>
          <w:color w:val="auto"/>
        </w:rPr>
      </w:pPr>
    </w:p>
    <w:p>
      <w:pPr>
        <w:ind w:right="4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9.4: </w:t>
      </w:r>
      <w:r>
        <w:rPr>
          <w:rFonts w:ascii="Times New Roman" w:cs="Times New Roman" w:eastAsia="Times New Roman" w:hAnsi="Times New Roman"/>
          <w:sz w:val="18"/>
          <w:szCs w:val="18"/>
          <w:b w:val="1"/>
          <w:bCs w:val="1"/>
          <w:u w:val="single" w:color="auto"/>
          <w:color w:val="auto"/>
        </w:rPr>
        <w:t>Reliance Upon Books and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member of the Board, or a member of any committee designated by the Board shall,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80" w:top="264" w:right="499" w:bottom="1440" w:gutter="0" w:footer="0" w:header="0"/>
        </w:sectPr>
      </w:pPr>
    </w:p>
    <w:bookmarkStart w:id="324" w:name="page325"/>
    <w:bookmarkEnd w:id="324"/>
    <w:p>
      <w:pPr>
        <w:ind w:right="2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9.5: </w:t>
      </w:r>
      <w:r>
        <w:rPr>
          <w:rFonts w:ascii="Times New Roman" w:cs="Times New Roman" w:eastAsia="Times New Roman" w:hAnsi="Times New Roman"/>
          <w:sz w:val="18"/>
          <w:szCs w:val="18"/>
          <w:b w:val="1"/>
          <w:bCs w:val="1"/>
          <w:u w:val="single" w:color="auto"/>
          <w:color w:val="auto"/>
        </w:rPr>
        <w:t>Certificate of Incorporation Governs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any conflict between the provisions of the Certificate of Incorporation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the provisions of the Certificate of Incorporation shall govern.</w:t>
      </w:r>
    </w:p>
    <w:p>
      <w:pPr>
        <w:spacing w:after="0" w:line="156" w:lineRule="exact"/>
        <w:rPr>
          <w:sz w:val="20"/>
          <w:szCs w:val="20"/>
          <w:color w:val="auto"/>
        </w:rPr>
      </w:pPr>
    </w:p>
    <w:p>
      <w:pPr>
        <w:ind w:right="2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9.6: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of these Bylaws shall be held to be invalid, illegal, unenforceable or in conflict with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80" w:lineRule="exact"/>
        <w:rPr>
          <w:sz w:val="20"/>
          <w:szCs w:val="20"/>
          <w:color w:val="auto"/>
        </w:rPr>
      </w:pPr>
    </w:p>
    <w:p>
      <w:pPr>
        <w:ind w:right="1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9.7: </w:t>
      </w:r>
      <w:r>
        <w:rPr>
          <w:rFonts w:ascii="Times New Roman" w:cs="Times New Roman" w:eastAsia="Times New Roman" w:hAnsi="Times New Roman"/>
          <w:sz w:val="18"/>
          <w:szCs w:val="18"/>
          <w:b w:val="1"/>
          <w:bCs w:val="1"/>
          <w:u w:val="single" w:color="auto"/>
          <w:color w:val="auto"/>
        </w:rPr>
        <w:t>Time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applying any provision of these Bylaws which requires that an act be done or not be done a specified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prior to an event or that an act be done during a period of a specified number of days prior to an event, calendar days shall be used, the day of the doing of the act shall be excluded, and the day of the event shall be included.</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 AMENDMENT</w:t>
      </w:r>
    </w:p>
    <w:p>
      <w:pPr>
        <w:spacing w:after="0" w:line="225" w:lineRule="exact"/>
        <w:rPr>
          <w:sz w:val="20"/>
          <w:szCs w:val="20"/>
          <w:color w:val="auto"/>
        </w:rPr>
      </w:pPr>
    </w:p>
    <w:p>
      <w:pPr>
        <w:ind w:right="320" w:firstLine="436"/>
        <w:spacing w:after="0" w:line="278" w:lineRule="auto"/>
        <w:rPr>
          <w:sz w:val="20"/>
          <w:szCs w:val="20"/>
          <w:color w:val="auto"/>
        </w:rPr>
      </w:pPr>
      <w:r>
        <w:rPr>
          <w:rFonts w:ascii="Times New Roman" w:cs="Times New Roman" w:eastAsia="Times New Roman" w:hAnsi="Times New Roman"/>
          <w:sz w:val="18"/>
          <w:szCs w:val="18"/>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XI: EXCLUSIVE FORUM</w:t>
      </w:r>
    </w:p>
    <w:p>
      <w:pPr>
        <w:spacing w:after="0" w:line="225"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or holding any interest in any security of the Corporation shall be deemed to have notice of and consented to the provisions of this 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210820</wp:posOffset>
            </wp:positionV>
            <wp:extent cx="14605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80"/>
          </w:cols>
          <w:pgMar w:left="480" w:top="264" w:right="539" w:bottom="1440" w:gutter="0" w:footer="0" w:header="0"/>
        </w:sectPr>
      </w:pPr>
    </w:p>
    <w:bookmarkStart w:id="325" w:name="page326"/>
    <w:bookmarkEnd w:id="32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CERTIFICATION OF RESTATED BYLAWS</w:t>
      </w:r>
    </w:p>
    <w:p>
      <w:pPr>
        <w:spacing w:after="0" w:line="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17"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8"/>
          <w:szCs w:val="18"/>
          <w:color w:val="auto"/>
        </w:rPr>
        <w:t>I, Krishna Vaddi, certify that I am Secretary of Prelude Therapeutics Incorporated,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that I am duly authorized to make and deliver this certification, that the attached Bylaws are a true and complete copy of the Restated Bylaws of the Corporation in effect as of the date of this certificate.</w:t>
      </w:r>
    </w:p>
    <w:p>
      <w:pPr>
        <w:spacing w:after="0" w:line="174"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color w:val="auto"/>
        </w:rPr>
        <w:t>Dated: September</w:t>
      </w:r>
      <w:r>
        <w:rPr>
          <w:sz w:val="20"/>
          <w:szCs w:val="20"/>
          <w:color w:val="auto"/>
        </w:rPr>
        <w:tab/>
      </w:r>
      <w:r>
        <w:rPr>
          <w:rFonts w:ascii="Times New Roman" w:cs="Times New Roman" w:eastAsia="Times New Roman" w:hAnsi="Times New Roman"/>
          <w:sz w:val="17"/>
          <w:szCs w:val="17"/>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177165</wp:posOffset>
            </wp:positionV>
            <wp:extent cx="27686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Krishna Vaddi</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Executive Officer and Secretary</w:t>
      </w:r>
    </w:p>
    <w:p>
      <w:pPr>
        <w:sectPr>
          <w:pgSz w:w="11900" w:h="16838" w:orient="portrait"/>
          <w:cols w:equalWidth="0" w:num="1">
            <w:col w:w="10600"/>
          </w:cols>
          <w:pgMar w:left="480" w:top="264" w:right="819" w:bottom="1440" w:gutter="0" w:footer="0" w:header="0"/>
        </w:sectPr>
      </w:pPr>
    </w:p>
    <w:bookmarkStart w:id="326" w:name="page327"/>
    <w:bookmarkEnd w:id="326"/>
    <w:p>
      <w:pPr>
        <w:ind w:left="912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179070</wp:posOffset>
            </wp:positionV>
            <wp:extent cx="7094855" cy="43313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7094855" cy="4331335"/>
                    </a:xfrm>
                    <a:prstGeom prst="rect">
                      <a:avLst/>
                    </a:prstGeom>
                    <a:noFill/>
                  </pic:spPr>
                </pic:pic>
              </a:graphicData>
            </a:graphic>
          </wp:anchor>
        </w:drawing>
      </w:r>
    </w:p>
    <w:p>
      <w:pPr>
        <w:sectPr>
          <w:pgSz w:w="11900" w:h="16838" w:orient="portrait"/>
          <w:cols w:equalWidth="0" w:num="1">
            <w:col w:w="9960"/>
          </w:cols>
          <w:pgMar w:left="1440" w:top="117" w:right="499" w:bottom="1440" w:gutter="0" w:footer="0" w:header="0"/>
        </w:sectPr>
      </w:pPr>
    </w:p>
    <w:bookmarkStart w:id="327" w:name="page328"/>
    <w:bookmarkEnd w:id="3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58172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7150735" cy="581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July 23, 2020, in Amendment No. 1 to the Registration Statement (Form S-1 No. 333-248628) and related Prospectus of Prelude Therapeutics Incorporated dated September 16,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2020</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C91298"/>
    <w:multiLevelType w:val="hybridMultilevel"/>
    <w:lvl w:ilvl="0">
      <w:lvlJc w:val="left"/>
      <w:lvlText w:val="(%1)"/>
      <w:numFmt w:val="decimal"/>
      <w:start w:val="1"/>
    </w:lvl>
  </w:abstractNum>
  <w:abstractNum w:abstractNumId="1">
    <w:nsid w:val="9DAF632"/>
    <w:multiLevelType w:val="hybridMultilevel"/>
    <w:lvl w:ilvl="0">
      <w:lvlJc w:val="left"/>
      <w:lvlText w:val="•"/>
      <w:numFmt w:val="bullet"/>
      <w:start w:val="1"/>
    </w:lvl>
    <w:lvl w:ilvl="1">
      <w:lvlJc w:val="left"/>
      <w:lvlText w:val="•"/>
      <w:numFmt w:val="bullet"/>
      <w:start w:val="1"/>
    </w:lvl>
  </w:abstractNum>
  <w:abstractNum w:abstractNumId="2">
    <w:nsid w:val="53299938"/>
    <w:multiLevelType w:val="hybridMultilevel"/>
    <w:lvl w:ilvl="0">
      <w:lvlJc w:val="left"/>
      <w:lvlText w:val="•"/>
      <w:numFmt w:val="bullet"/>
      <w:start w:val="1"/>
    </w:lvl>
  </w:abstractNum>
  <w:abstractNum w:abstractNumId="3">
    <w:nsid w:val="1FBFE8E0"/>
    <w:multiLevelType w:val="hybridMultilevel"/>
    <w:lvl w:ilvl="0">
      <w:lvlJc w:val="left"/>
      <w:lvlText w:val="•"/>
      <w:numFmt w:val="bullet"/>
      <w:start w:val="1"/>
    </w:lvl>
  </w:abstractNum>
  <w:abstractNum w:abstractNumId="4">
    <w:nsid w:val="5092CA79"/>
    <w:multiLevelType w:val="hybridMultilevel"/>
    <w:lvl w:ilvl="0">
      <w:lvlJc w:val="left"/>
      <w:lvlText w:val="•"/>
      <w:numFmt w:val="bullet"/>
      <w:start w:val="1"/>
    </w:lvl>
  </w:abstractNum>
  <w:abstractNum w:abstractNumId="5">
    <w:nsid w:val="1D545C4D"/>
    <w:multiLevelType w:val="hybridMultilevel"/>
    <w:lvl w:ilvl="0">
      <w:lvlJc w:val="left"/>
      <w:lvlText w:val="•"/>
      <w:numFmt w:val="bullet"/>
      <w:start w:val="1"/>
    </w:lvl>
  </w:abstractNum>
  <w:abstractNum w:abstractNumId="6">
    <w:nsid w:val="59ADEA3D"/>
    <w:multiLevelType w:val="hybridMultilevel"/>
    <w:lvl w:ilvl="0">
      <w:lvlJc w:val="left"/>
      <w:lvlText w:val="(%1)"/>
      <w:numFmt w:val="lowerRoman"/>
      <w:start w:val="1"/>
    </w:lvl>
  </w:abstractNum>
  <w:abstractNum w:abstractNumId="7">
    <w:nsid w:val="288F1A34"/>
    <w:multiLevelType w:val="hybridMultilevel"/>
    <w:lvl w:ilvl="0">
      <w:lvlJc w:val="left"/>
      <w:lvlText w:val="•"/>
      <w:numFmt w:val="bullet"/>
      <w:start w:val="1"/>
    </w:lvl>
  </w:abstractNum>
  <w:abstractNum w:abstractNumId="8">
    <w:nsid w:val="2A155DBC"/>
    <w:multiLevelType w:val="hybridMultilevel"/>
    <w:lvl w:ilvl="0">
      <w:lvlJc w:val="left"/>
      <w:lvlText w:val="•"/>
      <w:numFmt w:val="bullet"/>
      <w:start w:val="1"/>
    </w:lvl>
  </w:abstractNum>
  <w:abstractNum w:abstractNumId="9">
    <w:nsid w:val="1D9F6E5F"/>
    <w:multiLevelType w:val="hybridMultilevel"/>
    <w:lvl w:ilvl="0">
      <w:lvlJc w:val="left"/>
      <w:lvlText w:val="(%1)"/>
      <w:numFmt w:val="decimal"/>
      <w:start w:val="1"/>
    </w:lvl>
  </w:abstractNum>
  <w:abstractNum w:abstractNumId="10">
    <w:nsid w:val="97E1B4E"/>
    <w:multiLevelType w:val="hybridMultilevel"/>
    <w:lvl w:ilvl="0">
      <w:lvlJc w:val="left"/>
      <w:lvlText w:val="(%1)"/>
      <w:numFmt w:val="decimal"/>
      <w:start w:val="1"/>
    </w:lvl>
  </w:abstractNum>
  <w:abstractNum w:abstractNumId="11">
    <w:nsid w:val="51088277"/>
    <w:multiLevelType w:val="hybridMultilevel"/>
    <w:lvl w:ilvl="0">
      <w:lvlJc w:val="left"/>
      <w:lvlText w:val="(%1)"/>
      <w:numFmt w:val="decimal"/>
      <w:start w:val="3"/>
    </w:lvl>
  </w:abstractNum>
  <w:abstractNum w:abstractNumId="12">
    <w:nsid w:val="1CA0C5FA"/>
    <w:multiLevelType w:val="hybridMultilevel"/>
    <w:lvl w:ilvl="0">
      <w:lvlJc w:val="left"/>
      <w:lvlText w:val="•"/>
      <w:numFmt w:val="bullet"/>
      <w:start w:val="1"/>
    </w:lvl>
  </w:abstractNum>
  <w:abstractNum w:abstractNumId="13">
    <w:nsid w:val="53584BCB"/>
    <w:multiLevelType w:val="hybridMultilevel"/>
    <w:lvl w:ilvl="0">
      <w:lvlJc w:val="left"/>
      <w:lvlText w:val="•"/>
      <w:numFmt w:val="bullet"/>
      <w:start w:val="1"/>
    </w:lvl>
  </w:abstractNum>
  <w:abstractNum w:abstractNumId="14">
    <w:nsid w:val="415E286C"/>
    <w:multiLevelType w:val="hybridMultilevel"/>
    <w:lvl w:ilvl="0">
      <w:lvlJc w:val="left"/>
      <w:lvlText w:val="•"/>
      <w:numFmt w:val="bullet"/>
      <w:start w:val="1"/>
    </w:lvl>
  </w:abstractNum>
  <w:abstractNum w:abstractNumId="15">
    <w:nsid w:val="7C58FD05"/>
    <w:multiLevelType w:val="hybridMultilevel"/>
    <w:lvl w:ilvl="0">
      <w:lvlJc w:val="left"/>
      <w:lvlText w:val="•"/>
      <w:numFmt w:val="bullet"/>
      <w:start w:val="1"/>
    </w:lvl>
  </w:abstractNum>
  <w:abstractNum w:abstractNumId="16">
    <w:nsid w:val="23D86AAC"/>
    <w:multiLevelType w:val="hybridMultilevel"/>
    <w:lvl w:ilvl="0">
      <w:lvlJc w:val="left"/>
      <w:lvlText w:val="•"/>
      <w:numFmt w:val="bullet"/>
      <w:start w:val="1"/>
    </w:lvl>
  </w:abstractNum>
  <w:abstractNum w:abstractNumId="17">
    <w:nsid w:val="45E6D486"/>
    <w:multiLevelType w:val="hybridMultilevel"/>
    <w:lvl w:ilvl="0">
      <w:lvlJc w:val="left"/>
      <w:lvlText w:val="•"/>
      <w:numFmt w:val="bullet"/>
      <w:start w:val="1"/>
    </w:lvl>
  </w:abstractNum>
  <w:abstractNum w:abstractNumId="18">
    <w:nsid w:val="5C10FE21"/>
    <w:multiLevelType w:val="hybridMultilevel"/>
    <w:lvl w:ilvl="0">
      <w:lvlJc w:val="left"/>
      <w:lvlText w:val="•"/>
      <w:numFmt w:val="bullet"/>
      <w:start w:val="1"/>
    </w:lvl>
  </w:abstractNum>
  <w:abstractNum w:abstractNumId="19">
    <w:nsid w:val="E7FFA2B"/>
    <w:multiLevelType w:val="hybridMultilevel"/>
    <w:lvl w:ilvl="0">
      <w:lvlJc w:val="left"/>
      <w:lvlText w:val="•"/>
      <w:numFmt w:val="bullet"/>
      <w:start w:val="1"/>
    </w:lvl>
  </w:abstractNum>
  <w:abstractNum w:abstractNumId="20">
    <w:nsid w:val="3C5991AA"/>
    <w:multiLevelType w:val="hybridMultilevel"/>
    <w:lvl w:ilvl="0">
      <w:lvlJc w:val="left"/>
      <w:lvlText w:val="•"/>
      <w:numFmt w:val="bullet"/>
      <w:start w:val="1"/>
    </w:lvl>
  </w:abstractNum>
  <w:abstractNum w:abstractNumId="21">
    <w:nsid w:val="4BD8591A"/>
    <w:multiLevelType w:val="hybridMultilevel"/>
    <w:lvl w:ilvl="0">
      <w:lvlJc w:val="left"/>
      <w:lvlText w:val="•"/>
      <w:numFmt w:val="bullet"/>
      <w:start w:val="1"/>
    </w:lvl>
  </w:abstractNum>
  <w:abstractNum w:abstractNumId="22">
    <w:nsid w:val="78DF6A55"/>
    <w:multiLevelType w:val="hybridMultilevel"/>
    <w:lvl w:ilvl="0">
      <w:lvlJc w:val="left"/>
      <w:lvlText w:val="•"/>
      <w:numFmt w:val="bullet"/>
      <w:start w:val="1"/>
    </w:lvl>
  </w:abstractNum>
  <w:abstractNum w:abstractNumId="23">
    <w:nsid w:val="39B7AAA2"/>
    <w:multiLevelType w:val="hybridMultilevel"/>
    <w:lvl w:ilvl="0">
      <w:lvlJc w:val="left"/>
      <w:lvlText w:val="•"/>
      <w:numFmt w:val="bullet"/>
      <w:start w:val="1"/>
    </w:lvl>
  </w:abstractNum>
  <w:abstractNum w:abstractNumId="24">
    <w:nsid w:val="2B0D8DBE"/>
    <w:multiLevelType w:val="hybridMultilevel"/>
    <w:lvl w:ilvl="0">
      <w:lvlJc w:val="left"/>
      <w:lvlText w:val="•"/>
      <w:numFmt w:val="bullet"/>
      <w:start w:val="1"/>
    </w:lvl>
  </w:abstractNum>
  <w:abstractNum w:abstractNumId="25">
    <w:nsid w:val="6C80EC70"/>
    <w:multiLevelType w:val="hybridMultilevel"/>
    <w:lvl w:ilvl="0">
      <w:lvlJc w:val="left"/>
      <w:lvlText w:val="•"/>
      <w:numFmt w:val="bullet"/>
      <w:start w:val="1"/>
    </w:lvl>
  </w:abstractNum>
  <w:abstractNum w:abstractNumId="26">
    <w:nsid w:val="379E21B5"/>
    <w:multiLevelType w:val="hybridMultilevel"/>
    <w:lvl w:ilvl="0">
      <w:lvlJc w:val="left"/>
      <w:lvlText w:val="•"/>
      <w:numFmt w:val="bullet"/>
      <w:start w:val="1"/>
    </w:lvl>
  </w:abstractNum>
  <w:abstractNum w:abstractNumId="27">
    <w:nsid w:val="69E373"/>
    <w:multiLevelType w:val="hybridMultilevel"/>
    <w:lvl w:ilvl="0">
      <w:lvlJc w:val="left"/>
      <w:lvlText w:val="•"/>
      <w:numFmt w:val="bullet"/>
      <w:start w:val="1"/>
    </w:lvl>
  </w:abstractNum>
  <w:abstractNum w:abstractNumId="28">
    <w:nsid w:val="2C27173B"/>
    <w:multiLevelType w:val="hybridMultilevel"/>
    <w:lvl w:ilvl="0">
      <w:lvlJc w:val="left"/>
      <w:lvlText w:val="•"/>
      <w:numFmt w:val="bullet"/>
      <w:start w:val="1"/>
    </w:lvl>
  </w:abstractNum>
  <w:abstractNum w:abstractNumId="29">
    <w:nsid w:val="4C9B0904"/>
    <w:multiLevelType w:val="hybridMultilevel"/>
    <w:lvl w:ilvl="0">
      <w:lvlJc w:val="left"/>
      <w:lvlText w:val="•"/>
      <w:numFmt w:val="bullet"/>
      <w:start w:val="1"/>
    </w:lvl>
  </w:abstractNum>
  <w:abstractNum w:abstractNumId="30">
    <w:nsid w:val="6AA7B75C"/>
    <w:multiLevelType w:val="hybridMultilevel"/>
    <w:lvl w:ilvl="0">
      <w:lvlJc w:val="left"/>
      <w:lvlText w:val="•"/>
      <w:numFmt w:val="bullet"/>
      <w:start w:val="1"/>
    </w:lvl>
  </w:abstractNum>
  <w:abstractNum w:abstractNumId="31">
    <w:nsid w:val="1DF029D3"/>
    <w:multiLevelType w:val="hybridMultilevel"/>
    <w:lvl w:ilvl="0">
      <w:lvlJc w:val="left"/>
      <w:lvlText w:val="•"/>
      <w:numFmt w:val="bullet"/>
      <w:start w:val="1"/>
    </w:lvl>
  </w:abstractNum>
  <w:abstractNum w:abstractNumId="32">
    <w:nsid w:val="5675FF36"/>
    <w:multiLevelType w:val="hybridMultilevel"/>
    <w:lvl w:ilvl="0">
      <w:lvlJc w:val="left"/>
      <w:lvlText w:val="•"/>
      <w:numFmt w:val="bullet"/>
      <w:start w:val="1"/>
    </w:lvl>
  </w:abstractNum>
  <w:abstractNum w:abstractNumId="33">
    <w:nsid w:val="3DD15094"/>
    <w:multiLevelType w:val="hybridMultilevel"/>
    <w:lvl w:ilvl="0">
      <w:lvlJc w:val="left"/>
      <w:lvlText w:val="•"/>
      <w:numFmt w:val="bullet"/>
      <w:start w:val="1"/>
    </w:lvl>
  </w:abstractNum>
  <w:abstractNum w:abstractNumId="34">
    <w:nsid w:val="3DB012B3"/>
    <w:multiLevelType w:val="hybridMultilevel"/>
    <w:lvl w:ilvl="0">
      <w:lvlJc w:val="left"/>
      <w:lvlText w:val="•"/>
      <w:numFmt w:val="bullet"/>
      <w:start w:val="1"/>
    </w:lvl>
  </w:abstractNum>
  <w:abstractNum w:abstractNumId="35">
    <w:nsid w:val="2708C9AF"/>
    <w:multiLevelType w:val="hybridMultilevel"/>
    <w:lvl w:ilvl="0">
      <w:lvlJc w:val="left"/>
      <w:lvlText w:val="•"/>
      <w:numFmt w:val="bullet"/>
      <w:start w:val="1"/>
    </w:lvl>
  </w:abstractNum>
  <w:abstractNum w:abstractNumId="36">
    <w:nsid w:val="5B25ACE2"/>
    <w:multiLevelType w:val="hybridMultilevel"/>
    <w:lvl w:ilvl="0">
      <w:lvlJc w:val="left"/>
      <w:lvlText w:val="•"/>
      <w:numFmt w:val="bullet"/>
      <w:start w:val="1"/>
    </w:lvl>
  </w:abstractNum>
  <w:abstractNum w:abstractNumId="37">
    <w:nsid w:val="175DFCF0"/>
    <w:multiLevelType w:val="hybridMultilevel"/>
    <w:lvl w:ilvl="0">
      <w:lvlJc w:val="left"/>
      <w:lvlText w:val="•"/>
      <w:numFmt w:val="bullet"/>
      <w:start w:val="1"/>
    </w:lvl>
  </w:abstractNum>
  <w:abstractNum w:abstractNumId="38">
    <w:nsid w:val="4F97E3E4"/>
    <w:multiLevelType w:val="hybridMultilevel"/>
    <w:lvl w:ilvl="0">
      <w:lvlJc w:val="left"/>
      <w:lvlText w:val="•"/>
      <w:numFmt w:val="bullet"/>
      <w:start w:val="1"/>
    </w:lvl>
  </w:abstractNum>
  <w:abstractNum w:abstractNumId="39">
    <w:nsid w:val="53B0A9E"/>
    <w:multiLevelType w:val="hybridMultilevel"/>
    <w:lvl w:ilvl="0">
      <w:lvlJc w:val="left"/>
      <w:lvlText w:val="•"/>
      <w:numFmt w:val="bullet"/>
      <w:start w:val="1"/>
    </w:lvl>
  </w:abstractNum>
  <w:abstractNum w:abstractNumId="40">
    <w:nsid w:val="34FD6B4F"/>
    <w:multiLevelType w:val="hybridMultilevel"/>
    <w:lvl w:ilvl="0">
      <w:lvlJc w:val="left"/>
      <w:lvlText w:val="•"/>
      <w:numFmt w:val="bullet"/>
      <w:start w:val="1"/>
    </w:lvl>
  </w:abstractNum>
  <w:abstractNum w:abstractNumId="41">
    <w:nsid w:val="5915FF32"/>
    <w:multiLevelType w:val="hybridMultilevel"/>
    <w:lvl w:ilvl="0">
      <w:lvlJc w:val="left"/>
      <w:lvlText w:val="•"/>
      <w:numFmt w:val="bullet"/>
      <w:start w:val="1"/>
    </w:lvl>
  </w:abstractNum>
  <w:abstractNum w:abstractNumId="42">
    <w:nsid w:val="56438D15"/>
    <w:multiLevelType w:val="hybridMultilevel"/>
    <w:lvl w:ilvl="0">
      <w:lvlJc w:val="left"/>
      <w:lvlText w:val="•"/>
      <w:numFmt w:val="bullet"/>
      <w:start w:val="1"/>
    </w:lvl>
  </w:abstractNum>
  <w:abstractNum w:abstractNumId="43">
    <w:nsid w:val="519E3149"/>
    <w:multiLevelType w:val="hybridMultilevel"/>
    <w:lvl w:ilvl="0">
      <w:lvlJc w:val="left"/>
      <w:lvlText w:val="•"/>
      <w:numFmt w:val="bullet"/>
      <w:start w:val="1"/>
    </w:lvl>
  </w:abstractNum>
  <w:abstractNum w:abstractNumId="44">
    <w:nsid w:val="2C6E4AFD"/>
    <w:multiLevelType w:val="hybridMultilevel"/>
    <w:lvl w:ilvl="0">
      <w:lvlJc w:val="left"/>
      <w:lvlText w:val="•"/>
      <w:numFmt w:val="bullet"/>
      <w:start w:val="1"/>
    </w:lvl>
  </w:abstractNum>
  <w:abstractNum w:abstractNumId="45">
    <w:nsid w:val="17A1B582"/>
    <w:multiLevelType w:val="hybridMultilevel"/>
    <w:lvl w:ilvl="0">
      <w:lvlJc w:val="left"/>
      <w:lvlText w:val="•"/>
      <w:numFmt w:val="bullet"/>
      <w:start w:val="1"/>
    </w:lvl>
  </w:abstractNum>
  <w:abstractNum w:abstractNumId="46">
    <w:nsid w:val="4DF72E4E"/>
    <w:multiLevelType w:val="hybridMultilevel"/>
    <w:lvl w:ilvl="0">
      <w:lvlJc w:val="left"/>
      <w:lvlText w:val="•"/>
      <w:numFmt w:val="bullet"/>
      <w:start w:val="1"/>
    </w:lvl>
  </w:abstractNum>
  <w:abstractNum w:abstractNumId="47">
    <w:nsid w:val="5046B5A9"/>
    <w:multiLevelType w:val="hybridMultilevel"/>
    <w:lvl w:ilvl="0">
      <w:lvlJc w:val="left"/>
      <w:lvlText w:val="•"/>
      <w:numFmt w:val="bullet"/>
      <w:start w:val="1"/>
    </w:lvl>
  </w:abstractNum>
  <w:abstractNum w:abstractNumId="48">
    <w:nsid w:val="5D888A08"/>
    <w:multiLevelType w:val="hybridMultilevel"/>
    <w:lvl w:ilvl="0">
      <w:lvlJc w:val="left"/>
      <w:lvlText w:val="•"/>
      <w:numFmt w:val="bullet"/>
      <w:start w:val="1"/>
    </w:lvl>
  </w:abstractNum>
  <w:abstractNum w:abstractNumId="49">
    <w:nsid w:val="2A082C70"/>
    <w:multiLevelType w:val="hybridMultilevel"/>
    <w:lvl w:ilvl="0">
      <w:lvlJc w:val="left"/>
      <w:lvlText w:val="•"/>
      <w:numFmt w:val="bullet"/>
      <w:start w:val="1"/>
    </w:lvl>
  </w:abstractNum>
  <w:abstractNum w:abstractNumId="50">
    <w:nsid w:val="5EC6AFD4"/>
    <w:multiLevelType w:val="hybridMultilevel"/>
    <w:lvl w:ilvl="0">
      <w:lvlJc w:val="left"/>
      <w:lvlText w:val="•"/>
      <w:numFmt w:val="bullet"/>
      <w:start w:val="1"/>
    </w:lvl>
  </w:abstractNum>
  <w:abstractNum w:abstractNumId="51">
    <w:nsid w:val="19E21BB2"/>
    <w:multiLevelType w:val="hybridMultilevel"/>
    <w:lvl w:ilvl="0">
      <w:lvlJc w:val="left"/>
      <w:lvlText w:val="(%1)"/>
      <w:numFmt w:val="decimal"/>
      <w:start w:val="1"/>
    </w:lvl>
  </w:abstractNum>
  <w:abstractNum w:abstractNumId="52">
    <w:nsid w:val="75E0858A"/>
    <w:multiLevelType w:val="hybridMultilevel"/>
    <w:lvl w:ilvl="0">
      <w:lvlJc w:val="left"/>
      <w:lvlText w:val="$"/>
      <w:numFmt w:val="bullet"/>
      <w:start w:val="1"/>
    </w:lvl>
  </w:abstractNum>
  <w:abstractNum w:abstractNumId="53">
    <w:nsid w:val="57A61A29"/>
    <w:multiLevelType w:val="hybridMultilevel"/>
    <w:lvl w:ilvl="0">
      <w:lvlJc w:val="left"/>
      <w:lvlText w:val="•"/>
      <w:numFmt w:val="bullet"/>
      <w:start w:val="1"/>
    </w:lvl>
  </w:abstractNum>
  <w:abstractNum w:abstractNumId="54">
    <w:nsid w:val="5399C654"/>
    <w:multiLevelType w:val="hybridMultilevel"/>
    <w:lvl w:ilvl="0">
      <w:lvlJc w:val="left"/>
      <w:lvlText w:val="%"/>
      <w:numFmt w:val="bullet"/>
      <w:start w:val="1"/>
    </w:lvl>
  </w:abstractNum>
  <w:abstractNum w:abstractNumId="55">
    <w:nsid w:val="20EE1348"/>
    <w:multiLevelType w:val="hybridMultilevel"/>
    <w:lvl w:ilvl="0">
      <w:lvlJc w:val="left"/>
      <w:lvlText w:val="(%1)"/>
      <w:numFmt w:val="upperLetter"/>
      <w:start w:val="1"/>
    </w:lvl>
    <w:lvl w:ilvl="1">
      <w:lvlJc w:val="left"/>
      <w:lvlText w:val="•"/>
      <w:numFmt w:val="bullet"/>
      <w:start w:val="1"/>
    </w:lvl>
  </w:abstractNum>
  <w:abstractNum w:abstractNumId="56">
    <w:nsid w:val="4427069A"/>
    <w:multiLevelType w:val="hybridMultilevel"/>
    <w:lvl w:ilvl="0">
      <w:lvlJc w:val="left"/>
      <w:lvlText w:val="(%1)"/>
      <w:numFmt w:val="decimal"/>
      <w:start w:val="1"/>
    </w:lvl>
  </w:abstractNum>
  <w:abstractNum w:abstractNumId="57">
    <w:nsid w:val="B37E80A"/>
    <w:multiLevelType w:val="hybridMultilevel"/>
    <w:lvl w:ilvl="0">
      <w:lvlJc w:val="left"/>
      <w:lvlText w:val="(%1)"/>
      <w:numFmt w:val="decimal"/>
      <w:start w:val="1"/>
    </w:lvl>
  </w:abstractNum>
  <w:abstractNum w:abstractNumId="58">
    <w:nsid w:val="2157F6BC"/>
    <w:multiLevelType w:val="hybridMultilevel"/>
    <w:lvl w:ilvl="0">
      <w:lvlJc w:val="left"/>
      <w:lvlText w:val="•"/>
      <w:numFmt w:val="bullet"/>
      <w:start w:val="1"/>
    </w:lvl>
  </w:abstractNum>
  <w:abstractNum w:abstractNumId="59">
    <w:nsid w:val="704E1DD5"/>
    <w:multiLevelType w:val="hybridMultilevel"/>
    <w:lvl w:ilvl="0">
      <w:lvlJc w:val="left"/>
      <w:lvlText w:val="•"/>
      <w:numFmt w:val="bullet"/>
      <w:start w:val="1"/>
    </w:lvl>
  </w:abstractNum>
  <w:abstractNum w:abstractNumId="60">
    <w:nsid w:val="57D2F10E"/>
    <w:multiLevelType w:val="hybridMultilevel"/>
    <w:lvl w:ilvl="0">
      <w:lvlJc w:val="left"/>
      <w:lvlText w:val="•"/>
      <w:numFmt w:val="bullet"/>
      <w:start w:val="1"/>
    </w:lvl>
  </w:abstractNum>
  <w:abstractNum w:abstractNumId="61">
    <w:nsid w:val="BFFAE18"/>
    <w:multiLevelType w:val="hybridMultilevel"/>
    <w:lvl w:ilvl="0">
      <w:lvlJc w:val="left"/>
      <w:lvlText w:val="(%1)"/>
      <w:numFmt w:val="decimal"/>
      <w:start w:val="1"/>
    </w:lvl>
  </w:abstractNum>
  <w:abstractNum w:abstractNumId="62">
    <w:nsid w:val="E3E47A8"/>
    <w:multiLevelType w:val="hybridMultilevel"/>
    <w:lvl w:ilvl="0">
      <w:lvlJc w:val="left"/>
      <w:lvlText w:val="•"/>
      <w:numFmt w:val="bullet"/>
      <w:start w:val="1"/>
    </w:lvl>
  </w:abstractNum>
  <w:abstractNum w:abstractNumId="63">
    <w:nsid w:val="2E48F044"/>
    <w:multiLevelType w:val="hybridMultilevel"/>
    <w:lvl w:ilvl="0">
      <w:lvlJc w:val="left"/>
      <w:lvlText w:val="•"/>
      <w:numFmt w:val="bullet"/>
      <w:start w:val="1"/>
    </w:lvl>
    <w:lvl w:ilvl="1">
      <w:lvlJc w:val="left"/>
      <w:lvlText w:val="•"/>
      <w:numFmt w:val="bullet"/>
      <w:start w:val="1"/>
    </w:lvl>
  </w:abstractNum>
  <w:abstractNum w:abstractNumId="64">
    <w:nsid w:val="49D0FEAC"/>
    <w:multiLevelType w:val="hybridMultilevel"/>
    <w:lvl w:ilvl="0">
      <w:lvlJc w:val="left"/>
      <w:lvlText w:val="•"/>
      <w:numFmt w:val="bullet"/>
      <w:start w:val="1"/>
    </w:lvl>
  </w:abstractNum>
  <w:abstractNum w:abstractNumId="65">
    <w:nsid w:val="4BEE5A5B"/>
    <w:multiLevelType w:val="hybridMultilevel"/>
    <w:lvl w:ilvl="0">
      <w:lvlJc w:val="left"/>
      <w:lvlText w:val="•"/>
      <w:numFmt w:val="bullet"/>
      <w:start w:val="1"/>
    </w:lvl>
  </w:abstractNum>
  <w:abstractNum w:abstractNumId="66">
    <w:nsid w:val="5551B9F3"/>
    <w:multiLevelType w:val="hybridMultilevel"/>
    <w:lvl w:ilvl="0">
      <w:lvlJc w:val="left"/>
      <w:lvlText w:val="%1)"/>
      <w:numFmt w:val="decimal"/>
      <w:start w:val="1"/>
    </w:lvl>
  </w:abstractNum>
  <w:abstractNum w:abstractNumId="67">
    <w:nsid w:val="24F6AB8E"/>
    <w:multiLevelType w:val="hybridMultilevel"/>
    <w:lvl w:ilvl="0">
      <w:lvlJc w:val="left"/>
      <w:lvlText w:val="•"/>
      <w:numFmt w:val="bullet"/>
      <w:start w:val="1"/>
    </w:lvl>
  </w:abstractNum>
  <w:abstractNum w:abstractNumId="68">
    <w:nsid w:val="634C574C"/>
    <w:multiLevelType w:val="hybridMultilevel"/>
    <w:lvl w:ilvl="0">
      <w:lvlJc w:val="left"/>
      <w:lvlText w:val="%1)"/>
      <w:numFmt w:val="decimal"/>
      <w:start w:val="2"/>
    </w:lvl>
  </w:abstractNum>
  <w:abstractNum w:abstractNumId="69">
    <w:nsid w:val="24E99DD7"/>
    <w:multiLevelType w:val="hybridMultilevel"/>
    <w:lvl w:ilvl="0">
      <w:lvlJc w:val="left"/>
      <w:lvlText w:val="%1)"/>
      <w:numFmt w:val="decimal"/>
      <w:start w:val="3"/>
    </w:lvl>
  </w:abstractNum>
  <w:abstractNum w:abstractNumId="70">
    <w:nsid w:val="2A31B62D"/>
    <w:multiLevelType w:val="hybridMultilevel"/>
    <w:lvl w:ilvl="0">
      <w:lvlJc w:val="left"/>
      <w:lvlText w:val="*"/>
      <w:numFmt w:val="bullet"/>
      <w:start w:val="1"/>
    </w:lvl>
  </w:abstractNum>
  <w:abstractNum w:abstractNumId="71">
    <w:nsid w:val="1849C29B"/>
    <w:multiLevelType w:val="hybridMultilevel"/>
    <w:lvl w:ilvl="0">
      <w:lvlJc w:val="left"/>
      <w:lvlText w:val="•"/>
      <w:numFmt w:val="bullet"/>
      <w:start w:val="1"/>
    </w:lvl>
  </w:abstractNum>
  <w:abstractNum w:abstractNumId="72">
    <w:nsid w:val="7DFF9D09"/>
    <w:multiLevelType w:val="hybridMultilevel"/>
    <w:lvl w:ilvl="0">
      <w:lvlJc w:val="left"/>
      <w:lvlText w:val="*"/>
      <w:numFmt w:val="bullet"/>
      <w:start w:val="1"/>
    </w:lvl>
  </w:abstractNum>
  <w:abstractNum w:abstractNumId="73">
    <w:nsid w:val="754342"/>
    <w:multiLevelType w:val="hybridMultilevel"/>
    <w:lvl w:ilvl="0">
      <w:lvlJc w:val="left"/>
      <w:lvlText w:val="*"/>
      <w:numFmt w:val="bullet"/>
      <w:start w:val="1"/>
    </w:lvl>
  </w:abstractNum>
  <w:abstractNum w:abstractNumId="74">
    <w:nsid w:val="69E7F3E5"/>
    <w:multiLevelType w:val="hybridMultilevel"/>
    <w:lvl w:ilvl="0">
      <w:lvlJc w:val="left"/>
      <w:lvlText w:val="%1"/>
      <w:numFmt w:val="upperLetter"/>
      <w:start w:val="39"/>
    </w:lvl>
  </w:abstractNum>
  <w:abstractNum w:abstractNumId="75">
    <w:nsid w:val="2A6DE806"/>
    <w:multiLevelType w:val="hybridMultilevel"/>
    <w:lvl w:ilvl="0">
      <w:lvlJc w:val="left"/>
      <w:lvlText w:val="(%1)"/>
      <w:numFmt w:val="lowerRoman"/>
      <w:start w:val="3"/>
    </w:lvl>
  </w:abstractNum>
  <w:abstractNum w:abstractNumId="76">
    <w:nsid w:val="1816F8C4"/>
    <w:multiLevelType w:val="hybridMultilevel"/>
    <w:lvl w:ilvl="0">
      <w:lvlJc w:val="left"/>
      <w:lvlText w:val="•"/>
      <w:numFmt w:val="bullet"/>
      <w:start w:val="1"/>
    </w:lvl>
  </w:abstractNum>
  <w:abstractNum w:abstractNumId="77">
    <w:nsid w:val="37DF2233"/>
    <w:multiLevelType w:val="hybridMultilevel"/>
    <w:lvl w:ilvl="0">
      <w:lvlJc w:val="left"/>
      <w:lvlText w:val="•"/>
      <w:numFmt w:val="bullet"/>
      <w:start w:val="1"/>
    </w:lvl>
  </w:abstractNum>
  <w:abstractNum w:abstractNumId="78">
    <w:nsid w:val="7AB49DAF"/>
    <w:multiLevelType w:val="hybridMultilevel"/>
    <w:lvl w:ilvl="0">
      <w:lvlJc w:val="left"/>
      <w:lvlText w:val="•"/>
      <w:numFmt w:val="bullet"/>
      <w:start w:val="1"/>
    </w:lvl>
  </w:abstractNum>
  <w:abstractNum w:abstractNumId="79">
    <w:nsid w:val="759F82CD"/>
    <w:multiLevelType w:val="hybridMultilevel"/>
    <w:lvl w:ilvl="0">
      <w:lvlJc w:val="left"/>
      <w:lvlText w:val="•"/>
      <w:numFmt w:val="bullet"/>
      <w:start w:val="1"/>
    </w:lvl>
  </w:abstractNum>
  <w:abstractNum w:abstractNumId="80">
    <w:nsid w:val="61E74EA3"/>
    <w:multiLevelType w:val="hybridMultilevel"/>
    <w:lvl w:ilvl="0">
      <w:lvlJc w:val="left"/>
      <w:lvlText w:val="•"/>
      <w:numFmt w:val="bullet"/>
      <w:start w:val="1"/>
    </w:lvl>
  </w:abstractNum>
  <w:abstractNum w:abstractNumId="81">
    <w:nsid w:val="597B4D84"/>
    <w:multiLevelType w:val="hybridMultilevel"/>
    <w:lvl w:ilvl="0">
      <w:lvlJc w:val="left"/>
      <w:lvlText w:val="•"/>
      <w:numFmt w:val="bullet"/>
      <w:start w:val="1"/>
    </w:lvl>
  </w:abstractNum>
  <w:abstractNum w:abstractNumId="82">
    <w:nsid w:val="F819E7F"/>
    <w:multiLevelType w:val="hybridMultilevel"/>
    <w:lvl w:ilvl="0">
      <w:lvlJc w:val="left"/>
      <w:lvlText w:val="(%1)"/>
      <w:numFmt w:val="decimal"/>
      <w:start w:val="1"/>
    </w:lvl>
  </w:abstractNum>
  <w:abstractNum w:abstractNumId="83">
    <w:nsid w:val="57C7D42D"/>
    <w:multiLevelType w:val="hybridMultilevel"/>
    <w:lvl w:ilvl="0">
      <w:lvlJc w:val="left"/>
      <w:lvlText w:val="(%1)"/>
      <w:numFmt w:val="decimal"/>
      <w:start w:val="1"/>
    </w:lvl>
  </w:abstractNum>
  <w:abstractNum w:abstractNumId="84">
    <w:nsid w:val="312167AD"/>
    <w:multiLevelType w:val="hybridMultilevel"/>
    <w:lvl w:ilvl="0">
      <w:lvlJc w:val="left"/>
      <w:lvlText w:val="(%1)"/>
      <w:numFmt w:val="lowerRoman"/>
      <w:start w:val="3"/>
    </w:lvl>
  </w:abstractNum>
  <w:abstractNum w:abstractNumId="85">
    <w:nsid w:val="631B64D4"/>
    <w:multiLevelType w:val="hybridMultilevel"/>
    <w:lvl w:ilvl="0">
      <w:lvlJc w:val="left"/>
      <w:lvlText w:val="•"/>
      <w:numFmt w:val="bullet"/>
      <w:start w:val="1"/>
    </w:lvl>
  </w:abstractNum>
  <w:abstractNum w:abstractNumId="86">
    <w:nsid w:val="78B5E776"/>
    <w:multiLevelType w:val="hybridMultilevel"/>
    <w:lvl w:ilvl="0">
      <w:lvlJc w:val="left"/>
      <w:lvlText w:val="•"/>
      <w:numFmt w:val="bullet"/>
      <w:start w:val="1"/>
    </w:lvl>
  </w:abstractNum>
  <w:abstractNum w:abstractNumId="87">
    <w:nsid w:val="75486E47"/>
    <w:multiLevelType w:val="hybridMultilevel"/>
    <w:lvl w:ilvl="0">
      <w:lvlJc w:val="left"/>
      <w:lvlText w:val="•"/>
      <w:numFmt w:val="bullet"/>
      <w:start w:val="1"/>
    </w:lvl>
  </w:abstractNum>
  <w:abstractNum w:abstractNumId="88">
    <w:nsid w:val="6E534CDE"/>
    <w:multiLevelType w:val="hybridMultilevel"/>
    <w:lvl w:ilvl="0">
      <w:lvlJc w:val="left"/>
      <w:lvlText w:val="•"/>
      <w:numFmt w:val="bullet"/>
      <w:start w:val="1"/>
    </w:lvl>
  </w:abstractNum>
  <w:abstractNum w:abstractNumId="89">
    <w:nsid w:val="1A0DDE32"/>
    <w:multiLevelType w:val="hybridMultilevel"/>
    <w:lvl w:ilvl="0">
      <w:lvlJc w:val="left"/>
      <w:lvlText w:val="(%1)"/>
      <w:numFmt w:val="decimal"/>
      <w:start w:val="1"/>
    </w:lvl>
  </w:abstractNum>
  <w:abstractNum w:abstractNumId="90">
    <w:nsid w:val="65968C1C"/>
    <w:multiLevelType w:val="hybridMultilevel"/>
    <w:lvl w:ilvl="0">
      <w:lvlJc w:val="left"/>
      <w:lvlText w:val="(%1)"/>
      <w:numFmt w:val="decimal"/>
      <w:start w:val="3"/>
    </w:lvl>
  </w:abstractNum>
  <w:abstractNum w:abstractNumId="91">
    <w:nsid w:val="46263DEC"/>
    <w:multiLevelType w:val="hybridMultilevel"/>
    <w:lvl w:ilvl="0">
      <w:lvlJc w:val="left"/>
      <w:lvlText w:val="(%1)"/>
      <w:numFmt w:val="decimal"/>
      <w:start w:val="1"/>
    </w:lvl>
  </w:abstractNum>
  <w:abstractNum w:abstractNumId="92">
    <w:nsid w:val="260D8C4A"/>
    <w:multiLevelType w:val="hybridMultilevel"/>
    <w:lvl w:ilvl="0">
      <w:lvlJc w:val="left"/>
      <w:lvlText w:val="(%1)"/>
      <w:numFmt w:val="decimal"/>
      <w:start w:val="1"/>
    </w:lvl>
  </w:abstractNum>
  <w:abstractNum w:abstractNumId="93">
    <w:nsid w:val="73D4D3C4"/>
    <w:multiLevelType w:val="hybridMultilevel"/>
    <w:lvl w:ilvl="0">
      <w:lvlJc w:val="left"/>
      <w:lvlText w:val="•"/>
      <w:numFmt w:val="bullet"/>
      <w:start w:val="1"/>
    </w:lvl>
  </w:abstractNum>
  <w:abstractNum w:abstractNumId="94">
    <w:nsid w:val="746F2E30"/>
    <w:multiLevelType w:val="hybridMultilevel"/>
    <w:lvl w:ilvl="0">
      <w:lvlJc w:val="left"/>
      <w:lvlText w:val="*"/>
      <w:numFmt w:val="bullet"/>
      <w:start w:val="1"/>
    </w:lvl>
  </w:abstractNum>
  <w:abstractNum w:abstractNumId="95">
    <w:nsid w:val="6FDE8AF6"/>
    <w:multiLevelType w:val="hybridMultilevel"/>
    <w:lvl w:ilvl="0">
      <w:lvlJc w:val="left"/>
      <w:lvlText w:val="(%1)"/>
      <w:numFmt w:val="decimal"/>
      <w:start w:val="1"/>
    </w:lvl>
  </w:abstractNum>
  <w:abstractNum w:abstractNumId="96">
    <w:nsid w:val="3FC32E20"/>
    <w:multiLevelType w:val="hybridMultilevel"/>
    <w:lvl w:ilvl="0">
      <w:lvlJc w:val="left"/>
      <w:lvlText w:val="•"/>
      <w:numFmt w:val="bullet"/>
      <w:start w:val="1"/>
    </w:lvl>
  </w:abstractNum>
  <w:abstractNum w:abstractNumId="97">
    <w:nsid w:val="49C0E823"/>
    <w:multiLevelType w:val="hybridMultilevel"/>
    <w:lvl w:ilvl="0">
      <w:lvlJc w:val="left"/>
      <w:lvlText w:val="•"/>
      <w:numFmt w:val="bullet"/>
      <w:start w:val="1"/>
    </w:lvl>
  </w:abstractNum>
  <w:abstractNum w:abstractNumId="98">
    <w:nsid w:val="14D53685"/>
    <w:multiLevelType w:val="hybridMultilevel"/>
    <w:lvl w:ilvl="0">
      <w:lvlJc w:val="left"/>
      <w:lvlText w:val="•"/>
      <w:numFmt w:val="bullet"/>
      <w:start w:val="1"/>
    </w:lvl>
  </w:abstractNum>
  <w:abstractNum w:abstractNumId="99">
    <w:nsid w:val="230F856C"/>
    <w:multiLevelType w:val="hybridMultilevel"/>
    <w:lvl w:ilvl="0">
      <w:lvlJc w:val="left"/>
      <w:lvlText w:val="•"/>
      <w:numFmt w:val="bullet"/>
      <w:start w:val="1"/>
    </w:lvl>
  </w:abstractNum>
  <w:abstractNum w:abstractNumId="100">
    <w:nsid w:val="6EAA85FB"/>
    <w:multiLevelType w:val="hybridMultilevel"/>
    <w:lvl w:ilvl="0">
      <w:lvlJc w:val="left"/>
      <w:lvlText w:val="•"/>
      <w:numFmt w:val="bullet"/>
      <w:start w:val="1"/>
    </w:lvl>
  </w:abstractNum>
  <w:abstractNum w:abstractNumId="101">
    <w:nsid w:val="3F06ECB2"/>
    <w:multiLevelType w:val="hybridMultilevel"/>
    <w:lvl w:ilvl="0">
      <w:lvlJc w:val="left"/>
      <w:lvlText w:val="•"/>
      <w:numFmt w:val="bullet"/>
      <w:start w:val="1"/>
    </w:lvl>
  </w:abstractNum>
  <w:abstractNum w:abstractNumId="102">
    <w:nsid w:val="3B594807"/>
    <w:multiLevelType w:val="hybridMultilevel"/>
    <w:lvl w:ilvl="0">
      <w:lvlJc w:val="left"/>
      <w:lvlText w:val="(%1)"/>
      <w:numFmt w:val="decimal"/>
      <w:start w:val="3"/>
    </w:lvl>
  </w:abstractNum>
  <w:abstractNum w:abstractNumId="103">
    <w:nsid w:val="6CAA2304"/>
    <w:multiLevelType w:val="hybridMultilevel"/>
    <w:lvl w:ilvl="0">
      <w:lvlJc w:val="left"/>
      <w:lvlText w:val="•"/>
      <w:numFmt w:val="bullet"/>
      <w:start w:val="1"/>
    </w:lvl>
  </w:abstractNum>
  <w:abstractNum w:abstractNumId="104">
    <w:nsid w:val="3F7C2FF4"/>
    <w:multiLevelType w:val="hybridMultilevel"/>
    <w:lvl w:ilvl="0">
      <w:lvlJc w:val="left"/>
      <w:lvlText w:val="•"/>
      <w:numFmt w:val="bullet"/>
      <w:start w:val="1"/>
    </w:lvl>
  </w:abstractNum>
  <w:abstractNum w:abstractNumId="105">
    <w:nsid w:val="25413BEC"/>
    <w:multiLevelType w:val="hybridMultilevel"/>
    <w:lvl w:ilvl="0">
      <w:lvlJc w:val="left"/>
      <w:lvlText w:val="•"/>
      <w:numFmt w:val="bullet"/>
      <w:start w:val="1"/>
    </w:lvl>
  </w:abstractNum>
  <w:abstractNum w:abstractNumId="106">
    <w:nsid w:val="17180B0B"/>
    <w:multiLevelType w:val="hybridMultilevel"/>
    <w:lvl w:ilvl="0">
      <w:lvlJc w:val="left"/>
      <w:lvlText w:val="•"/>
      <w:numFmt w:val="bullet"/>
      <w:start w:val="1"/>
    </w:lvl>
  </w:abstractNum>
  <w:abstractNum w:abstractNumId="107">
    <w:nsid w:val="579328B9"/>
    <w:multiLevelType w:val="hybridMultilevel"/>
    <w:lvl w:ilvl="0">
      <w:lvlJc w:val="left"/>
      <w:lvlText w:val="•"/>
      <w:numFmt w:val="bullet"/>
      <w:start w:val="1"/>
    </w:lvl>
  </w:abstractNum>
  <w:abstractNum w:abstractNumId="108">
    <w:nsid w:val="5D205E20"/>
    <w:multiLevelType w:val="hybridMultilevel"/>
    <w:lvl w:ilvl="0">
      <w:lvlJc w:val="left"/>
      <w:lvlText w:val="(%1)"/>
      <w:numFmt w:val="lowerLetter"/>
      <w:start w:val="1"/>
    </w:lvl>
  </w:abstractNum>
  <w:abstractNum w:abstractNumId="109">
    <w:nsid w:val="11CCA8BA"/>
    <w:multiLevelType w:val="hybridMultilevel"/>
    <w:lvl w:ilvl="0">
      <w:lvlJc w:val="left"/>
      <w:lvlText w:val="(%1)"/>
      <w:numFmt w:val="lowerLetter"/>
      <w:start w:val="1"/>
    </w:lvl>
  </w:abstractNum>
  <w:abstractNum w:abstractNumId="110">
    <w:nsid w:val="4D32AB86"/>
    <w:multiLevelType w:val="hybridMultilevel"/>
    <w:lvl w:ilvl="0">
      <w:lvlJc w:val="left"/>
      <w:lvlText w:val="(%1)"/>
      <w:numFmt w:val="lowerLetter"/>
      <w:start w:val="2"/>
    </w:lvl>
  </w:abstractNum>
  <w:abstractNum w:abstractNumId="111">
    <w:nsid w:val="3F07ACC3"/>
    <w:multiLevelType w:val="hybridMultilevel"/>
    <w:lvl w:ilvl="0">
      <w:lvlJc w:val="left"/>
      <w:lvlText w:val="•"/>
      <w:numFmt w:val="bullet"/>
      <w:start w:val="1"/>
    </w:lvl>
  </w:abstractNum>
  <w:abstractNum w:abstractNumId="112">
    <w:nsid w:val="6B47F63E"/>
    <w:multiLevelType w:val="hybridMultilevel"/>
    <w:lvl w:ilvl="0">
      <w:lvlJc w:val="left"/>
      <w:lvlText w:val="•"/>
      <w:numFmt w:val="bullet"/>
      <w:start w:val="1"/>
    </w:lvl>
  </w:abstractNum>
  <w:abstractNum w:abstractNumId="113">
    <w:nsid w:val="5CB44A05"/>
    <w:multiLevelType w:val="hybridMultilevel"/>
    <w:lvl w:ilvl="0">
      <w:lvlJc w:val="left"/>
      <w:lvlText w:val="•"/>
      <w:numFmt w:val="bullet"/>
      <w:start w:val="1"/>
    </w:lvl>
  </w:abstractNum>
  <w:abstractNum w:abstractNumId="114">
    <w:nsid w:val="16CF80F1"/>
    <w:multiLevelType w:val="hybridMultilevel"/>
    <w:lvl w:ilvl="0">
      <w:lvlJc w:val="left"/>
      <w:lvlText w:val="•"/>
      <w:numFmt w:val="bullet"/>
      <w:start w:val="1"/>
    </w:lvl>
  </w:abstractNum>
  <w:abstractNum w:abstractNumId="115">
    <w:nsid w:val="1C695DEC"/>
    <w:multiLevelType w:val="hybridMultilevel"/>
    <w:lvl w:ilvl="0">
      <w:lvlJc w:val="left"/>
      <w:lvlText w:val="•"/>
      <w:numFmt w:val="bullet"/>
      <w:start w:val="1"/>
    </w:lvl>
  </w:abstractNum>
  <w:abstractNum w:abstractNumId="116">
    <w:nsid w:val="3FCFAED9"/>
    <w:multiLevelType w:val="hybridMultilevel"/>
    <w:lvl w:ilvl="0">
      <w:lvlJc w:val="left"/>
      <w:lvlText w:val="*"/>
      <w:numFmt w:val="bullet"/>
      <w:start w:val="1"/>
    </w:lvl>
  </w:abstractNum>
  <w:abstractNum w:abstractNumId="117">
    <w:nsid w:val="F856867"/>
    <w:multiLevelType w:val="hybridMultilevel"/>
    <w:lvl w:ilvl="0">
      <w:lvlJc w:val="left"/>
      <w:lvlText w:val="†"/>
      <w:numFmt w:val="bullet"/>
      <w:start w:val="1"/>
    </w:lvl>
  </w:abstractNum>
  <w:abstractNum w:abstractNumId="118">
    <w:nsid w:val="11B1CC33"/>
    <w:multiLevelType w:val="hybridMultilevel"/>
    <w:lvl w:ilvl="0">
      <w:lvlJc w:val="left"/>
      <w:lvlText w:val="^"/>
      <w:numFmt w:val="bullet"/>
      <w:start w:val="1"/>
    </w:lvl>
  </w:abstractNum>
  <w:abstractNum w:abstractNumId="119">
    <w:nsid w:val="2E22FBB7"/>
    <w:multiLevelType w:val="hybridMultilevel"/>
    <w:lvl w:ilvl="0">
      <w:lvlJc w:val="left"/>
      <w:lvlText w:val="#"/>
      <w:numFmt w:val="bullet"/>
      <w:start w:val="1"/>
    </w:lvl>
  </w:abstractNum>
  <w:abstractNum w:abstractNumId="120">
    <w:nsid w:val="29934699"/>
    <w:multiLevelType w:val="hybridMultilevel"/>
    <w:lvl w:ilvl="0">
      <w:lvlJc w:val="left"/>
      <w:lvlText w:val="(%1)"/>
      <w:numFmt w:val="decimal"/>
      <w:start w:val="1"/>
    </w:lvl>
  </w:abstractNum>
  <w:abstractNum w:abstractNumId="121">
    <w:nsid w:val="77485850"/>
    <w:multiLevelType w:val="hybridMultilevel"/>
    <w:lvl w:ilvl="0">
      <w:lvlJc w:val="left"/>
      <w:lvlText w:val="%1"/>
      <w:numFmt w:val="lowerLetter"/>
      <w:start w:val="1"/>
    </w:lvl>
    <w:lvl w:ilvl="1">
      <w:lvlJc w:val="left"/>
      <w:lvlText w:val="%2."/>
      <w:numFmt w:val="decimal"/>
      <w:start w:val="1"/>
    </w:lvl>
  </w:abstractNum>
  <w:abstractNum w:abstractNumId="122">
    <w:nsid w:val="744939A3"/>
    <w:multiLevelType w:val="hybridMultilevel"/>
    <w:lvl w:ilvl="0">
      <w:lvlJc w:val="left"/>
      <w:lvlText w:val="(%1)"/>
      <w:numFmt w:val="lowerLetter"/>
      <w:start w:val="1"/>
    </w:lvl>
    <w:lvl w:ilvl="1">
      <w:lvlJc w:val="left"/>
      <w:lvlText w:val="%2"/>
      <w:numFmt w:val="decimal"/>
      <w:start w:val="1"/>
    </w:lvl>
  </w:abstractNum>
  <w:abstractNum w:abstractNumId="123">
    <w:nsid w:val="4FA0D2E3"/>
    <w:multiLevelType w:val="hybridMultilevel"/>
    <w:lvl w:ilvl="0">
      <w:lvlJc w:val="left"/>
      <w:lvlText w:val="(%1)"/>
      <w:numFmt w:val="lowerLetter"/>
      <w:start w:val="2"/>
    </w:lvl>
  </w:abstractNum>
  <w:abstractNum w:abstractNumId="124">
    <w:nsid w:val="6B1D2C14"/>
    <w:multiLevelType w:val="hybridMultilevel"/>
    <w:lvl w:ilvl="0">
      <w:lvlJc w:val="left"/>
      <w:lvlText w:val="(%1)"/>
      <w:numFmt w:val="lowerLetter"/>
      <w:start w:val="4"/>
    </w:lvl>
  </w:abstractNum>
  <w:abstractNum w:abstractNumId="125">
    <w:nsid w:val="68B867D3"/>
    <w:multiLevelType w:val="hybridMultilevel"/>
    <w:lvl w:ilvl="0">
      <w:lvlJc w:val="left"/>
      <w:lvlText w:val="(%1)"/>
      <w:numFmt w:val="lowerLetter"/>
      <w:start w:val="11"/>
    </w:lvl>
  </w:abstractNum>
  <w:abstractNum w:abstractNumId="126">
    <w:nsid w:val="3F7F5DD9"/>
    <w:multiLevelType w:val="hybridMultilevel"/>
    <w:lvl w:ilvl="0">
      <w:lvlJc w:val="left"/>
      <w:lvlText w:val="(%1)"/>
      <w:numFmt w:val="lowerLetter"/>
      <w:start w:val="16"/>
    </w:lvl>
  </w:abstractNum>
  <w:abstractNum w:abstractNumId="127">
    <w:nsid w:val="2AE05A34"/>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128">
    <w:nsid w:val="32794FF7"/>
    <w:multiLevelType w:val="hybridMultilevel"/>
    <w:lvl w:ilvl="0">
      <w:lvlJc w:val="left"/>
      <w:lvlText w:val="(%1)"/>
      <w:numFmt w:val="lowerLetter"/>
      <w:start w:val="22"/>
    </w:lvl>
  </w:abstractNum>
  <w:abstractNum w:abstractNumId="129">
    <w:nsid w:val="5454945E"/>
    <w:multiLevelType w:val="hybridMultilevel"/>
    <w:lvl w:ilvl="0">
      <w:lvlJc w:val="left"/>
      <w:lvlText w:val="(%1)"/>
      <w:numFmt w:val="lowerRoman"/>
      <w:start w:val="11"/>
    </w:lvl>
    <w:lvl w:ilvl="1">
      <w:lvlJc w:val="left"/>
      <w:lvlText w:val="(%2)"/>
      <w:numFmt w:val="lowerRoman"/>
      <w:start w:val="10"/>
    </w:lvl>
  </w:abstractNum>
  <w:abstractNum w:abstractNumId="130">
    <w:nsid w:val="4DEFDFA0"/>
    <w:multiLevelType w:val="hybridMultilevel"/>
    <w:lvl w:ilvl="0">
      <w:lvlJc w:val="left"/>
      <w:lvlText w:val="(%1)"/>
      <w:numFmt w:val="lowerRoman"/>
      <w:start w:val="2"/>
    </w:lvl>
    <w:lvl w:ilvl="1">
      <w:lvlJc w:val="left"/>
      <w:lvlText w:val="%2"/>
      <w:numFmt w:val="lowerRoman"/>
      <w:start w:val="1"/>
    </w:lvl>
  </w:abstractNum>
  <w:abstractNum w:abstractNumId="131">
    <w:nsid w:val="2123D5F2"/>
    <w:multiLevelType w:val="hybridMultilevel"/>
    <w:lvl w:ilvl="0">
      <w:lvlJc w:val="left"/>
      <w:lvlText w:val="(%1)"/>
      <w:numFmt w:val="lowerLetter"/>
      <w:start w:val="25"/>
    </w:lvl>
  </w:abstractNum>
  <w:abstractNum w:abstractNumId="132">
    <w:nsid w:val="135B8110"/>
    <w:multiLevelType w:val="hybridMultilevel"/>
    <w:lvl w:ilvl="0">
      <w:lvlJc w:val="left"/>
      <w:lvlText w:val="(%1)"/>
      <w:numFmt w:val="lowerLetter"/>
      <w:start w:val="27"/>
    </w:lvl>
  </w:abstractNum>
  <w:abstractNum w:abstractNumId="133">
    <w:nsid w:val="94927A8"/>
    <w:multiLevelType w:val="hybridMultilevel"/>
    <w:lvl w:ilvl="0">
      <w:lvlJc w:val="left"/>
      <w:lvlText w:val="(%1)"/>
      <w:numFmt w:val="lowerLetter"/>
      <w:start w:val="28"/>
    </w:lvl>
    <w:lvl w:ilvl="1">
      <w:lvlJc w:val="left"/>
      <w:lvlText w:val="(%2)"/>
      <w:numFmt w:val="lowerRoman"/>
      <w:start w:val="1"/>
    </w:lvl>
  </w:abstractNum>
  <w:abstractNum w:abstractNumId="134">
    <w:nsid w:val="DCDF8F6"/>
    <w:multiLevelType w:val="hybridMultilevel"/>
    <w:lvl w:ilvl="0">
      <w:lvlJc w:val="left"/>
      <w:lvlText w:val="%1"/>
      <w:numFmt w:val="lowerRoman"/>
      <w:start w:val="1"/>
    </w:lvl>
    <w:lvl w:ilvl="1">
      <w:lvlJc w:val="left"/>
      <w:lvlText w:val="(%2)"/>
      <w:numFmt w:val="lowerRoman"/>
      <w:start w:val="4"/>
    </w:lvl>
  </w:abstractNum>
  <w:abstractNum w:abstractNumId="135">
    <w:nsid w:val="52D7B105"/>
    <w:multiLevelType w:val="hybridMultilevel"/>
    <w:lvl w:ilvl="0">
      <w:lvlJc w:val="left"/>
      <w:lvlText w:val="(%1)"/>
      <w:numFmt w:val="lowerRoman"/>
      <w:start w:val="1"/>
    </w:lvl>
    <w:lvl w:ilvl="1">
      <w:lvlJc w:val="left"/>
      <w:lvlText w:val="%2"/>
      <w:numFmt w:val="lowerRoman"/>
      <w:start w:val="1"/>
    </w:lvl>
  </w:abstractNum>
  <w:abstractNum w:abstractNumId="136">
    <w:nsid w:val="2E8A6394"/>
    <w:multiLevelType w:val="hybridMultilevel"/>
    <w:lvl w:ilvl="0">
      <w:lvlJc w:val="left"/>
      <w:lvlText w:val="(%1)"/>
      <w:numFmt w:val="lowerLetter"/>
      <w:start w:val="30"/>
    </w:lvl>
  </w:abstractNum>
  <w:abstractNum w:abstractNumId="137">
    <w:nsid w:val="24E60401"/>
    <w:multiLevelType w:val="hybridMultilevel"/>
    <w:lvl w:ilvl="0">
      <w:lvlJc w:val="left"/>
      <w:lvlText w:val="%1"/>
      <w:numFmt w:val="lowerLetter"/>
      <w:start w:val="1"/>
    </w:lvl>
    <w:lvl w:ilvl="1">
      <w:lvlJc w:val="left"/>
      <w:lvlText w:val="(%2)"/>
      <w:numFmt w:val="lowerLetter"/>
      <w:start w:val="31"/>
    </w:lvl>
  </w:abstractNum>
  <w:abstractNum w:abstractNumId="138">
    <w:nsid w:val="2A6AD9BE"/>
    <w:multiLevelType w:val="hybridMultilevel"/>
    <w:lvl w:ilvl="0">
      <w:lvlJc w:val="left"/>
      <w:lvlText w:val="(%1)"/>
      <w:numFmt w:val="lowerLetter"/>
      <w:start w:val="25"/>
    </w:lvl>
    <w:lvl w:ilvl="1">
      <w:lvlJc w:val="left"/>
      <w:lvlText w:val="%2"/>
      <w:numFmt w:val="lowerLetter"/>
      <w:start w:val="1"/>
    </w:lvl>
  </w:abstractNum>
  <w:abstractNum w:abstractNumId="139">
    <w:nsid w:val="BAAC1B4"/>
    <w:multiLevelType w:val="hybridMultilevel"/>
    <w:lvl w:ilvl="0">
      <w:lvlJc w:val="left"/>
      <w:lvlText w:val="(%1)"/>
      <w:numFmt w:val="lowerLetter"/>
      <w:start w:val="34"/>
    </w:lvl>
  </w:abstractNum>
  <w:abstractNum w:abstractNumId="140">
    <w:nsid w:val="36B2ACBC"/>
    <w:multiLevelType w:val="hybridMultilevel"/>
    <w:lvl w:ilvl="0">
      <w:lvlJc w:val="left"/>
      <w:lvlText w:val="(%1)"/>
      <w:numFmt w:val="lowerLetter"/>
      <w:start w:val="38"/>
    </w:lvl>
  </w:abstractNum>
  <w:abstractNum w:abstractNumId="141">
    <w:nsid w:val="779D8544"/>
    <w:multiLevelType w:val="hybridMultilevel"/>
    <w:lvl w:ilvl="0">
      <w:lvlJc w:val="left"/>
      <w:lvlText w:val="(%1)"/>
      <w:numFmt w:val="lowerLetter"/>
      <w:start w:val="43"/>
    </w:lvl>
  </w:abstractNum>
  <w:abstractNum w:abstractNumId="142">
    <w:nsid w:val="4AB26E78"/>
    <w:multiLevelType w:val="hybridMultilevel"/>
    <w:lvl w:ilvl="0">
      <w:lvlJc w:val="left"/>
      <w:lvlText w:val="%1."/>
      <w:numFmt w:val="decimal"/>
      <w:start w:val="2"/>
    </w:lvl>
  </w:abstractNum>
  <w:abstractNum w:abstractNumId="143">
    <w:nsid w:val="21FAA2FA"/>
    <w:multiLevelType w:val="hybridMultilevel"/>
    <w:lvl w:ilvl="0">
      <w:lvlJc w:val="left"/>
      <w:lvlText w:val="%1."/>
      <w:numFmt w:val="decimal"/>
      <w:start w:val="3"/>
    </w:lvl>
  </w:abstractNum>
  <w:abstractNum w:abstractNumId="144">
    <w:nsid w:val="5451CF49"/>
    <w:multiLevelType w:val="hybridMultilevel"/>
    <w:lvl w:ilvl="0">
      <w:lvlJc w:val="left"/>
      <w:lvlText w:val="%1."/>
      <w:numFmt w:val="decimal"/>
      <w:start w:val="4"/>
    </w:lvl>
  </w:abstractNum>
  <w:abstractNum w:abstractNumId="145">
    <w:nsid w:val="6181EF69"/>
    <w:multiLevelType w:val="hybridMultilevel"/>
    <w:lvl w:ilvl="0">
      <w:lvlJc w:val="left"/>
      <w:lvlText w:val="%1."/>
      <w:numFmt w:val="decimal"/>
      <w:start w:val="5"/>
    </w:lvl>
  </w:abstractNum>
  <w:abstractNum w:abstractNumId="146">
    <w:nsid w:val="3E6400E6"/>
    <w:multiLevelType w:val="hybridMultilevel"/>
    <w:lvl w:ilvl="0">
      <w:lvlJc w:val="left"/>
      <w:lvlText w:val="(%1)"/>
      <w:numFmt w:val="lowerLetter"/>
      <w:start w:val="1"/>
    </w:lvl>
    <w:lvl w:ilvl="1">
      <w:lvlJc w:val="left"/>
      <w:lvlText w:val="(%2)"/>
      <w:numFmt w:val="lowerRoman"/>
      <w:start w:val="1"/>
    </w:lvl>
  </w:abstractNum>
  <w:abstractNum w:abstractNumId="147">
    <w:nsid w:val="14217E23"/>
    <w:multiLevelType w:val="hybridMultilevel"/>
    <w:lvl w:ilvl="0">
      <w:lvlJc w:val="left"/>
      <w:lvlText w:val="(%1)"/>
      <w:numFmt w:val="lowerLetter"/>
      <w:start w:val="2"/>
    </w:lvl>
  </w:abstractNum>
  <w:abstractNum w:abstractNumId="148">
    <w:nsid w:val="710757D0"/>
    <w:multiLevelType w:val="hybridMultilevel"/>
    <w:lvl w:ilvl="0">
      <w:lvlJc w:val="left"/>
      <w:lvlText w:val="(%1)"/>
      <w:numFmt w:val="lowerLetter"/>
      <w:start w:val="3"/>
    </w:lvl>
  </w:abstractNum>
  <w:abstractNum w:abstractNumId="149">
    <w:nsid w:val="5015CD1A"/>
    <w:multiLevelType w:val="hybridMultilevel"/>
    <w:lvl w:ilvl="0">
      <w:lvlJc w:val="left"/>
      <w:lvlText w:val="(%1)"/>
      <w:numFmt w:val="lowerLetter"/>
      <w:start w:val="7"/>
    </w:lvl>
  </w:abstractNum>
  <w:abstractNum w:abstractNumId="150">
    <w:nsid w:val="424479DA"/>
    <w:multiLevelType w:val="hybridMultilevel"/>
    <w:lvl w:ilvl="0">
      <w:lvlJc w:val="left"/>
      <w:lvlText w:val="(%1)"/>
      <w:numFmt w:val="lowerLetter"/>
      <w:start w:val="8"/>
    </w:lvl>
    <w:lvl w:ilvl="1">
      <w:lvlJc w:val="left"/>
      <w:lvlText w:val="(%2)"/>
      <w:numFmt w:val="lowerRoman"/>
      <w:start w:val="1"/>
    </w:lvl>
  </w:abstractNum>
  <w:abstractNum w:abstractNumId="151">
    <w:nsid w:val="1A9A9E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52">
    <w:nsid w:val="475E256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3">
    <w:nsid w:val="368DB37E"/>
    <w:multiLevelType w:val="hybridMultilevel"/>
    <w:lvl w:ilvl="0">
      <w:lvlJc w:val="left"/>
      <w:lvlText w:val="(%1)"/>
      <w:numFmt w:val="lowerLetter"/>
      <w:start w:val="3"/>
    </w:lvl>
  </w:abstractNum>
  <w:abstractNum w:abstractNumId="154">
    <w:nsid w:val="6A3B714C"/>
    <w:multiLevelType w:val="hybridMultilevel"/>
    <w:lvl w:ilvl="0">
      <w:lvlJc w:val="left"/>
      <w:lvlText w:val="(%1)"/>
      <w:numFmt w:val="lowerLetter"/>
      <w:start w:val="7"/>
    </w:lvl>
  </w:abstractNum>
  <w:abstractNum w:abstractNumId="155">
    <w:nsid w:val="327B517E"/>
    <w:multiLevelType w:val="hybridMultilevel"/>
    <w:lvl w:ilvl="0">
      <w:lvlJc w:val="left"/>
      <w:lvlText w:val="(%1)"/>
      <w:numFmt w:val="lowerRoman"/>
      <w:start w:val="8"/>
    </w:lvl>
    <w:lvl w:ilvl="1">
      <w:lvlJc w:val="left"/>
      <w:lvlText w:val="(%2)"/>
      <w:numFmt w:val="lowerLetter"/>
      <w:start w:val="11"/>
    </w:lvl>
  </w:abstractNum>
  <w:abstractNum w:abstractNumId="156">
    <w:nsid w:val="1F461B51"/>
    <w:multiLevelType w:val="hybridMultilevel"/>
    <w:lvl w:ilvl="0">
      <w:lvlJc w:val="left"/>
      <w:lvlText w:val="(%1)"/>
      <w:numFmt w:val="lowerLetter"/>
      <w:start w:val="13"/>
    </w:lvl>
  </w:abstractNum>
  <w:abstractNum w:abstractNumId="157">
    <w:nsid w:val="29BACF25"/>
    <w:multiLevelType w:val="hybridMultilevel"/>
    <w:lvl w:ilvl="0">
      <w:lvlJc w:val="left"/>
      <w:lvlText w:val="(%1)"/>
      <w:numFmt w:val="decimal"/>
      <w:start w:val="1"/>
    </w:lvl>
  </w:abstractNum>
  <w:abstractNum w:abstractNumId="158">
    <w:nsid w:val="5D5BABB3"/>
    <w:multiLevelType w:val="hybridMultilevel"/>
    <w:lvl w:ilvl="0">
      <w:lvlJc w:val="left"/>
      <w:lvlText w:val="%1."/>
      <w:numFmt w:val="decimal"/>
      <w:start w:val="7"/>
    </w:lvl>
  </w:abstractNum>
  <w:abstractNum w:abstractNumId="159">
    <w:nsid w:val="51BF6B48"/>
    <w:multiLevelType w:val="hybridMultilevel"/>
    <w:lvl w:ilvl="0">
      <w:lvlJc w:val="left"/>
      <w:lvlText w:val="(%1)"/>
      <w:numFmt w:val="lowerLetter"/>
      <w:start w:val="2"/>
    </w:lvl>
  </w:abstractNum>
  <w:abstractNum w:abstractNumId="160">
    <w:nsid w:val="7E0F6384"/>
    <w:multiLevelType w:val="hybridMultilevel"/>
    <w:lvl w:ilvl="0">
      <w:lvlJc w:val="left"/>
      <w:lvlText w:val="(%1)"/>
      <w:numFmt w:val="lowerLetter"/>
      <w:start w:val="9"/>
    </w:lvl>
    <w:lvl w:ilvl="1">
      <w:lvlJc w:val="left"/>
      <w:lvlText w:val="(%2)"/>
      <w:numFmt w:val="lowerLetter"/>
      <w:start w:val="4"/>
    </w:lvl>
  </w:abstractNum>
  <w:abstractNum w:abstractNumId="161">
    <w:nsid w:val="2B4B8B53"/>
    <w:multiLevelType w:val="hybridMultilevel"/>
    <w:lvl w:ilvl="0">
      <w:lvlJc w:val="left"/>
      <w:lvlText w:val="%1"/>
      <w:numFmt w:val="lowerLetter"/>
      <w:start w:val="1"/>
    </w:lvl>
    <w:lvl w:ilvl="1">
      <w:lvlJc w:val="left"/>
      <w:lvlText w:val="(%2)"/>
      <w:numFmt w:val="lowerLetter"/>
      <w:start w:val="5"/>
    </w:lvl>
  </w:abstractNum>
  <w:abstractNum w:abstractNumId="162">
    <w:nsid w:val="72E3413A"/>
    <w:multiLevelType w:val="hybridMultilevel"/>
    <w:lvl w:ilvl="0">
      <w:lvlJc w:val="left"/>
      <w:lvlText w:val="(%1)"/>
      <w:numFmt w:val="lowerLetter"/>
      <w:start w:val="35"/>
    </w:lvl>
    <w:lvl w:ilvl="1">
      <w:lvlJc w:val="left"/>
      <w:lvlText w:val="%2"/>
      <w:numFmt w:val="lowerLetter"/>
      <w:start w:val="1"/>
    </w:lvl>
  </w:abstractNum>
  <w:abstractNum w:abstractNumId="163">
    <w:nsid w:val="116AE494"/>
    <w:multiLevelType w:val="hybridMultilevel"/>
    <w:lvl w:ilvl="0">
      <w:lvlJc w:val="left"/>
      <w:lvlText w:val="%1."/>
      <w:numFmt w:val="decimal"/>
      <w:start w:val="9"/>
    </w:lvl>
  </w:abstractNum>
  <w:abstractNum w:abstractNumId="164">
    <w:nsid w:val="3494B2FB"/>
    <w:multiLevelType w:val="hybridMultilevel"/>
    <w:lvl w:ilvl="0">
      <w:lvlJc w:val="left"/>
      <w:lvlText w:val="(%1)"/>
      <w:numFmt w:val="lowerLetter"/>
      <w:start w:val="2"/>
    </w:lvl>
  </w:abstractNum>
  <w:abstractNum w:abstractNumId="165">
    <w:nsid w:val="B13A31"/>
    <w:multiLevelType w:val="hybridMultilevel"/>
    <w:lvl w:ilvl="0">
      <w:lvlJc w:val="left"/>
      <w:lvlText w:val="(%1)"/>
      <w:numFmt w:val="lowerLetter"/>
      <w:start w:val="3"/>
    </w:lvl>
  </w:abstractNum>
  <w:abstractNum w:abstractNumId="166">
    <w:nsid w:val="64429599"/>
    <w:multiLevelType w:val="hybridMultilevel"/>
    <w:lvl w:ilvl="0">
      <w:lvlJc w:val="left"/>
      <w:lvlText w:val="%1"/>
      <w:numFmt w:val="lowerLetter"/>
      <w:start w:val="1"/>
    </w:lvl>
    <w:lvl w:ilvl="1">
      <w:lvlJc w:val="left"/>
      <w:lvlText w:val="(%2)"/>
      <w:numFmt w:val="lowerLetter"/>
      <w:start w:val="5"/>
    </w:lvl>
  </w:abstractNum>
  <w:abstractNum w:abstractNumId="167">
    <w:nsid w:val="631F1690"/>
    <w:multiLevelType w:val="hybridMultilevel"/>
    <w:lvl w:ilvl="0">
      <w:lvlJc w:val="left"/>
      <w:lvlText w:val="(%1)"/>
      <w:numFmt w:val="lowerLetter"/>
      <w:start w:val="9"/>
    </w:lvl>
    <w:lvl w:ilvl="1">
      <w:lvlJc w:val="left"/>
      <w:lvlText w:val="%2"/>
      <w:numFmt w:val="lowerLetter"/>
      <w:start w:val="1"/>
    </w:lvl>
  </w:abstractNum>
  <w:abstractNum w:abstractNumId="168">
    <w:nsid w:val="25973E32"/>
    <w:multiLevelType w:val="hybridMultilevel"/>
    <w:lvl w:ilvl="0">
      <w:lvlJc w:val="left"/>
      <w:lvlText w:val="%1"/>
      <w:numFmt w:val="lowerRoman"/>
      <w:start w:val="1"/>
    </w:lvl>
    <w:lvl w:ilvl="1">
      <w:lvlJc w:val="left"/>
      <w:lvlText w:val="%2."/>
      <w:numFmt w:val="decimal"/>
      <w:start w:val="10"/>
    </w:lvl>
  </w:abstractNum>
  <w:abstractNum w:abstractNumId="169">
    <w:nsid w:val="EAD6F57"/>
    <w:multiLevelType w:val="hybridMultilevel"/>
    <w:lvl w:ilvl="0">
      <w:lvlJc w:val="left"/>
      <w:lvlText w:val="(%1)"/>
      <w:numFmt w:val="lowerRoman"/>
      <w:start w:val="3"/>
    </w:lvl>
    <w:lvl w:ilvl="1">
      <w:lvlJc w:val="left"/>
      <w:lvlText w:val="%2."/>
      <w:numFmt w:val="decimal"/>
      <w:start w:val="11"/>
    </w:lvl>
  </w:abstractNum>
  <w:abstractNum w:abstractNumId="170">
    <w:nsid w:val="6EC9D844"/>
    <w:multiLevelType w:val="hybridMultilevel"/>
    <w:lvl w:ilvl="0">
      <w:lvlJc w:val="left"/>
      <w:lvlText w:val="%1."/>
      <w:numFmt w:val="decimal"/>
      <w:start w:val="12"/>
    </w:lvl>
    <w:lvl w:ilvl="1">
      <w:lvlJc w:val="left"/>
      <w:lvlText w:val="(%2)"/>
      <w:numFmt w:val="lowerLetter"/>
      <w:start w:val="2"/>
    </w:lvl>
  </w:abstractNum>
  <w:abstractNum w:abstractNumId="171">
    <w:nsid w:val="5C49EAEE"/>
    <w:multiLevelType w:val="hybridMultilevel"/>
    <w:lvl w:ilvl="0">
      <w:lvlJc w:val="left"/>
      <w:lvlText w:val="%1."/>
      <w:numFmt w:val="decimal"/>
      <w:start w:val="13"/>
    </w:lvl>
    <w:lvl w:ilvl="1">
      <w:lvlJc w:val="left"/>
      <w:lvlText w:val="(%2)"/>
      <w:numFmt w:val="lowerLetter"/>
      <w:start w:val="2"/>
    </w:lvl>
  </w:abstractNum>
  <w:abstractNum w:abstractNumId="172">
    <w:nsid w:val="64AF49B"/>
    <w:multiLevelType w:val="hybridMultilevel"/>
    <w:lvl w:ilvl="0">
      <w:lvlJc w:val="left"/>
      <w:lvlText w:val="%1."/>
      <w:numFmt w:val="decimal"/>
      <w:start w:val="14"/>
    </w:lvl>
  </w:abstractNum>
  <w:abstractNum w:abstractNumId="173">
    <w:nsid w:val="397C46BC"/>
    <w:multiLevelType w:val="hybridMultilevel"/>
    <w:lvl w:ilvl="0">
      <w:lvlJc w:val="left"/>
      <w:lvlText w:val="%1."/>
      <w:numFmt w:val="decimal"/>
      <w:start w:val="17"/>
    </w:lvl>
  </w:abstractNum>
  <w:abstractNum w:abstractNumId="174">
    <w:nsid w:val="7E448DE9"/>
    <w:multiLevelType w:val="hybridMultilevel"/>
    <w:lvl w:ilvl="0">
      <w:lvlJc w:val="left"/>
      <w:lvlText w:val="%1."/>
      <w:numFmt w:val="decimal"/>
      <w:start w:val="1"/>
    </w:lvl>
  </w:abstractNum>
  <w:abstractNum w:abstractNumId="175">
    <w:nsid w:val="5A9CC3E5"/>
    <w:multiLevelType w:val="hybridMultilevel"/>
    <w:lvl w:ilvl="0">
      <w:lvlJc w:val="left"/>
      <w:lvlText w:val="%1"/>
      <w:numFmt w:val="lowerLetter"/>
      <w:start w:val="1"/>
    </w:lvl>
    <w:lvl w:ilvl="1">
      <w:lvlJc w:val="left"/>
      <w:lvlText w:val="(%2)"/>
      <w:numFmt w:val="lowerLetter"/>
      <w:start w:val="1"/>
    </w:lvl>
  </w:abstractNum>
  <w:abstractNum w:abstractNumId="176">
    <w:nsid w:val="1AFE3625"/>
    <w:multiLevelType w:val="hybridMultilevel"/>
    <w:lvl w:ilvl="0">
      <w:lvlJc w:val="left"/>
      <w:lvlText w:val="(%1)"/>
      <w:numFmt w:val="lowerLetter"/>
      <w:start w:val="9"/>
    </w:lvl>
    <w:lvl w:ilvl="1">
      <w:lvlJc w:val="left"/>
      <w:lvlText w:val="(%2)"/>
      <w:numFmt w:val="lowerLetter"/>
      <w:start w:val="3"/>
    </w:lvl>
  </w:abstractNum>
  <w:abstractNum w:abstractNumId="177">
    <w:nsid w:val="3CA88ECF"/>
    <w:multiLevelType w:val="hybridMultilevel"/>
    <w:lvl w:ilvl="0">
      <w:lvlJc w:val="left"/>
      <w:lvlText w:val="(%1)"/>
      <w:numFmt w:val="lowerLetter"/>
      <w:start w:val="4"/>
    </w:lvl>
  </w:abstractNum>
  <w:abstractNum w:abstractNumId="178">
    <w:nsid w:val="6EBE4208"/>
    <w:multiLevelType w:val="hybridMultilevel"/>
    <w:lvl w:ilvl="0">
      <w:lvlJc w:val="left"/>
      <w:lvlText w:val="(%1)"/>
      <w:numFmt w:val="lowerLetter"/>
      <w:start w:val="8"/>
    </w:lvl>
  </w:abstractNum>
  <w:abstractNum w:abstractNumId="179">
    <w:nsid w:val="C058DF5"/>
    <w:multiLevelType w:val="hybridMultilevel"/>
    <w:lvl w:ilvl="0">
      <w:lvlJc w:val="left"/>
      <w:lvlText w:val="(%1)"/>
      <w:numFmt w:val="lowerRoman"/>
      <w:start w:val="1"/>
    </w:lvl>
  </w:abstractNum>
  <w:abstractNum w:abstractNumId="180">
    <w:nsid w:val="CBE5BE9"/>
    <w:multiLevelType w:val="hybridMultilevel"/>
    <w:lvl w:ilvl="0">
      <w:lvlJc w:val="left"/>
      <w:lvlText w:val="(%1)"/>
      <w:numFmt w:val="lowerRoman"/>
      <w:start w:val="4"/>
    </w:lvl>
  </w:abstractNum>
  <w:abstractNum w:abstractNumId="181">
    <w:nsid w:val="3102BBE2"/>
    <w:multiLevelType w:val="hybridMultilevel"/>
    <w:lvl w:ilvl="0">
      <w:lvlJc w:val="left"/>
      <w:lvlText w:val="%1."/>
      <w:numFmt w:val="decimal"/>
      <w:start w:val="1"/>
    </w:lvl>
  </w:abstractNum>
  <w:abstractNum w:abstractNumId="182">
    <w:nsid w:val="26A02C5E"/>
    <w:multiLevelType w:val="hybridMultilevel"/>
    <w:lvl w:ilvl="0">
      <w:lvlJc w:val="left"/>
      <w:lvlText w:val="%1."/>
      <w:numFmt w:val="decimal"/>
      <w:start w:val="1"/>
    </w:lvl>
  </w:abstractNum>
  <w:abstractNum w:abstractNumId="183">
    <w:nsid w:val="541C8153"/>
    <w:multiLevelType w:val="hybridMultilevel"/>
    <w:lvl w:ilvl="0">
      <w:lvlJc w:val="left"/>
      <w:lvlText w:val="%1."/>
      <w:numFmt w:val="decimal"/>
      <w:start w:val="2"/>
    </w:lvl>
  </w:abstractNum>
  <w:abstractNum w:abstractNumId="184">
    <w:nsid w:val="67906F60"/>
    <w:multiLevelType w:val="hybridMultilevel"/>
    <w:lvl w:ilvl="0">
      <w:lvlJc w:val="left"/>
      <w:lvlText w:val="%1."/>
      <w:numFmt w:val="decimal"/>
      <w:start w:val="1"/>
    </w:lvl>
  </w:abstractNum>
  <w:abstractNum w:abstractNumId="185">
    <w:nsid w:val="10DB9DAA"/>
    <w:multiLevelType w:val="hybridMultilevel"/>
    <w:lvl w:ilvl="0">
      <w:lvlJc w:val="left"/>
      <w:lvlText w:val="%1"/>
      <w:numFmt w:val="lowerLetter"/>
      <w:start w:val="1"/>
    </w:lvl>
    <w:lvl w:ilvl="1">
      <w:lvlJc w:val="left"/>
      <w:lvlText w:val="%2."/>
      <w:numFmt w:val="decimal"/>
      <w:start w:val="3"/>
    </w:lvl>
  </w:abstractNum>
  <w:abstractNum w:abstractNumId="186">
    <w:nsid w:val="697D2D2"/>
    <w:multiLevelType w:val="hybridMultilevel"/>
    <w:lvl w:ilvl="0">
      <w:lvlJc w:val="left"/>
      <w:lvlText w:val="(%1)"/>
      <w:numFmt w:val="lowerLetter"/>
      <w:start w:val="2"/>
    </w:lvl>
    <w:lvl w:ilvl="1">
      <w:lvlJc w:val="left"/>
      <w:lvlText w:val="%2."/>
      <w:numFmt w:val="decimal"/>
      <w:start w:val="5"/>
    </w:lvl>
  </w:abstractNum>
  <w:abstractNum w:abstractNumId="187">
    <w:nsid w:val="6D68AB2"/>
    <w:multiLevelType w:val="hybridMultilevel"/>
    <w:lvl w:ilvl="0">
      <w:lvlJc w:val="left"/>
      <w:lvlText w:val="(%1)"/>
      <w:numFmt w:val="lowerLetter"/>
      <w:start w:val="1"/>
    </w:lvl>
    <w:lvl w:ilvl="1">
      <w:lvlJc w:val="left"/>
      <w:lvlText w:val="%2"/>
      <w:numFmt w:val="decimal"/>
      <w:start w:val="1"/>
    </w:lvl>
  </w:abstractNum>
  <w:abstractNum w:abstractNumId="188">
    <w:nsid w:val="3A966CD0"/>
    <w:multiLevelType w:val="hybridMultilevel"/>
    <w:lvl w:ilvl="0">
      <w:lvlJc w:val="left"/>
      <w:lvlText w:val="%1."/>
      <w:numFmt w:val="decimal"/>
      <w:start w:val="6"/>
    </w:lvl>
  </w:abstractNum>
  <w:abstractNum w:abstractNumId="189">
    <w:nsid w:val="63F37E85"/>
    <w:multiLevelType w:val="hybridMultilevel"/>
    <w:lvl w:ilvl="0">
      <w:lvlJc w:val="left"/>
      <w:lvlText w:val="%1."/>
      <w:numFmt w:val="decimal"/>
      <w:start w:val="1"/>
    </w:lvl>
  </w:abstractNum>
  <w:abstractNum w:abstractNumId="190">
    <w:nsid w:val="5895F5FA"/>
    <w:multiLevelType w:val="hybridMultilevel"/>
    <w:lvl w:ilvl="0">
      <w:lvlJc w:val="left"/>
      <w:lvlText w:val="%1."/>
      <w:numFmt w:val="decimal"/>
      <w:start w:val="1"/>
    </w:lvl>
  </w:abstractNum>
  <w:abstractNum w:abstractNumId="191">
    <w:nsid w:val="38A5D054"/>
    <w:multiLevelType w:val="hybridMultilevel"/>
    <w:lvl w:ilvl="0">
      <w:lvlJc w:val="left"/>
      <w:lvlText w:val="(%1)"/>
      <w:numFmt w:val="lowerLetter"/>
      <w:start w:val="4"/>
    </w:lvl>
  </w:abstractNum>
  <w:abstractNum w:abstractNumId="192">
    <w:nsid w:val="F3F09D8"/>
    <w:multiLevelType w:val="hybridMultilevel"/>
    <w:lvl w:ilvl="0">
      <w:lvlJc w:val="left"/>
      <w:lvlText w:val="(%1)"/>
      <w:numFmt w:val="lowerLetter"/>
      <w:start w:val="6"/>
    </w:lvl>
  </w:abstractNum>
  <w:abstractNum w:abstractNumId="193">
    <w:nsid w:val="4B793735"/>
    <w:multiLevelType w:val="hybridMultilevel"/>
    <w:lvl w:ilvl="0">
      <w:lvlJc w:val="left"/>
      <w:lvlText w:val="(%1)"/>
      <w:numFmt w:val="lowerLetter"/>
      <w:start w:val="1"/>
    </w:lvl>
  </w:abstractNum>
  <w:abstractNum w:abstractNumId="194">
    <w:nsid w:val="4A10B4E8"/>
    <w:multiLevelType w:val="hybridMultilevel"/>
    <w:lvl w:ilvl="0">
      <w:lvlJc w:val="left"/>
      <w:lvlText w:val="(%1)"/>
      <w:numFmt w:val="lowerLetter"/>
      <w:start w:val="2"/>
    </w:lvl>
    <w:lvl w:ilvl="1">
      <w:lvlJc w:val="left"/>
      <w:lvlText w:val="(%2)"/>
      <w:numFmt w:val="lowerRoman"/>
      <w:start w:val="1"/>
    </w:lvl>
  </w:abstractNum>
  <w:abstractNum w:abstractNumId="195">
    <w:nsid w:val="43D3BCD4"/>
    <w:multiLevelType w:val="hybridMultilevel"/>
    <w:lvl w:ilvl="0">
      <w:lvlJc w:val="left"/>
      <w:lvlText w:val="(%1)"/>
      <w:numFmt w:val="lowerLetter"/>
      <w:start w:val="3"/>
    </w:lvl>
    <w:lvl w:ilvl="1">
      <w:lvlJc w:val="left"/>
      <w:lvlText w:val="(%2)"/>
      <w:numFmt w:val="lowerRoman"/>
      <w:start w:val="1"/>
    </w:lvl>
  </w:abstractNum>
  <w:abstractNum w:abstractNumId="196">
    <w:nsid w:val="4C2A7166"/>
    <w:multiLevelType w:val="hybridMultilevel"/>
    <w:lvl w:ilvl="0">
      <w:lvlJc w:val="left"/>
      <w:lvlText w:val="%1"/>
      <w:numFmt w:val="lowerLetter"/>
      <w:start w:val="1"/>
    </w:lvl>
    <w:lvl w:ilvl="1">
      <w:lvlJc w:val="left"/>
      <w:lvlText w:val="(%2)"/>
      <w:numFmt w:val="lowerRoman"/>
      <w:start w:val="3"/>
    </w:lvl>
  </w:abstractNum>
  <w:abstractNum w:abstractNumId="197">
    <w:nsid w:val="2E534A82"/>
    <w:multiLevelType w:val="hybridMultilevel"/>
    <w:lvl w:ilvl="0">
      <w:lvlJc w:val="left"/>
      <w:lvlText w:val="(%1)"/>
      <w:numFmt w:val="lowerLetter"/>
      <w:start w:val="4"/>
    </w:lvl>
    <w:lvl w:ilvl="1">
      <w:lvlJc w:val="left"/>
      <w:lvlText w:val="(%2)"/>
      <w:numFmt w:val="lowerRoman"/>
      <w:start w:val="1"/>
    </w:lvl>
  </w:abstractNum>
  <w:abstractNum w:abstractNumId="198">
    <w:nsid w:val="26F2D364"/>
    <w:multiLevelType w:val="hybridMultilevel"/>
    <w:lvl w:ilvl="0">
      <w:lvlJc w:val="left"/>
      <w:lvlText w:val="(%1)"/>
      <w:numFmt w:val="lowerLetter"/>
      <w:start w:val="5"/>
    </w:lvl>
    <w:lvl w:ilvl="1">
      <w:lvlJc w:val="left"/>
      <w:lvlText w:val="(%2)"/>
      <w:numFmt w:val="lowerRoman"/>
      <w:start w:val="1"/>
    </w:lvl>
  </w:abstractNum>
  <w:abstractNum w:abstractNumId="199">
    <w:nsid w:val="71C1AF98"/>
    <w:multiLevelType w:val="hybridMultilevel"/>
    <w:lvl w:ilvl="0">
      <w:lvlJc w:val="left"/>
      <w:lvlText w:val="(%1)"/>
      <w:numFmt w:val="lowerRoman"/>
      <w:start w:val="7"/>
    </w:lvl>
  </w:abstractNum>
  <w:abstractNum w:abstractNumId="200">
    <w:nsid w:val="3D00B9D9"/>
    <w:multiLevelType w:val="hybridMultilevel"/>
    <w:lvl w:ilvl="0">
      <w:lvlJc w:val="left"/>
      <w:lvlText w:val="(%1)"/>
      <w:numFmt w:val="lowerRoman"/>
      <w:start w:val="11"/>
    </w:lvl>
  </w:abstractNum>
  <w:abstractNum w:abstractNumId="201">
    <w:nsid w:val="15BCABA8"/>
    <w:multiLevelType w:val="hybridMultilevel"/>
    <w:lvl w:ilvl="0">
      <w:lvlJc w:val="left"/>
      <w:lvlText w:val="(%1)"/>
      <w:numFmt w:val="lowerLetter"/>
      <w:start w:val="6"/>
    </w:lvl>
  </w:abstractNum>
  <w:abstractNum w:abstractNumId="202">
    <w:nsid w:val="4E0B9A87"/>
    <w:multiLevelType w:val="hybridMultilevel"/>
    <w:lvl w:ilvl="0">
      <w:lvlJc w:val="left"/>
      <w:lvlText w:val="(%1)"/>
      <w:numFmt w:val="decimal"/>
      <w:start w:val="8"/>
    </w:lvl>
    <w:lvl w:ilvl="1">
      <w:lvlJc w:val="left"/>
      <w:lvlText w:val="(%2)"/>
      <w:numFmt w:val="lowerLetter"/>
      <w:start w:val="7"/>
    </w:lvl>
  </w:abstractNum>
  <w:abstractNum w:abstractNumId="203">
    <w:nsid w:val="434BAE75"/>
    <w:multiLevelType w:val="hybridMultilevel"/>
    <w:lvl w:ilvl="0">
      <w:lvlJc w:val="left"/>
      <w:lvlText w:val="%1"/>
      <w:numFmt w:val="lowerLetter"/>
      <w:start w:val="1"/>
    </w:lvl>
    <w:lvl w:ilvl="1">
      <w:lvlJc w:val="left"/>
      <w:lvlText w:val="(%2)"/>
      <w:numFmt w:val="lowerLetter"/>
      <w:start w:val="1"/>
    </w:lvl>
  </w:abstractNum>
  <w:abstractNum w:abstractNumId="204">
    <w:nsid w:val="4F38F265"/>
    <w:multiLevelType w:val="hybridMultilevel"/>
    <w:lvl w:ilvl="0">
      <w:lvlJc w:val="left"/>
      <w:lvlText w:val="(%1)"/>
      <w:numFmt w:val="lowerLetter"/>
      <w:start w:val="2"/>
    </w:lvl>
    <w:lvl w:ilvl="1">
      <w:lvlJc w:val="left"/>
      <w:lvlText w:val="%2"/>
      <w:numFmt w:val="lowerLetter"/>
      <w:start w:val="1"/>
    </w:lvl>
  </w:abstractNum>
  <w:abstractNum w:abstractNumId="205">
    <w:nsid w:val="4C502870"/>
    <w:multiLevelType w:val="hybridMultilevel"/>
    <w:lvl w:ilvl="0">
      <w:lvlJc w:val="left"/>
      <w:lvlText w:val="(%1)"/>
      <w:numFmt w:val="lowerLetter"/>
      <w:start w:val="3"/>
    </w:lvl>
    <w:lvl w:ilvl="1">
      <w:lvlJc w:val="left"/>
      <w:lvlText w:val="(%2)"/>
      <w:numFmt w:val="upperLetter"/>
      <w:start w:val="1"/>
    </w:lvl>
  </w:abstractNum>
  <w:abstractNum w:abstractNumId="206">
    <w:nsid w:val="1DE8725A"/>
    <w:multiLevelType w:val="hybridMultilevel"/>
    <w:lvl w:ilvl="0">
      <w:lvlJc w:val="left"/>
      <w:lvlText w:val="(%1)"/>
      <w:numFmt w:val="upperLetter"/>
      <w:start w:val="7"/>
    </w:lvl>
  </w:abstractNum>
  <w:abstractNum w:abstractNumId="207">
    <w:nsid w:val="6A37288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pn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png"/><Relationship Id="rId393"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6" Type="http://schemas.openxmlformats.org/officeDocument/2006/relationships/image" Target="media/image378.png"/><Relationship Id="rId397" Type="http://schemas.openxmlformats.org/officeDocument/2006/relationships/image" Target="media/image379.png"/><Relationship Id="rId398" Type="http://schemas.openxmlformats.org/officeDocument/2006/relationships/image" Target="media/image380.png"/><Relationship Id="rId399" Type="http://schemas.openxmlformats.org/officeDocument/2006/relationships/image" Target="media/image381.png"/><Relationship Id="rId400" Type="http://schemas.openxmlformats.org/officeDocument/2006/relationships/image" Target="media/image382.png"/><Relationship Id="rId401" Type="http://schemas.openxmlformats.org/officeDocument/2006/relationships/image" Target="media/image383.png"/><Relationship Id="rId402" Type="http://schemas.openxmlformats.org/officeDocument/2006/relationships/image" Target="media/image384.png"/><Relationship Id="rId403" Type="http://schemas.openxmlformats.org/officeDocument/2006/relationships/image" Target="media/image385.png"/><Relationship Id="rId404" Type="http://schemas.openxmlformats.org/officeDocument/2006/relationships/image" Target="media/image386.png"/><Relationship Id="rId405" Type="http://schemas.openxmlformats.org/officeDocument/2006/relationships/image" Target="media/image387.png"/><Relationship Id="rId406" Type="http://schemas.openxmlformats.org/officeDocument/2006/relationships/image" Target="media/image388.png"/><Relationship Id="rId407" Type="http://schemas.openxmlformats.org/officeDocument/2006/relationships/image" Target="media/image389.png"/><Relationship Id="rId408" Type="http://schemas.openxmlformats.org/officeDocument/2006/relationships/image" Target="media/image390.png"/><Relationship Id="rId409" Type="http://schemas.openxmlformats.org/officeDocument/2006/relationships/image" Target="media/image391.png"/><Relationship Id="rId410" Type="http://schemas.openxmlformats.org/officeDocument/2006/relationships/image" Target="media/image392.png"/><Relationship Id="rId411" Type="http://schemas.openxmlformats.org/officeDocument/2006/relationships/image" Target="media/image393.png"/><Relationship Id="rId412" Type="http://schemas.openxmlformats.org/officeDocument/2006/relationships/image" Target="media/image394.png"/><Relationship Id="rId413" Type="http://schemas.openxmlformats.org/officeDocument/2006/relationships/image" Target="media/image395.png"/><Relationship Id="rId414" Type="http://schemas.openxmlformats.org/officeDocument/2006/relationships/image" Target="media/image396.png"/><Relationship Id="rId415" Type="http://schemas.openxmlformats.org/officeDocument/2006/relationships/image" Target="media/image397.png"/><Relationship Id="rId416" Type="http://schemas.openxmlformats.org/officeDocument/2006/relationships/image" Target="media/image398.png"/><Relationship Id="rId417"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3" Type="http://schemas.openxmlformats.org/officeDocument/2006/relationships/image" Target="media/image405.png"/><Relationship Id="rId424" Type="http://schemas.openxmlformats.org/officeDocument/2006/relationships/image" Target="media/image406.png"/><Relationship Id="rId425"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png"/><Relationship Id="rId445" Type="http://schemas.openxmlformats.org/officeDocument/2006/relationships/image" Target="media/image427.png"/><Relationship Id="rId446" Type="http://schemas.openxmlformats.org/officeDocument/2006/relationships/image" Target="media/image428.png"/><Relationship Id="rId447" Type="http://schemas.openxmlformats.org/officeDocument/2006/relationships/image" Target="media/image429.png"/><Relationship Id="rId448" Type="http://schemas.openxmlformats.org/officeDocument/2006/relationships/image" Target="media/image430.png"/><Relationship Id="rId449" Type="http://schemas.openxmlformats.org/officeDocument/2006/relationships/image" Target="media/image431.png"/><Relationship Id="rId450" Type="http://schemas.openxmlformats.org/officeDocument/2006/relationships/image" Target="media/image432.jpeg"/><Relationship Id="rId451" Type="http://schemas.openxmlformats.org/officeDocument/2006/relationships/image" Target="media/image433.png"/><Relationship Id="rId337" Type="http://schemas.openxmlformats.org/officeDocument/2006/relationships/hyperlink" Target="http://www.sec.gov/Archives/edgar/data/0001678660/000119312520240138/d935180dex31.htm" TargetMode="External"/><Relationship Id="rId338" Type="http://schemas.openxmlformats.org/officeDocument/2006/relationships/hyperlink" Target="http://www.sec.gov/Archives/edgar/data/0001678660/000119312520240138/d935180dex33.htm" TargetMode="External"/><Relationship Id="rId339" Type="http://schemas.openxmlformats.org/officeDocument/2006/relationships/hyperlink" Target="http://www.sec.gov/Archives/edgar/data/0001678660/000119312520240138/d935180dex42.htm" TargetMode="External"/><Relationship Id="rId340" Type="http://schemas.openxmlformats.org/officeDocument/2006/relationships/hyperlink" Target="http://www.sec.gov/Archives/edgar/data/0001678660/000119312520240138/d935180dex101.htm" TargetMode="External"/><Relationship Id="rId341" Type="http://schemas.openxmlformats.org/officeDocument/2006/relationships/hyperlink" Target="http://www.sec.gov/Archives/edgar/data/0001678660/000119312520240138/d935180dex102.htm" TargetMode="External"/><Relationship Id="rId342" Type="http://schemas.openxmlformats.org/officeDocument/2006/relationships/hyperlink" Target="http://www.sec.gov/Archives/edgar/data/0001678660/000119312520240138/d935180dex105.htm" TargetMode="External"/><Relationship Id="rId343" Type="http://schemas.openxmlformats.org/officeDocument/2006/relationships/hyperlink" Target="http://www.sec.gov/Archives/edgar/data/0001678660/000119312520240138/d935180dex106.htm" TargetMode="External"/><Relationship Id="rId344" Type="http://schemas.openxmlformats.org/officeDocument/2006/relationships/hyperlink" Target="http://www.sec.gov/Archives/edgar/data/0001678660/000119312520240138/d935180dex107.htm" TargetMode="External"/><Relationship Id="rId345" Type="http://schemas.openxmlformats.org/officeDocument/2006/relationships/hyperlink" Target="http://www.sec.gov/Archives/edgar/data/0001678660/000119312520240138/d935180dex108.htm" TargetMode="External"/><Relationship Id="rId346" Type="http://schemas.openxmlformats.org/officeDocument/2006/relationships/hyperlink" Target="http://www.sec.gov/Archives/edgar/data/0001678660/000119312520240138/d935180dex211.htm" TargetMode="External"/><Relationship Id="rId347" Type="http://schemas.openxmlformats.org/officeDocument/2006/relationships/hyperlink" Target="http://www.sec.gov/Archives/edgar/data/1678660/000119312520240138/d935180ds1.htm#ii935180_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2020-09-16T10:56:25Z</dcterms:created>
  <dcterms:modified xsi:type="dcterms:W3CDTF">2020-09-16T10:56:25Z</dcterms:modified>
</cp:coreProperties>
</file>