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4" w:lineRule="exact"/>
        <w:rPr>
          <w:sz w:val="24"/>
          <w:szCs w:val="24"/>
          <w:color w:val="auto"/>
        </w:rPr>
      </w:pPr>
    </w:p>
    <w:p>
      <w:pPr>
        <w:ind w:left="3820" w:right="1620" w:hanging="3812"/>
        <w:spacing w:after="0" w:line="224" w:lineRule="auto"/>
        <w:tabs>
          <w:tab w:leader="none" w:pos="475" w:val="left"/>
        </w:tabs>
        <w:numPr>
          <w:ilvl w:val="0"/>
          <w:numId w:val="1"/>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30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83" w:lineRule="exact"/>
        <w:rPr>
          <w:sz w:val="24"/>
          <w:szCs w:val="24"/>
          <w:color w:val="auto"/>
        </w:rPr>
      </w:pPr>
    </w:p>
    <w:p>
      <w:pPr>
        <w:ind w:left="364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PRELUDE THERAPEUTICS INCORPORATED</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2"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81-1384762</w:t>
            </w:r>
          </w:p>
        </w:tc>
      </w:tr>
      <w:tr>
        <w:trPr>
          <w:trHeight w:val="135"/>
        </w:trPr>
        <w:tc>
          <w:tcPr>
            <w:tcW w:w="4120" w:type="dxa"/>
            <w:vAlign w:val="bottom"/>
          </w:tcPr>
          <w:p>
            <w:pPr>
              <w:jc w:val="center"/>
              <w:ind w:right="198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68"/>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8"/>
              <w:spacing w:after="0"/>
              <w:rPr>
                <w:sz w:val="20"/>
                <w:szCs w:val="20"/>
                <w:color w:val="auto"/>
              </w:rPr>
            </w:pPr>
            <w:r>
              <w:rPr>
                <w:rFonts w:ascii="Arial" w:cs="Arial" w:eastAsia="Arial" w:hAnsi="Arial"/>
                <w:sz w:val="13"/>
                <w:szCs w:val="13"/>
                <w:b w:val="1"/>
                <w:bCs w:val="1"/>
                <w:color w:val="auto"/>
                <w:w w:val="89"/>
              </w:rPr>
              <w:t>Identification No.)</w:t>
            </w:r>
          </w:p>
        </w:tc>
      </w:tr>
      <w:tr>
        <w:trPr>
          <w:trHeight w:val="295"/>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2"/>
              </w:rPr>
              <w:t>200 Powder Mill Road</w:t>
            </w:r>
          </w:p>
        </w:tc>
        <w:tc>
          <w:tcPr>
            <w:tcW w:w="3020" w:type="dxa"/>
            <w:vAlign w:val="bottom"/>
          </w:tcPr>
          <w:p>
            <w:pPr>
              <w:spacing w:after="0"/>
              <w:rPr>
                <w:sz w:val="24"/>
                <w:szCs w:val="24"/>
                <w:color w:val="auto"/>
              </w:rPr>
            </w:pPr>
          </w:p>
        </w:tc>
      </w:tr>
      <w:tr>
        <w:trPr>
          <w:trHeight w:val="216"/>
        </w:trPr>
        <w:tc>
          <w:tcPr>
            <w:tcW w:w="4120" w:type="dxa"/>
            <w:vAlign w:val="bottom"/>
          </w:tcPr>
          <w:p>
            <w:pPr>
              <w:jc w:val="center"/>
              <w:ind w:right="1984"/>
              <w:spacing w:after="0"/>
              <w:rPr>
                <w:sz w:val="20"/>
                <w:szCs w:val="20"/>
                <w:color w:val="auto"/>
              </w:rPr>
            </w:pPr>
            <w:r>
              <w:rPr>
                <w:rFonts w:ascii="Arial" w:cs="Arial" w:eastAsia="Arial" w:hAnsi="Arial"/>
                <w:sz w:val="18"/>
                <w:szCs w:val="18"/>
                <w:b w:val="1"/>
                <w:bCs w:val="1"/>
                <w:color w:val="auto"/>
                <w:w w:val="93"/>
              </w:rPr>
              <w:t>Wilmington, Delaware</w:t>
            </w:r>
          </w:p>
        </w:tc>
        <w:tc>
          <w:tcPr>
            <w:tcW w:w="3020" w:type="dxa"/>
            <w:vAlign w:val="bottom"/>
          </w:tcPr>
          <w:p>
            <w:pPr>
              <w:jc w:val="right"/>
              <w:ind w:right="208"/>
              <w:spacing w:after="0"/>
              <w:rPr>
                <w:sz w:val="20"/>
                <w:szCs w:val="20"/>
                <w:color w:val="auto"/>
              </w:rPr>
            </w:pPr>
            <w:r>
              <w:rPr>
                <w:rFonts w:ascii="Arial" w:cs="Arial" w:eastAsia="Arial" w:hAnsi="Arial"/>
                <w:sz w:val="16"/>
                <w:szCs w:val="16"/>
                <w:b w:val="1"/>
                <w:bCs w:val="1"/>
                <w:color w:val="auto"/>
              </w:rPr>
              <w:t>19803</w:t>
            </w:r>
          </w:p>
        </w:tc>
      </w:tr>
      <w:tr>
        <w:trPr>
          <w:trHeight w:val="164"/>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8"/>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(302) 467-1280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4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$0.0001 per share</w:t>
            </w:r>
          </w:p>
        </w:tc>
        <w:tc>
          <w:tcPr>
            <w:tcW w:w="120" w:type="dxa"/>
            <w:vAlign w:val="bottom"/>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PRLD</w:t>
            </w:r>
          </w:p>
        </w:tc>
        <w:tc>
          <w:tcPr>
            <w:tcW w:w="100" w:type="dxa"/>
            <w:vAlign w:val="bottom"/>
          </w:tcPr>
          <w:p>
            <w:pPr>
              <w:spacing w:after="0"/>
              <w:rPr>
                <w:sz w:val="17"/>
                <w:szCs w:val="17"/>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ind w:firstLine="47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20" w:firstLine="478"/>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jc w:val="both"/>
        <w:ind w:right="300" w:firstLine="47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9" w:lineRule="exact"/>
        <w:rPr>
          <w:sz w:val="24"/>
          <w:szCs w:val="24"/>
          <w:color w:val="auto"/>
        </w:rPr>
      </w:pPr>
    </w:p>
    <w:p>
      <w:pPr>
        <w:jc w:val="both"/>
        <w:ind w:right="100" w:firstLine="47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480"/>
        <w:spacing w:after="0" w:line="184" w:lineRule="exact"/>
        <w:tabs>
          <w:tab w:leader="none" w:pos="8020" w:val="left"/>
          <w:tab w:leader="none" w:pos="87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7" w:lineRule="exact"/>
        <w:rPr>
          <w:sz w:val="24"/>
          <w:szCs w:val="24"/>
          <w:color w:val="auto"/>
        </w:rPr>
      </w:pPr>
    </w:p>
    <w:p>
      <w:pPr>
        <w:ind w:right="180" w:firstLine="478"/>
        <w:spacing w:after="0" w:line="214"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left="480"/>
        <w:spacing w:after="0"/>
        <w:rPr>
          <w:sz w:val="20"/>
          <w:szCs w:val="20"/>
          <w:color w:val="auto"/>
        </w:rPr>
      </w:pPr>
      <w:r>
        <w:rPr>
          <w:rFonts w:ascii="Arial" w:cs="Arial" w:eastAsia="Arial" w:hAnsi="Arial"/>
          <w:sz w:val="16"/>
          <w:szCs w:val="16"/>
          <w:color w:val="auto"/>
        </w:rPr>
        <w:t>As of May 7, 2021, the registrant had 46,958,198 shares of voting and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562610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40" w:type="dxa"/>
            <w:vAlign w:val="bottom"/>
            <w:gridSpan w:val="5"/>
          </w:tcPr>
          <w:p>
            <w:pPr>
              <w:ind w:left="40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8"/>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7300" w:type="dxa"/>
            <w:vAlign w:val="bottom"/>
            <w:gridSpan w:val="9"/>
            <w:vMerge w:val="restart"/>
          </w:tcPr>
          <w:p>
            <w:pPr>
              <w:spacing w:after="0"/>
              <w:rPr>
                <w:sz w:val="24"/>
                <w:szCs w:val="24"/>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02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8"/>
            <w:vMerge w:val="continue"/>
          </w:tcPr>
          <w:p>
            <w:pPr>
              <w:spacing w:after="0"/>
              <w:rPr>
                <w:sz w:val="15"/>
                <w:szCs w:val="15"/>
                <w:color w:val="auto"/>
              </w:rPr>
            </w:pPr>
          </w:p>
        </w:tc>
        <w:tc>
          <w:tcPr>
            <w:tcW w:w="7300" w:type="dxa"/>
            <w:vAlign w:val="bottom"/>
            <w:gridSpan w:val="9"/>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Balance Sheets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Statements of Operations (Unaudited)</w:t>
              </w:r>
            </w:hyperlink>
          </w:p>
        </w:tc>
        <w:tc>
          <w:tcPr>
            <w:tcW w:w="6820" w:type="dxa"/>
            <w:vAlign w:val="bottom"/>
            <w:gridSpan w:val="7"/>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Changes in Convertible Preferred Stock and Stockholder’s Equity (Deficit)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40" w:type="dxa"/>
            <w:vAlign w:val="bottom"/>
            <w:tcBorders>
              <w:top w:val="single" w:sz="8" w:color="0000EE"/>
            </w:tcBorders>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Statements of Cash Flows (Unaudited)</w:t>
              </w:r>
            </w:hyperlink>
          </w:p>
        </w:tc>
        <w:tc>
          <w:tcPr>
            <w:tcW w:w="2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Interim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310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Quantitative and Qualitative Disclosures About Market Risk</w:t>
              </w:r>
            </w:hyperlink>
          </w:p>
        </w:tc>
        <w:tc>
          <w:tcPr>
            <w:tcW w:w="520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20" w:type="dxa"/>
            <w:vAlign w:val="bottom"/>
            <w:gridSpan w:val="2"/>
            <w:vMerge w:val="continue"/>
          </w:tcPr>
          <w:p>
            <w:pPr>
              <w:spacing w:after="0"/>
              <w:rPr>
                <w:sz w:val="21"/>
                <w:szCs w:val="21"/>
                <w:color w:val="auto"/>
              </w:rPr>
            </w:pPr>
          </w:p>
        </w:tc>
        <w:tc>
          <w:tcPr>
            <w:tcW w:w="9560" w:type="dxa"/>
            <w:vAlign w:val="bottom"/>
            <w:gridSpan w:val="17"/>
          </w:tcPr>
          <w:p>
            <w:pPr>
              <w:spacing w:after="0"/>
              <w:rPr>
                <w:sz w:val="20"/>
                <w:szCs w:val="20"/>
                <w:color w:val="auto"/>
              </w:rPr>
            </w:pPr>
            <w:r>
              <w:rPr>
                <w:rFonts w:ascii="Arial" w:cs="Arial" w:eastAsia="Arial" w:hAnsi="Arial"/>
                <w:sz w:val="18"/>
                <w:szCs w:val="18"/>
                <w:color w:val="auto"/>
              </w:rPr>
              <w:t>OTHER INFORMATION</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02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line="190"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Legal Proceedings</w:t>
              </w:r>
            </w:hyperlink>
          </w:p>
        </w:tc>
        <w:tc>
          <w:tcPr>
            <w:tcW w:w="8220" w:type="dxa"/>
            <w:vAlign w:val="bottom"/>
            <w:gridSpan w:val="13"/>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6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7"/>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Defaults Upon Senior Securities</w:t>
              </w:r>
            </w:hyperlink>
          </w:p>
        </w:tc>
        <w:tc>
          <w:tcPr>
            <w:tcW w:w="522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Mine Safety Disclosures</w:t>
              </w:r>
            </w:hyperlink>
          </w:p>
        </w:tc>
        <w:tc>
          <w:tcPr>
            <w:tcW w:w="7240" w:type="dxa"/>
            <w:vAlign w:val="bottom"/>
            <w:gridSpan w:val="8"/>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69">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8"/>
                <w:szCs w:val="18"/>
                <w:color w:val="auto"/>
              </w:rPr>
            </w:pPr>
          </w:p>
        </w:tc>
        <w:tc>
          <w:tcPr>
            <w:tcW w:w="7800" w:type="dxa"/>
            <w:vAlign w:val="bottom"/>
            <w:gridSpan w:val="11"/>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560" w:type="dxa"/>
            <w:vAlign w:val="bottom"/>
            <w:gridSpan w:val="1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280" w:type="dxa"/>
            <w:vAlign w:val="bottom"/>
          </w:tcPr>
          <w:p>
            <w:pPr>
              <w:spacing w:after="0"/>
              <w:rPr>
                <w:sz w:val="14"/>
                <w:szCs w:val="14"/>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600" w:type="dxa"/>
            <w:vAlign w:val="bottom"/>
            <w:tcBorders>
              <w:bottom w:val="single" w:sz="8" w:color="CFF0FC"/>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362,990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365,018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220,809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2,627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28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369,831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223,590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4,842</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12,424</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13,264</w:t>
            </w:r>
          </w:p>
        </w:tc>
        <w:tc>
          <w:tcPr>
            <w:tcW w:w="2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Commitments (Note 7)</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Voting common stock, $0.0001 par value: 487,149,741 shares authorized; 35,388,909 and</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32,595,301 shares issued and outstanding at March 31, 2021 and December 31, 2020, respectively</w:t>
            </w:r>
          </w:p>
        </w:tc>
        <w:tc>
          <w:tcPr>
            <w:tcW w:w="2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60"/>
              <w:spacing w:after="0"/>
              <w:rPr>
                <w:sz w:val="20"/>
                <w:szCs w:val="20"/>
                <w:color w:val="auto"/>
              </w:rPr>
            </w:pPr>
            <w:r>
              <w:rPr>
                <w:rFonts w:ascii="Arial" w:cs="Arial" w:eastAsia="Arial" w:hAnsi="Arial"/>
                <w:sz w:val="18"/>
                <w:szCs w:val="18"/>
                <w:color w:val="auto"/>
                <w:w w:val="98"/>
              </w:rPr>
              <w:t>Non-voting common stock, $0.0001 par value; 12,850,259 shares authorized; 11,402,037 and</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w w:val="92"/>
              </w:rPr>
              <w:t>11,110,371 shares issued and outstanding at March 31, 2021 and December 31, 2020, respectively</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485,288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319,605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(128,726)</w:t>
            </w:r>
          </w:p>
        </w:tc>
        <w:tc>
          <w:tcPr>
            <w:tcW w:w="2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(107,426)</w:t>
            </w: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356,567</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212,183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369,831</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8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640" w:type="dxa"/>
            <w:vAlign w:val="bottom"/>
            <w:tcBorders>
              <w:bottom w:val="single" w:sz="8" w:color="CFF0FC"/>
            </w:tcBorders>
            <w:vMerge w:val="continue"/>
          </w:tcPr>
          <w:p>
            <w:pPr>
              <w:spacing w:after="0"/>
              <w:rPr>
                <w:sz w:val="13"/>
                <w:szCs w:val="13"/>
                <w:color w:val="auto"/>
              </w:rPr>
            </w:pPr>
          </w:p>
        </w:tc>
        <w:tc>
          <w:tcPr>
            <w:tcW w:w="1720" w:type="dxa"/>
            <w:vAlign w:val="bottom"/>
            <w:tcBorders>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5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7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1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16,470</w:t>
            </w:r>
          </w:p>
        </w:tc>
        <w:tc>
          <w:tcPr>
            <w:tcW w:w="180" w:type="dxa"/>
            <w:vAlign w:val="bottom"/>
          </w:tcPr>
          <w:p>
            <w:pPr>
              <w:spacing w:after="0"/>
              <w:rPr>
                <w:sz w:val="19"/>
                <w:szCs w:val="19"/>
                <w:color w:val="auto"/>
              </w:rPr>
            </w:pPr>
          </w:p>
        </w:tc>
        <w:tc>
          <w:tcPr>
            <w:tcW w:w="52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8,536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7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7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from operations</w:t>
            </w:r>
          </w:p>
        </w:tc>
        <w:tc>
          <w:tcPr>
            <w:tcW w:w="17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7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7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Per share information:</w:t>
            </w:r>
          </w:p>
        </w:tc>
        <w:tc>
          <w:tcPr>
            <w:tcW w:w="1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21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(0.47)</w:t>
            </w:r>
          </w:p>
        </w:tc>
        <w:tc>
          <w:tcPr>
            <w:tcW w:w="52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common shares outstanding, basic</w:t>
            </w:r>
          </w:p>
        </w:tc>
        <w:tc>
          <w:tcPr>
            <w:tcW w:w="17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rPr>
                <w:sz w:val="20"/>
                <w:szCs w:val="20"/>
                <w:color w:val="auto"/>
              </w:rPr>
            </w:pPr>
            <w:r>
              <w:rPr>
                <w:rFonts w:ascii="Arial" w:cs="Arial" w:eastAsia="Arial" w:hAnsi="Arial"/>
                <w:sz w:val="18"/>
                <w:szCs w:val="18"/>
                <w:color w:val="auto"/>
              </w:rPr>
              <w:t>and diluted</w:t>
            </w:r>
          </w:p>
        </w:tc>
        <w:tc>
          <w:tcPr>
            <w:tcW w:w="17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45,121,955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91"/>
              </w:rPr>
              <w:t>Stockholders’ equity</w:t>
            </w: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60" w:type="dxa"/>
            <w:vAlign w:val="bottom"/>
            <w:gridSpan w:val="8"/>
            <w:vMerge w:val="restart"/>
          </w:tcPr>
          <w:p>
            <w:pPr>
              <w:ind w:left="140"/>
              <w:spacing w:after="0"/>
              <w:rPr>
                <w:sz w:val="20"/>
                <w:szCs w:val="20"/>
                <w:color w:val="auto"/>
              </w:rPr>
            </w:pPr>
            <w:r>
              <w:rPr>
                <w:rFonts w:ascii="Arial" w:cs="Arial" w:eastAsia="Arial" w:hAnsi="Arial"/>
                <w:sz w:val="14"/>
                <w:szCs w:val="14"/>
                <w:b w:val="1"/>
                <w:bCs w:val="1"/>
                <w:color w:val="auto"/>
              </w:rPr>
              <w:t>Voting common stock</w:t>
            </w:r>
          </w:p>
        </w:tc>
        <w:tc>
          <w:tcPr>
            <w:tcW w:w="140" w:type="dxa"/>
            <w:vAlign w:val="bottom"/>
          </w:tcPr>
          <w:p>
            <w:pPr>
              <w:spacing w:after="0"/>
              <w:rPr>
                <w:sz w:val="11"/>
                <w:szCs w:val="11"/>
                <w:color w:val="auto"/>
              </w:rPr>
            </w:pPr>
          </w:p>
        </w:tc>
        <w:tc>
          <w:tcPr>
            <w:tcW w:w="1880" w:type="dxa"/>
            <w:vAlign w:val="bottom"/>
            <w:gridSpan w:val="6"/>
          </w:tcPr>
          <w:p>
            <w:pPr>
              <w:jc w:val="center"/>
              <w:ind w:right="60"/>
              <w:spacing w:after="0" w:line="133" w:lineRule="exact"/>
              <w:rPr>
                <w:sz w:val="20"/>
                <w:szCs w:val="20"/>
                <w:color w:val="auto"/>
              </w:rPr>
            </w:pPr>
            <w:r>
              <w:rPr>
                <w:rFonts w:ascii="Arial" w:cs="Arial" w:eastAsia="Arial" w:hAnsi="Arial"/>
                <w:sz w:val="14"/>
                <w:szCs w:val="14"/>
                <w:b w:val="1"/>
                <w:bCs w:val="1"/>
                <w:color w:val="auto"/>
                <w:w w:val="92"/>
              </w:rPr>
              <w:t>Non-voting common</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jc w:val="right"/>
              <w:ind w:right="107"/>
              <w:spacing w:after="0" w:line="133" w:lineRule="exact"/>
              <w:rPr>
                <w:sz w:val="20"/>
                <w:szCs w:val="20"/>
                <w:color w:val="auto"/>
              </w:rPr>
            </w:pPr>
            <w:r>
              <w:rPr>
                <w:rFonts w:ascii="Arial" w:cs="Arial" w:eastAsia="Arial" w:hAnsi="Arial"/>
                <w:sz w:val="14"/>
                <w:szCs w:val="14"/>
                <w:b w:val="1"/>
                <w:bCs w:val="1"/>
                <w:color w:val="auto"/>
                <w:w w:val="99"/>
              </w:rPr>
              <w:t>Additional</w:t>
            </w:r>
          </w:p>
        </w:tc>
        <w:tc>
          <w:tcPr>
            <w:tcW w:w="200" w:type="dxa"/>
            <w:vAlign w:val="bottom"/>
          </w:tcPr>
          <w:p>
            <w:pPr>
              <w:spacing w:after="0"/>
              <w:rPr>
                <w:sz w:val="11"/>
                <w:szCs w:val="11"/>
                <w:color w:val="auto"/>
              </w:rPr>
            </w:pPr>
          </w:p>
        </w:tc>
        <w:tc>
          <w:tcPr>
            <w:tcW w:w="1080" w:type="dxa"/>
            <w:vAlign w:val="bottom"/>
            <w:gridSpan w:val="5"/>
            <w:vMerge w:val="restart"/>
          </w:tcPr>
          <w:p>
            <w:pPr>
              <w:jc w:val="right"/>
              <w:ind w:right="1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gridSpan w:val="8"/>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87"/>
              </w:rPr>
              <w:t>stock</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ind w:left="160"/>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4"/>
                <w:szCs w:val="14"/>
                <w:color w:val="auto"/>
              </w:rPr>
            </w:pPr>
          </w:p>
        </w:tc>
        <w:tc>
          <w:tcPr>
            <w:tcW w:w="108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line="155" w:lineRule="exact"/>
              <w:rPr>
                <w:sz w:val="20"/>
                <w:szCs w:val="20"/>
                <w:color w:val="auto"/>
              </w:rPr>
            </w:pPr>
            <w:r>
              <w:rPr>
                <w:rFonts w:ascii="Arial" w:cs="Arial" w:eastAsia="Arial" w:hAnsi="Arial"/>
                <w:sz w:val="14"/>
                <w:szCs w:val="14"/>
                <w:b w:val="1"/>
                <w:bCs w:val="1"/>
                <w:color w:val="auto"/>
              </w:rPr>
              <w:t>(in thousands, except shares)</w:t>
            </w:r>
          </w:p>
        </w:tc>
        <w:tc>
          <w:tcPr>
            <w:tcW w:w="5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3"/>
          </w:tcPr>
          <w:p>
            <w:pPr>
              <w:jc w:val="right"/>
              <w:ind w:right="223"/>
              <w:spacing w:after="0" w:line="155"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183"/>
              <w:spacing w:after="0" w:line="155"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228"/>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center"/>
              <w:ind w:left="44"/>
              <w:spacing w:after="0" w:line="155"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4"/>
          </w:tcPr>
          <w:p>
            <w:pPr>
              <w:jc w:val="right"/>
              <w:ind w:right="38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2"/>
        </w:trPr>
        <w:tc>
          <w:tcPr>
            <w:tcW w:w="2300" w:type="dxa"/>
            <w:vAlign w:val="bottom"/>
            <w:tcBorders>
              <w:top w:val="single" w:sz="8" w:color="CFF0FC"/>
            </w:tcBorders>
            <w:shd w:val="clear" w:color="auto" w:fill="CFF0FC"/>
          </w:tcPr>
          <w:p>
            <w:pPr>
              <w:spacing w:after="0" w:line="152" w:lineRule="exact"/>
              <w:rPr>
                <w:sz w:val="20"/>
                <w:szCs w:val="20"/>
                <w:color w:val="auto"/>
              </w:rPr>
            </w:pPr>
            <w:r>
              <w:rPr>
                <w:rFonts w:ascii="Arial" w:cs="Arial" w:eastAsia="Arial" w:hAnsi="Arial"/>
                <w:sz w:val="15"/>
                <w:szCs w:val="15"/>
                <w:b w:val="1"/>
                <w:bCs w:val="1"/>
                <w:color w:val="auto"/>
              </w:rPr>
              <w:t>Balance at January 1,</w:t>
            </w:r>
          </w:p>
        </w:tc>
        <w:tc>
          <w:tcPr>
            <w:tcW w:w="5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right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right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right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right w:val="single" w:sz="8" w:color="CFF0FC"/>
            </w:tcBorders>
            <w:shd w:val="clear" w:color="auto" w:fill="CFF0FC"/>
          </w:tcPr>
          <w:p>
            <w:pPr>
              <w:spacing w:after="0"/>
              <w:rPr>
                <w:sz w:val="13"/>
                <w:szCs w:val="13"/>
                <w:color w:val="auto"/>
              </w:rPr>
            </w:pPr>
          </w:p>
        </w:tc>
        <w:tc>
          <w:tcPr>
            <w:tcW w:w="160" w:type="dxa"/>
            <w:vAlign w:val="bottom"/>
            <w:tcBorders>
              <w:top w:val="single" w:sz="8" w:color="auto"/>
              <w:right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300" w:type="dxa"/>
            <w:vAlign w:val="bottom"/>
            <w:shd w:val="clear" w:color="auto" w:fill="CFF0FC"/>
          </w:tcPr>
          <w:p>
            <w:pPr>
              <w:ind w:left="120"/>
              <w:spacing w:after="0"/>
              <w:rPr>
                <w:sz w:val="20"/>
                <w:szCs w:val="20"/>
                <w:color w:val="auto"/>
              </w:rPr>
            </w:pPr>
            <w:r>
              <w:rPr>
                <w:rFonts w:ascii="Arial" w:cs="Arial" w:eastAsia="Arial" w:hAnsi="Arial"/>
                <w:sz w:val="15"/>
                <w:szCs w:val="15"/>
                <w:b w:val="1"/>
                <w:bCs w:val="1"/>
                <w:color w:val="auto"/>
              </w:rPr>
              <w:t>2021</w:t>
            </w:r>
          </w:p>
        </w:tc>
        <w:tc>
          <w:tcPr>
            <w:tcW w:w="5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5"/>
                <w:szCs w:val="15"/>
                <w:color w:val="auto"/>
                <w:w w:val="90"/>
              </w:rPr>
              <w:t>32,595,301</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8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11,110,371</w:t>
            </w:r>
          </w:p>
        </w:tc>
        <w:tc>
          <w:tcPr>
            <w:tcW w:w="880" w:type="dxa"/>
            <w:vAlign w:val="bottom"/>
            <w:gridSpan w:val="3"/>
            <w:shd w:val="clear" w:color="auto" w:fill="CFF0FC"/>
          </w:tcPr>
          <w:p>
            <w:pPr>
              <w:jc w:val="right"/>
              <w:ind w:right="524"/>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320" w:type="dxa"/>
            <w:vAlign w:val="bottom"/>
            <w:gridSpan w:val="2"/>
            <w:shd w:val="clear" w:color="auto" w:fill="CFF0FC"/>
          </w:tcPr>
          <w:p>
            <w:pPr>
              <w:jc w:val="center"/>
              <w:ind w:left="85"/>
              <w:spacing w:after="0"/>
              <w:rPr>
                <w:sz w:val="20"/>
                <w:szCs w:val="20"/>
                <w:color w:val="auto"/>
              </w:rPr>
            </w:pPr>
            <w:r>
              <w:rPr>
                <w:rFonts w:ascii="Arial" w:cs="Arial" w:eastAsia="Arial" w:hAnsi="Arial"/>
                <w:sz w:val="15"/>
                <w:szCs w:val="15"/>
                <w:color w:val="auto"/>
                <w:w w:val="95"/>
              </w:rPr>
              <w:t>$</w:t>
            </w:r>
          </w:p>
        </w:tc>
        <w:tc>
          <w:tcPr>
            <w:tcW w:w="34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95"/>
              </w:rPr>
              <w:t>319,605</w:t>
            </w:r>
          </w:p>
        </w:tc>
        <w:tc>
          <w:tcPr>
            <w:tcW w:w="440" w:type="dxa"/>
            <w:vAlign w:val="bottom"/>
            <w:gridSpan w:val="2"/>
            <w:shd w:val="clear" w:color="auto" w:fill="CFF0FC"/>
          </w:tcPr>
          <w:p>
            <w:pPr>
              <w:jc w:val="right"/>
              <w:ind w:right="82"/>
              <w:spacing w:after="0"/>
              <w:rPr>
                <w:sz w:val="20"/>
                <w:szCs w:val="20"/>
                <w:color w:val="auto"/>
              </w:rPr>
            </w:pPr>
            <w:r>
              <w:rPr>
                <w:rFonts w:ascii="Arial" w:cs="Arial" w:eastAsia="Arial" w:hAnsi="Arial"/>
                <w:sz w:val="15"/>
                <w:szCs w:val="15"/>
                <w:color w:val="auto"/>
              </w:rPr>
              <w:t>$</w:t>
            </w:r>
          </w:p>
        </w:tc>
        <w:tc>
          <w:tcPr>
            <w:tcW w:w="840" w:type="dxa"/>
            <w:vAlign w:val="bottom"/>
            <w:gridSpan w:val="4"/>
            <w:shd w:val="clear" w:color="auto" w:fill="CFF0FC"/>
          </w:tcPr>
          <w:p>
            <w:pPr>
              <w:jc w:val="right"/>
              <w:spacing w:after="0"/>
              <w:rPr>
                <w:sz w:val="20"/>
                <w:szCs w:val="20"/>
                <w:color w:val="auto"/>
              </w:rPr>
            </w:pPr>
            <w:r>
              <w:rPr>
                <w:rFonts w:ascii="Arial" w:cs="Arial" w:eastAsia="Arial" w:hAnsi="Arial"/>
                <w:sz w:val="15"/>
                <w:szCs w:val="15"/>
                <w:color w:val="auto"/>
              </w:rPr>
              <w:t>(107,426)</w:t>
            </w:r>
          </w:p>
        </w:tc>
        <w:tc>
          <w:tcPr>
            <w:tcW w:w="3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212,183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rPr>
                <w:sz w:val="20"/>
                <w:szCs w:val="20"/>
                <w:color w:val="auto"/>
              </w:rPr>
            </w:pPr>
            <w:r>
              <w:rPr>
                <w:rFonts w:ascii="Arial" w:cs="Arial" w:eastAsia="Arial" w:hAnsi="Arial"/>
                <w:sz w:val="15"/>
                <w:szCs w:val="15"/>
                <w:color w:val="auto"/>
              </w:rPr>
              <w:t>Exercise of stock options</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5"/>
                <w:szCs w:val="15"/>
                <w:color w:val="auto"/>
              </w:rPr>
              <w:t>210,274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386</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Sale of common stock,</w:t>
            </w:r>
          </w:p>
        </w:tc>
        <w:tc>
          <w:tcPr>
            <w:tcW w:w="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00" w:type="dxa"/>
            <w:vAlign w:val="bottom"/>
            <w:shd w:val="clear" w:color="auto" w:fill="CFF0FC"/>
          </w:tcPr>
          <w:p>
            <w:pPr>
              <w:ind w:left="120"/>
              <w:spacing w:after="0"/>
              <w:rPr>
                <w:sz w:val="20"/>
                <w:szCs w:val="20"/>
                <w:color w:val="auto"/>
              </w:rPr>
            </w:pPr>
            <w:r>
              <w:rPr>
                <w:rFonts w:ascii="Arial" w:cs="Arial" w:eastAsia="Arial" w:hAnsi="Arial"/>
                <w:sz w:val="15"/>
                <w:szCs w:val="15"/>
                <w:color w:val="auto"/>
              </w:rPr>
              <w:t>net of offering costs of $739</w:t>
            </w:r>
          </w:p>
        </w:tc>
        <w:tc>
          <w:tcPr>
            <w:tcW w:w="5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5"/>
                <w:szCs w:val="15"/>
                <w:color w:val="auto"/>
              </w:rPr>
              <w:t>2,583,334</w:t>
            </w:r>
          </w:p>
        </w:tc>
        <w:tc>
          <w:tcPr>
            <w:tcW w:w="24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291,666</w:t>
            </w:r>
          </w:p>
        </w:tc>
        <w:tc>
          <w:tcPr>
            <w:tcW w:w="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9"/>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95"/>
              </w:rPr>
              <w:t>161,411</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161,412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line="162" w:lineRule="exact"/>
              <w:rPr>
                <w:sz w:val="20"/>
                <w:szCs w:val="20"/>
                <w:color w:val="auto"/>
              </w:rPr>
            </w:pPr>
            <w:r>
              <w:rPr>
                <w:rFonts w:ascii="Arial" w:cs="Arial" w:eastAsia="Arial" w:hAnsi="Arial"/>
                <w:sz w:val="15"/>
                <w:szCs w:val="15"/>
                <w:color w:val="auto"/>
              </w:rPr>
              <w:t>Stock-based compensation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00" w:type="dxa"/>
            <w:vAlign w:val="bottom"/>
          </w:tcPr>
          <w:p>
            <w:pPr>
              <w:ind w:left="120"/>
              <w:spacing w:after="0"/>
              <w:rPr>
                <w:sz w:val="20"/>
                <w:szCs w:val="20"/>
                <w:color w:val="auto"/>
              </w:rPr>
            </w:pPr>
            <w:r>
              <w:rPr>
                <w:rFonts w:ascii="Arial" w:cs="Arial" w:eastAsia="Arial" w:hAnsi="Arial"/>
                <w:sz w:val="15"/>
                <w:szCs w:val="15"/>
                <w:color w:val="auto"/>
              </w:rPr>
              <w:t>expense</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9"/>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3,886</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3,886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0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5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right w:val="single" w:sz="8" w:color="CFF0FC"/>
            </w:tcBorders>
            <w:gridSpan w:val="2"/>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9"/>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96"/>
              </w:rPr>
              <w:t>(21,300)</w:t>
            </w:r>
          </w:p>
        </w:tc>
        <w:tc>
          <w:tcPr>
            <w:tcW w:w="180" w:type="dxa"/>
            <w:vAlign w:val="bottom"/>
            <w:tcBorders>
              <w:right w:val="single" w:sz="8" w:color="CFF0FC"/>
            </w:tcBorders>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(21,300)</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5"/>
                <w:szCs w:val="15"/>
                <w:b w:val="1"/>
                <w:bCs w:val="1"/>
                <w:color w:val="auto"/>
              </w:rPr>
              <w:t>Balance at March 31, 2021</w:t>
            </w: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3"/>
          </w:tcPr>
          <w:p>
            <w:pPr>
              <w:jc w:val="right"/>
              <w:spacing w:after="0" w:line="169" w:lineRule="exact"/>
              <w:rPr>
                <w:sz w:val="20"/>
                <w:szCs w:val="20"/>
                <w:color w:val="auto"/>
              </w:rPr>
            </w:pPr>
            <w:r>
              <w:rPr>
                <w:rFonts w:ascii="Arial" w:cs="Arial" w:eastAsia="Arial" w:hAnsi="Arial"/>
                <w:sz w:val="15"/>
                <w:szCs w:val="15"/>
                <w:color w:val="auto"/>
                <w:w w:val="90"/>
              </w:rPr>
              <w:t>35,388,909</w:t>
            </w:r>
          </w:p>
        </w:tc>
        <w:tc>
          <w:tcPr>
            <w:tcW w:w="42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11,402,037</w:t>
            </w:r>
          </w:p>
        </w:tc>
        <w:tc>
          <w:tcPr>
            <w:tcW w:w="880" w:type="dxa"/>
            <w:vAlign w:val="bottom"/>
            <w:gridSpan w:val="3"/>
          </w:tcPr>
          <w:p>
            <w:pPr>
              <w:jc w:val="right"/>
              <w:ind w:right="524"/>
              <w:spacing w:after="0" w:line="169"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rPr>
              <w:t>1</w:t>
            </w:r>
          </w:p>
        </w:tc>
        <w:tc>
          <w:tcPr>
            <w:tcW w:w="320" w:type="dxa"/>
            <w:vAlign w:val="bottom"/>
            <w:gridSpan w:val="2"/>
          </w:tcPr>
          <w:p>
            <w:pPr>
              <w:jc w:val="center"/>
              <w:ind w:left="85"/>
              <w:spacing w:after="0" w:line="169" w:lineRule="exact"/>
              <w:rPr>
                <w:sz w:val="20"/>
                <w:szCs w:val="20"/>
                <w:color w:val="auto"/>
              </w:rPr>
            </w:pPr>
            <w:r>
              <w:rPr>
                <w:rFonts w:ascii="Arial" w:cs="Arial" w:eastAsia="Arial" w:hAnsi="Arial"/>
                <w:sz w:val="15"/>
                <w:szCs w:val="15"/>
                <w:color w:val="auto"/>
                <w:w w:val="95"/>
              </w:rPr>
              <w:t>$</w:t>
            </w:r>
          </w:p>
        </w:tc>
        <w:tc>
          <w:tcPr>
            <w:tcW w:w="340" w:type="dxa"/>
            <w:vAlign w:val="bottom"/>
          </w:tcPr>
          <w:p>
            <w:pPr>
              <w:spacing w:after="0"/>
              <w:rPr>
                <w:sz w:val="14"/>
                <w:szCs w:val="14"/>
                <w:color w:val="auto"/>
              </w:rPr>
            </w:pPr>
          </w:p>
        </w:tc>
        <w:tc>
          <w:tcPr>
            <w:tcW w:w="540" w:type="dxa"/>
            <w:vAlign w:val="bottom"/>
            <w:gridSpan w:val="2"/>
          </w:tcPr>
          <w:p>
            <w:pPr>
              <w:jc w:val="right"/>
              <w:spacing w:after="0" w:line="169" w:lineRule="exact"/>
              <w:rPr>
                <w:sz w:val="20"/>
                <w:szCs w:val="20"/>
                <w:color w:val="auto"/>
              </w:rPr>
            </w:pPr>
            <w:r>
              <w:rPr>
                <w:rFonts w:ascii="Arial" w:cs="Arial" w:eastAsia="Arial" w:hAnsi="Arial"/>
                <w:sz w:val="15"/>
                <w:szCs w:val="15"/>
                <w:color w:val="auto"/>
                <w:w w:val="95"/>
              </w:rPr>
              <w:t>485,288</w:t>
            </w:r>
          </w:p>
        </w:tc>
        <w:tc>
          <w:tcPr>
            <w:tcW w:w="440" w:type="dxa"/>
            <w:vAlign w:val="bottom"/>
            <w:gridSpan w:val="2"/>
          </w:tcPr>
          <w:p>
            <w:pPr>
              <w:jc w:val="right"/>
              <w:ind w:right="82"/>
              <w:spacing w:after="0" w:line="169" w:lineRule="exact"/>
              <w:rPr>
                <w:sz w:val="20"/>
                <w:szCs w:val="20"/>
                <w:color w:val="auto"/>
              </w:rPr>
            </w:pPr>
            <w:r>
              <w:rPr>
                <w:rFonts w:ascii="Arial" w:cs="Arial" w:eastAsia="Arial" w:hAnsi="Arial"/>
                <w:sz w:val="15"/>
                <w:szCs w:val="15"/>
                <w:color w:val="auto"/>
              </w:rPr>
              <w:t>$</w:t>
            </w:r>
          </w:p>
        </w:tc>
        <w:tc>
          <w:tcPr>
            <w:tcW w:w="840" w:type="dxa"/>
            <w:vAlign w:val="bottom"/>
            <w:gridSpan w:val="4"/>
          </w:tcPr>
          <w:p>
            <w:pPr>
              <w:jc w:val="right"/>
              <w:spacing w:after="0" w:line="169" w:lineRule="exact"/>
              <w:rPr>
                <w:sz w:val="20"/>
                <w:szCs w:val="20"/>
                <w:color w:val="auto"/>
              </w:rPr>
            </w:pPr>
            <w:r>
              <w:rPr>
                <w:rFonts w:ascii="Arial" w:cs="Arial" w:eastAsia="Arial" w:hAnsi="Arial"/>
                <w:sz w:val="15"/>
                <w:szCs w:val="15"/>
                <w:color w:val="auto"/>
              </w:rPr>
              <w:t>(128,726)</w:t>
            </w:r>
          </w:p>
        </w:tc>
        <w:tc>
          <w:tcPr>
            <w:tcW w:w="3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356,567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Convertible preferred stock</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Stockholders’ deficit</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7"/>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7"/>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85"/>
              </w:rPr>
              <w:t>Series A</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Series B</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w w:val="98"/>
              </w:rPr>
              <w:t>Common stock</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1"/>
                <w:szCs w:val="11"/>
                <w:color w:val="auto"/>
              </w:rPr>
            </w:pPr>
          </w:p>
        </w:tc>
        <w:tc>
          <w:tcPr>
            <w:tcW w:w="100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Borders>
              <w:bottom w:val="single" w:sz="8" w:color="auto"/>
            </w:tcBorders>
            <w:gridSpan w:val="4"/>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paid-in</w:t>
            </w:r>
          </w:p>
        </w:tc>
        <w:tc>
          <w:tcPr>
            <w:tcW w:w="180" w:type="dxa"/>
            <w:vAlign w:val="bottom"/>
          </w:tcPr>
          <w:p>
            <w:pPr>
              <w:spacing w:after="0"/>
              <w:rPr>
                <w:sz w:val="14"/>
                <w:szCs w:val="14"/>
                <w:color w:val="auto"/>
              </w:rPr>
            </w:pPr>
          </w:p>
        </w:tc>
        <w:tc>
          <w:tcPr>
            <w:tcW w:w="10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(in thousands, except shares)</w:t>
            </w:r>
          </w:p>
        </w:tc>
        <w:tc>
          <w:tcPr>
            <w:tcW w:w="860" w:type="dxa"/>
            <w:vAlign w:val="bottom"/>
            <w:tcBorders>
              <w:bottom w:val="single" w:sz="8" w:color="auto"/>
            </w:tcBorders>
            <w:gridSpan w:val="2"/>
          </w:tcPr>
          <w:p>
            <w:pPr>
              <w:jc w:val="right"/>
              <w:ind w:right="161"/>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61"/>
              <w:spacing w:after="0" w:line="155"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63"/>
              <w:spacing w:after="0" w:line="155"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4"/>
              <w:spacing w:after="0" w:line="155" w:lineRule="exact"/>
              <w:rPr>
                <w:sz w:val="20"/>
                <w:szCs w:val="20"/>
                <w:color w:val="auto"/>
              </w:rPr>
            </w:pPr>
            <w:r>
              <w:rPr>
                <w:rFonts w:ascii="Arial" w:cs="Arial" w:eastAsia="Arial" w:hAnsi="Arial"/>
                <w:sz w:val="14"/>
                <w:szCs w:val="14"/>
                <w:b w:val="1"/>
                <w:bCs w:val="1"/>
                <w:color w:val="auto"/>
                <w:w w:val="98"/>
              </w:rPr>
              <w:t>Shares</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center"/>
              <w:ind w:right="83"/>
              <w:spacing w:after="0" w:line="155"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4"/>
              </w:rPr>
              <w:t>capital</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January 1, 2020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11,736,119</w:t>
            </w:r>
          </w:p>
        </w:tc>
        <w:tc>
          <w:tcPr>
            <w:tcW w:w="30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36,595</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7,628,846</w:t>
            </w: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29,848</w:t>
            </w:r>
          </w:p>
        </w:tc>
        <w:tc>
          <w:tcPr>
            <w:tcW w:w="160" w:type="dxa"/>
            <w:vAlign w:val="bottom"/>
            <w:shd w:val="clear" w:color="auto" w:fill="CFF0FC"/>
          </w:tcPr>
          <w:p>
            <w:pPr>
              <w:spacing w:after="0"/>
              <w:rPr>
                <w:sz w:val="18"/>
                <w:szCs w:val="18"/>
                <w:color w:val="auto"/>
              </w:rPr>
            </w:pPr>
          </w:p>
        </w:tc>
        <w:tc>
          <w:tcPr>
            <w:tcW w:w="80" w:type="dxa"/>
            <w:vAlign w:val="bottom"/>
            <w:tcBorders>
              <w:right w:val="single" w:sz="8" w:color="auto"/>
            </w:tcBorders>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3,161,653</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ind w:left="160"/>
              <w:spacing w:after="0"/>
              <w:rPr>
                <w:sz w:val="20"/>
                <w:szCs w:val="20"/>
                <w:color w:val="auto"/>
              </w:rPr>
            </w:pPr>
            <w:r>
              <w:rPr>
                <w:rFonts w:ascii="Arial" w:cs="Arial" w:eastAsia="Arial" w:hAnsi="Arial"/>
                <w:sz w:val="16"/>
                <w:szCs w:val="16"/>
                <w:color w:val="auto"/>
                <w:w w:val="99"/>
              </w:rPr>
              <w:t>—</w:t>
            </w:r>
          </w:p>
        </w:tc>
        <w:tc>
          <w:tcPr>
            <w:tcW w:w="540" w:type="dxa"/>
            <w:vAlign w:val="bottom"/>
            <w:gridSpan w:val="2"/>
            <w:shd w:val="clear" w:color="auto" w:fill="CFF0FC"/>
          </w:tcPr>
          <w:p>
            <w:pPr>
              <w:jc w:val="right"/>
              <w:ind w:right="207"/>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9"/>
              </w:rPr>
              <w:t>1,085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FF0FC"/>
            </w:tcBorders>
            <w:gridSpan w:val="4"/>
            <w:shd w:val="clear" w:color="auto" w:fill="CFF0FC"/>
          </w:tcPr>
          <w:p>
            <w:pPr>
              <w:jc w:val="right"/>
              <w:ind w:right="120"/>
              <w:spacing w:after="0"/>
              <w:rPr>
                <w:sz w:val="20"/>
                <w:szCs w:val="20"/>
                <w:color w:val="auto"/>
              </w:rPr>
            </w:pPr>
            <w:r>
              <w:rPr>
                <w:rFonts w:ascii="Arial" w:cs="Arial" w:eastAsia="Arial" w:hAnsi="Arial"/>
                <w:sz w:val="16"/>
                <w:szCs w:val="16"/>
                <w:color w:val="auto"/>
              </w:rPr>
              <w:t>(50,497)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(49,412)</w:t>
            </w:r>
          </w:p>
        </w:tc>
        <w:tc>
          <w:tcPr>
            <w:tcW w:w="0" w:type="dxa"/>
            <w:vAlign w:val="bottom"/>
          </w:tcPr>
          <w:p>
            <w:pPr>
              <w:spacing w:after="0"/>
              <w:rPr>
                <w:sz w:val="1"/>
                <w:szCs w:val="1"/>
                <w:color w:val="auto"/>
              </w:rPr>
            </w:pPr>
          </w:p>
        </w:tc>
      </w:tr>
      <w:tr>
        <w:trPr>
          <w:trHeight w:val="206"/>
        </w:trPr>
        <w:tc>
          <w:tcPr>
            <w:tcW w:w="2300" w:type="dxa"/>
            <w:vAlign w:val="bottom"/>
          </w:tcPr>
          <w:p>
            <w:pPr>
              <w:spacing w:after="0"/>
              <w:rPr>
                <w:sz w:val="20"/>
                <w:szCs w:val="20"/>
                <w:color w:val="auto"/>
              </w:rPr>
            </w:pPr>
            <w:r>
              <w:rPr>
                <w:rFonts w:ascii="Arial" w:cs="Arial" w:eastAsia="Arial" w:hAnsi="Arial"/>
                <w:sz w:val="16"/>
                <w:szCs w:val="16"/>
                <w:color w:val="auto"/>
              </w:rPr>
              <w:t>Sale of Series B convertible</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120"/>
              <w:spacing w:after="0"/>
              <w:rPr>
                <w:sz w:val="20"/>
                <w:szCs w:val="20"/>
                <w:color w:val="auto"/>
              </w:rPr>
            </w:pPr>
            <w:r>
              <w:rPr>
                <w:rFonts w:ascii="Arial" w:cs="Arial" w:eastAsia="Arial" w:hAnsi="Arial"/>
                <w:sz w:val="16"/>
                <w:szCs w:val="16"/>
                <w:color w:val="auto"/>
              </w:rPr>
              <w:t>preferred stock, net of</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00" w:type="dxa"/>
            <w:vAlign w:val="bottom"/>
          </w:tcPr>
          <w:p>
            <w:pPr>
              <w:ind w:left="120"/>
              <w:spacing w:after="0"/>
              <w:rPr>
                <w:sz w:val="20"/>
                <w:szCs w:val="20"/>
                <w:color w:val="auto"/>
              </w:rPr>
            </w:pPr>
            <w:r>
              <w:rPr>
                <w:rFonts w:ascii="Arial" w:cs="Arial" w:eastAsia="Arial" w:hAnsi="Arial"/>
                <w:sz w:val="16"/>
                <w:szCs w:val="16"/>
                <w:color w:val="auto"/>
              </w:rPr>
              <w:t>offering costs of $152</w:t>
            </w:r>
          </w:p>
        </w:tc>
        <w:tc>
          <w:tcPr>
            <w:tcW w:w="5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7,628,846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29,942</w:t>
            </w:r>
          </w:p>
        </w:tc>
        <w:tc>
          <w:tcPr>
            <w:tcW w:w="1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FF0FC"/>
          </w:tcPr>
          <w:p>
            <w:pPr>
              <w:ind w:left="120"/>
              <w:spacing w:after="0"/>
              <w:rPr>
                <w:sz w:val="20"/>
                <w:szCs w:val="20"/>
                <w:color w:val="auto"/>
              </w:rPr>
            </w:pPr>
            <w:r>
              <w:rPr>
                <w:rFonts w:ascii="Arial" w:cs="Arial" w:eastAsia="Arial" w:hAnsi="Arial"/>
                <w:sz w:val="16"/>
                <w:szCs w:val="16"/>
                <w:color w:val="auto"/>
                <w:w w:val="99"/>
              </w:rPr>
              <w:t>expense, including issuance of</w:t>
            </w: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00" w:type="dxa"/>
            <w:vAlign w:val="bottom"/>
            <w:shd w:val="clear" w:color="auto" w:fill="CFF0FC"/>
          </w:tcPr>
          <w:p>
            <w:pPr>
              <w:spacing w:after="0"/>
              <w:rPr>
                <w:sz w:val="20"/>
                <w:szCs w:val="20"/>
                <w:color w:val="auto"/>
              </w:rPr>
            </w:pPr>
            <w:r>
              <w:rPr>
                <w:rFonts w:ascii="Arial" w:cs="Arial" w:eastAsia="Arial" w:hAnsi="Arial"/>
                <w:sz w:val="16"/>
                <w:szCs w:val="16"/>
                <w:color w:val="auto"/>
              </w:rPr>
              <w:t>RSAs</w:t>
            </w: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CFF0FC"/>
            </w:tcBorders>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8"/>
              <w:spacing w:after="0"/>
              <w:rPr>
                <w:sz w:val="20"/>
                <w:szCs w:val="20"/>
                <w:color w:val="auto"/>
              </w:rPr>
            </w:pPr>
            <w:r>
              <w:rPr>
                <w:rFonts w:ascii="Arial" w:cs="Arial" w:eastAsia="Arial" w:hAnsi="Arial"/>
                <w:sz w:val="16"/>
                <w:szCs w:val="16"/>
                <w:color w:val="auto"/>
              </w:rPr>
              <w:t>—</w:t>
            </w:r>
          </w:p>
        </w:tc>
        <w:tc>
          <w:tcPr>
            <w:tcW w:w="80" w:type="dxa"/>
            <w:vAlign w:val="bottom"/>
            <w:tcBorders>
              <w:right w:val="single" w:sz="8" w:color="auto"/>
            </w:tcBorders>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432,301</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ind w:left="16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20"/>
                <w:szCs w:val="20"/>
                <w:color w:val="auto"/>
              </w:rPr>
            </w:pPr>
            <w:r>
              <w:rPr>
                <w:rFonts w:ascii="Arial" w:cs="Arial" w:eastAsia="Arial" w:hAnsi="Arial"/>
                <w:sz w:val="16"/>
                <w:szCs w:val="16"/>
                <w:color w:val="auto"/>
              </w:rPr>
              <w:t>Net loss</w:t>
            </w:r>
          </w:p>
        </w:tc>
        <w:tc>
          <w:tcPr>
            <w:tcW w:w="5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6"/>
                <w:szCs w:val="16"/>
                <w:color w:val="auto"/>
              </w:rPr>
              <w:t>(9,511)</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(9,511)</w:t>
            </w:r>
          </w:p>
        </w:tc>
        <w:tc>
          <w:tcPr>
            <w:tcW w:w="0" w:type="dxa"/>
            <w:vAlign w:val="bottom"/>
          </w:tcPr>
          <w:p>
            <w:pPr>
              <w:spacing w:after="0"/>
              <w:rPr>
                <w:sz w:val="1"/>
                <w:szCs w:val="1"/>
                <w:color w:val="auto"/>
              </w:rPr>
            </w:pPr>
          </w:p>
        </w:tc>
      </w:tr>
      <w:tr>
        <w:trPr>
          <w:trHeight w:val="20"/>
        </w:trPr>
        <w:tc>
          <w:tcPr>
            <w:tcW w:w="230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March 31, 2020</w:t>
            </w:r>
          </w:p>
        </w:tc>
        <w:tc>
          <w:tcPr>
            <w:tcW w:w="8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tcBorders>
              <w:right w:val="single" w:sz="8" w:color="auto"/>
            </w:tcBorders>
            <w:shd w:val="clear" w:color="auto" w:fill="CFF0FC"/>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00" w:type="dxa"/>
            <w:vAlign w:val="bottom"/>
            <w:vMerge w:val="continue"/>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11,736,119</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36,595</w:t>
            </w: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15,257,692</w:t>
            </w: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59,790</w:t>
            </w:r>
          </w:p>
        </w:tc>
        <w:tc>
          <w:tcPr>
            <w:tcW w:w="160" w:type="dxa"/>
            <w:vAlign w:val="bottom"/>
            <w:shd w:val="clear" w:color="auto" w:fill="CFF0FC"/>
          </w:tcPr>
          <w:p>
            <w:pPr>
              <w:spacing w:after="0"/>
              <w:rPr>
                <w:sz w:val="18"/>
                <w:szCs w:val="18"/>
                <w:color w:val="auto"/>
              </w:rPr>
            </w:pPr>
          </w:p>
        </w:tc>
        <w:tc>
          <w:tcPr>
            <w:tcW w:w="80" w:type="dxa"/>
            <w:vAlign w:val="bottom"/>
            <w:tcBorders>
              <w:right w:val="single" w:sz="8" w:color="auto"/>
            </w:tcBorders>
            <w:shd w:val="clear" w:color="auto" w:fill="CFF0FC"/>
          </w:tcPr>
          <w:p>
            <w:pPr>
              <w:spacing w:after="0"/>
              <w:rPr>
                <w:sz w:val="18"/>
                <w:szCs w:val="18"/>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3,593,954</w:t>
            </w:r>
          </w:p>
        </w:tc>
        <w:tc>
          <w:tcPr>
            <w:tcW w:w="1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ind w:left="160"/>
              <w:spacing w:after="0"/>
              <w:rPr>
                <w:sz w:val="20"/>
                <w:szCs w:val="20"/>
                <w:color w:val="auto"/>
              </w:rPr>
            </w:pPr>
            <w:r>
              <w:rPr>
                <w:rFonts w:ascii="Arial" w:cs="Arial" w:eastAsia="Arial" w:hAnsi="Arial"/>
                <w:sz w:val="16"/>
                <w:szCs w:val="16"/>
                <w:color w:val="auto"/>
                <w:w w:val="99"/>
              </w:rPr>
              <w:t>—</w:t>
            </w:r>
          </w:p>
        </w:tc>
        <w:tc>
          <w:tcPr>
            <w:tcW w:w="540" w:type="dxa"/>
            <w:vAlign w:val="bottom"/>
            <w:gridSpan w:val="2"/>
            <w:shd w:val="clear" w:color="auto" w:fill="CFF0FC"/>
          </w:tcPr>
          <w:p>
            <w:pPr>
              <w:jc w:val="right"/>
              <w:ind w:right="207"/>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9"/>
              </w:rPr>
              <w:t>1,447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right w:val="single" w:sz="8" w:color="CFF0FC"/>
            </w:tcBorders>
            <w:gridSpan w:val="4"/>
            <w:shd w:val="clear" w:color="auto" w:fill="CFF0FC"/>
          </w:tcPr>
          <w:p>
            <w:pPr>
              <w:jc w:val="right"/>
              <w:ind w:right="120"/>
              <w:spacing w:after="0"/>
              <w:rPr>
                <w:sz w:val="20"/>
                <w:szCs w:val="20"/>
                <w:color w:val="auto"/>
              </w:rPr>
            </w:pPr>
            <w:r>
              <w:rPr>
                <w:rFonts w:ascii="Arial" w:cs="Arial" w:eastAsia="Arial" w:hAnsi="Arial"/>
                <w:sz w:val="16"/>
                <w:szCs w:val="16"/>
                <w:color w:val="auto"/>
              </w:rPr>
              <w:t>(60,008)</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(58,561)</w:t>
            </w:r>
          </w:p>
        </w:tc>
        <w:tc>
          <w:tcPr>
            <w:tcW w:w="0" w:type="dxa"/>
            <w:vAlign w:val="bottom"/>
          </w:tcPr>
          <w:p>
            <w:pPr>
              <w:spacing w:after="0"/>
              <w:rPr>
                <w:sz w:val="1"/>
                <w:szCs w:val="1"/>
                <w:color w:val="auto"/>
              </w:rPr>
            </w:pPr>
          </w:p>
        </w:tc>
      </w:tr>
      <w:tr>
        <w:trPr>
          <w:trHeight w:val="20"/>
        </w:trPr>
        <w:tc>
          <w:tcPr>
            <w:tcW w:w="23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righ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6980" w:type="dxa"/>
            <w:vAlign w:val="bottom"/>
            <w:tcBorders>
              <w:bottom w:val="single" w:sz="8" w:color="CFF0FC"/>
            </w:tcBorders>
            <w:vMerge w:val="continue"/>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in operating activities: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(21,300)</w:t>
            </w: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(9,511)</w:t>
            </w: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lease expense</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6980" w:type="dxa"/>
            <w:vAlign w:val="bottom"/>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liabilities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7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in investing activities: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6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Cash flows provided by financing activities: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sale of common stock, net of offering costs</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161,424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Proceeds from the sale of Series B convertible preferred stock, net of offering costs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capital lease obligation</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6980" w:type="dxa"/>
            <w:vAlign w:val="bottom"/>
          </w:tcPr>
          <w:p>
            <w:pPr>
              <w:ind w:left="260"/>
              <w:spacing w:after="0"/>
              <w:rPr>
                <w:sz w:val="20"/>
                <w:szCs w:val="20"/>
                <w:color w:val="auto"/>
              </w:rPr>
            </w:pPr>
            <w:r>
              <w:rPr>
                <w:rFonts w:ascii="Arial" w:cs="Arial" w:eastAsia="Arial" w:hAnsi="Arial"/>
                <w:sz w:val="18"/>
                <w:szCs w:val="18"/>
                <w:color w:val="auto"/>
              </w:rPr>
              <w:t>Proceeds from the exercise of stock options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161,810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144,681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7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218,309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7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362,990</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w:t>
            </w: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60"/>
              <w:spacing w:after="0"/>
              <w:rPr>
                <w:sz w:val="20"/>
                <w:szCs w:val="20"/>
                <w:color w:val="auto"/>
              </w:rPr>
            </w:pPr>
            <w:r>
              <w:rPr>
                <w:rFonts w:ascii="Arial" w:cs="Arial" w:eastAsia="Arial" w:hAnsi="Arial"/>
                <w:sz w:val="18"/>
                <w:szCs w:val="18"/>
                <w:color w:val="auto"/>
              </w:rPr>
              <w:t>Property and equipment in accounts payable</w:t>
            </w:r>
          </w:p>
        </w:tc>
        <w:tc>
          <w:tcPr>
            <w:tcW w:w="11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3"/>
                <w:szCs w:val="23"/>
                <w:color w:val="auto"/>
              </w:rPr>
            </w:pP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9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Reclassification of offering costs paid in a prior period</w:t>
            </w:r>
          </w:p>
        </w:tc>
        <w:tc>
          <w:tcPr>
            <w:tcW w:w="7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w:t>
      </w:r>
    </w:p>
    <w:p>
      <w:pPr>
        <w:spacing w:after="0" w:line="121" w:lineRule="exact"/>
        <w:rPr>
          <w:sz w:val="20"/>
          <w:szCs w:val="20"/>
          <w:color w:val="auto"/>
        </w:rPr>
      </w:pPr>
    </w:p>
    <w:p>
      <w:pPr>
        <w:ind w:right="60" w:firstLine="478"/>
        <w:spacing w:after="0" w:line="259" w:lineRule="auto"/>
        <w:rPr>
          <w:sz w:val="20"/>
          <w:szCs w:val="20"/>
          <w:color w:val="auto"/>
        </w:rPr>
      </w:pPr>
      <w:r>
        <w:rPr>
          <w:rFonts w:ascii="Arial" w:cs="Arial" w:eastAsia="Arial" w:hAnsi="Arial"/>
          <w:sz w:val="18"/>
          <w:szCs w:val="18"/>
          <w:color w:val="auto"/>
        </w:rPr>
        <w:t>Prelude Therapeutics Incorporated (the “Company”) was incorporated in Delaware on February 5, 2016 and is a clinical-stage precision oncology company focused on discovering and developing small molecule therapies optimized to target the key driver mechanisms in cancers with high unmet need. Since beginning operations, the Company has devoted substantially all its efforts to research and development, conducting preclinical and clinical studies, recruiting management and technical staff, administration, and raising capital.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Risks and liquidity</w:t>
      </w:r>
    </w:p>
    <w:p>
      <w:pPr>
        <w:spacing w:after="0" w:line="121" w:lineRule="exact"/>
        <w:rPr>
          <w:sz w:val="20"/>
          <w:szCs w:val="20"/>
          <w:color w:val="auto"/>
        </w:rPr>
      </w:pPr>
    </w:p>
    <w:p>
      <w:pPr>
        <w:ind w:right="40" w:firstLine="478"/>
        <w:spacing w:after="0" w:line="269" w:lineRule="auto"/>
        <w:rPr>
          <w:sz w:val="20"/>
          <w:szCs w:val="20"/>
          <w:color w:val="auto"/>
        </w:rPr>
      </w:pPr>
      <w:r>
        <w:rPr>
          <w:rFonts w:ascii="Arial" w:cs="Arial" w:eastAsia="Arial" w:hAnsi="Arial"/>
          <w:sz w:val="17"/>
          <w:szCs w:val="17"/>
          <w:color w:val="auto"/>
        </w:rPr>
        <w:t>The Company is subject to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consultants and contractors.</w:t>
      </w:r>
    </w:p>
    <w:p>
      <w:pPr>
        <w:spacing w:after="0" w:line="185" w:lineRule="exact"/>
        <w:rPr>
          <w:sz w:val="20"/>
          <w:szCs w:val="20"/>
          <w:color w:val="auto"/>
        </w:rPr>
      </w:pPr>
    </w:p>
    <w:p>
      <w:pPr>
        <w:ind w:right="180" w:firstLine="478"/>
        <w:spacing w:after="0" w:line="263" w:lineRule="auto"/>
        <w:rPr>
          <w:sz w:val="20"/>
          <w:szCs w:val="20"/>
          <w:color w:val="auto"/>
        </w:rPr>
      </w:pPr>
      <w:r>
        <w:rPr>
          <w:rFonts w:ascii="Arial" w:cs="Arial" w:eastAsia="Arial" w:hAnsi="Arial"/>
          <w:sz w:val="18"/>
          <w:szCs w:val="18"/>
          <w:color w:val="auto"/>
        </w:rPr>
        <w:t>Since its inception, the Company has incurred operating losses and has an accumulated deficit of $128.7 million at March 31, 2021. The Company has no revenue to date and devotes its efforts to research and development. The Company anticipates incurring additional losses until such time, if ever, that it can generate significant sales of its product candidates currently in development.</w:t>
      </w:r>
    </w:p>
    <w:p>
      <w:pPr>
        <w:spacing w:after="0" w:line="184" w:lineRule="exact"/>
        <w:rPr>
          <w:sz w:val="20"/>
          <w:szCs w:val="20"/>
          <w:color w:val="auto"/>
        </w:rPr>
      </w:pPr>
    </w:p>
    <w:p>
      <w:pPr>
        <w:ind w:right="780" w:firstLine="478"/>
        <w:spacing w:after="0" w:line="277" w:lineRule="auto"/>
        <w:rPr>
          <w:sz w:val="20"/>
          <w:szCs w:val="20"/>
          <w:color w:val="auto"/>
        </w:rPr>
      </w:pPr>
      <w:r>
        <w:rPr>
          <w:rFonts w:ascii="Arial" w:cs="Arial" w:eastAsia="Arial" w:hAnsi="Arial"/>
          <w:sz w:val="18"/>
          <w:szCs w:val="18"/>
          <w:color w:val="auto"/>
        </w:rPr>
        <w:t>The Company believes that its cash and cash equivalents as of March 31, 2021 will be sufficient to fund its operating expenses and capital expenditure requirements into 2023.</w:t>
      </w:r>
    </w:p>
    <w:p>
      <w:pPr>
        <w:spacing w:after="0" w:line="170" w:lineRule="exact"/>
        <w:rPr>
          <w:sz w:val="20"/>
          <w:szCs w:val="20"/>
          <w:color w:val="auto"/>
        </w:rPr>
      </w:pPr>
    </w:p>
    <w:p>
      <w:pPr>
        <w:ind w:right="100" w:firstLine="478"/>
        <w:spacing w:after="0" w:line="273" w:lineRule="auto"/>
        <w:rPr>
          <w:sz w:val="20"/>
          <w:szCs w:val="20"/>
          <w:color w:val="auto"/>
        </w:rPr>
      </w:pPr>
      <w:r>
        <w:rPr>
          <w:rFonts w:ascii="Arial" w:cs="Arial" w:eastAsia="Arial" w:hAnsi="Arial"/>
          <w:sz w:val="17"/>
          <w:szCs w:val="17"/>
          <w:color w:val="auto"/>
        </w:rPr>
        <w:t>To fund its operating expenses and capital expenditure requirements after that date,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178" w:lineRule="exact"/>
        <w:rPr>
          <w:sz w:val="20"/>
          <w:szCs w:val="20"/>
          <w:color w:val="auto"/>
        </w:rPr>
      </w:pPr>
    </w:p>
    <w:p>
      <w:pPr>
        <w:ind w:firstLine="478"/>
        <w:spacing w:after="0" w:line="254" w:lineRule="auto"/>
        <w:rPr>
          <w:sz w:val="20"/>
          <w:szCs w:val="20"/>
          <w:color w:val="auto"/>
        </w:rPr>
      </w:pPr>
      <w:r>
        <w:rPr>
          <w:rFonts w:ascii="Arial" w:cs="Arial" w:eastAsia="Arial" w:hAnsi="Arial"/>
          <w:sz w:val="18"/>
          <w:szCs w:val="18"/>
          <w:color w:val="auto"/>
        </w:rPr>
        <w:t>On March 10, 2020, the World Health Organization characterized the novel COVID-19 virus as a global pandemic. There is significant uncertainty as to the likely effects of this disease which may, among other things, materially impact the Company’s planned clinical trials. This pandemic or outbreak could result in difficulty securing clinical trial site locations, CROs, and/or trial monitors and other critical vendors and consultants supporting the trial. In addition, outbreaks or the perception of an outbreak near a clinical trial site location could impact the Company’s ability to enroll patients. These situations, or others associated with COVID-19, could cause delays in the Company’s clinical trial plans and could increase expected costs, all of which could have a material adverse effect on the Company’s business and its financial condition. At the current time, the Company is unable to quantify the potential effects of this pandemic on its future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jc w:val="both"/>
        <w:ind w:right="60" w:firstLine="478"/>
        <w:spacing w:after="0" w:line="263" w:lineRule="auto"/>
        <w:rPr>
          <w:sz w:val="20"/>
          <w:szCs w:val="20"/>
          <w:color w:val="auto"/>
        </w:rPr>
      </w:pPr>
      <w:r>
        <w:rPr>
          <w:rFonts w:ascii="Arial" w:cs="Arial" w:eastAsia="Arial" w:hAnsi="Arial"/>
          <w:sz w:val="18"/>
          <w:szCs w:val="18"/>
          <w:color w:val="auto"/>
        </w:rPr>
        <w:t>The summary of significant accounting policies included in the Company’s financial statements for the year ended December 31, 2020 can be found in “Note 3. Summary of significant accounting policies” of the Company’s Form 10-K filed with the Securities and Exchange Commission (the “SEC”) on March 16, 2021. Those policies have not materially changed, except as set forth below.</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35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00" w:firstLine="478"/>
        <w:spacing w:after="0" w:line="290" w:lineRule="auto"/>
        <w:rPr>
          <w:sz w:val="20"/>
          <w:szCs w:val="20"/>
          <w:color w:val="auto"/>
        </w:rPr>
      </w:pPr>
      <w:r>
        <w:rPr>
          <w:rFonts w:ascii="Arial" w:cs="Arial" w:eastAsia="Arial" w:hAnsi="Arial"/>
          <w:sz w:val="16"/>
          <w:szCs w:val="16"/>
          <w:color w:val="auto"/>
        </w:rPr>
        <w:t>The accompanying unaudited interim financial statements have been prepared in accordance with generally accepted accounting principles (“GAAP”) for interim financial information, the instructions to Form 10-Q and Article 10 of Regulation S-X. They do not include all of the information and notes required by GAAP for complete financial statements. In the opinion of management, all adjustments (consisting of normal recurring accruals) considered necessary for a fair presentation have been included. Operating results for the three month periods ended March 31, 2021 are not necessarily indicative of the results that may be expected for the year ending December 31, 2021. The accompanying unaudited interim financial statements should be read in conjunction with the annual audited financial statements and related notes as of and for the year ended December 31, 2020 found in the Form 10-K filed with the SEC on March 16, 2021. Any reference in these notes to applicable guidance is meant to refer to GAAP as found in the Accounting Standards Codification (“ASC”) and Accounting Standards Updates (“ASU”) of the Financial Accounting Standards Board (“FASB”).</w:t>
      </w:r>
    </w:p>
    <w:p>
      <w:pPr>
        <w:spacing w:after="0" w:line="27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right="260" w:firstLine="478"/>
        <w:spacing w:after="0" w:line="311" w:lineRule="auto"/>
        <w:rPr>
          <w:sz w:val="20"/>
          <w:szCs w:val="20"/>
          <w:color w:val="auto"/>
        </w:rPr>
      </w:pPr>
      <w:r>
        <w:rPr>
          <w:rFonts w:ascii="Arial" w:cs="Arial" w:eastAsia="Arial" w:hAnsi="Arial"/>
          <w:sz w:val="16"/>
          <w:szCs w:val="16"/>
          <w:color w:val="auto"/>
        </w:rPr>
        <w:t>The preparation of the unaudited interim financial statements in conformity with GAAP requires management to make estimates and assumptions that affect the reported amounts of assets and liabilities and disclosure of contingent assets and contingent liabilities at the date of the unaudited interim financial statements and the reported amounts of expenses during the reporting period. Actual results could differ from those estimates.</w:t>
      </w:r>
    </w:p>
    <w:p>
      <w:pPr>
        <w:spacing w:after="0" w:line="149" w:lineRule="exact"/>
        <w:rPr>
          <w:sz w:val="20"/>
          <w:szCs w:val="20"/>
          <w:color w:val="auto"/>
        </w:rPr>
      </w:pPr>
    </w:p>
    <w:p>
      <w:pPr>
        <w:ind w:right="220" w:firstLine="478"/>
        <w:spacing w:after="0" w:line="308" w:lineRule="auto"/>
        <w:rPr>
          <w:sz w:val="20"/>
          <w:szCs w:val="20"/>
          <w:color w:val="auto"/>
        </w:rPr>
      </w:pPr>
      <w:r>
        <w:rPr>
          <w:rFonts w:ascii="Arial" w:cs="Arial" w:eastAsia="Arial" w:hAnsi="Arial"/>
          <w:sz w:val="17"/>
          <w:szCs w:val="17"/>
          <w:color w:val="auto"/>
        </w:rPr>
        <w:t>Estimates and assumptions are periodically reviewed and the effects of the revisions are reflected in the accompanying unaudited interim financial statements in the period they are determined to be necessary. The most significant estimate relates to accrued clinical trial expenses.</w:t>
      </w:r>
    </w:p>
    <w:p>
      <w:pPr>
        <w:spacing w:after="0" w:line="25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478"/>
        <w:spacing w:after="0" w:line="263" w:lineRule="auto"/>
        <w:rPr>
          <w:sz w:val="20"/>
          <w:szCs w:val="20"/>
          <w:color w:val="auto"/>
        </w:rPr>
      </w:pPr>
      <w:r>
        <w:rPr>
          <w:rFonts w:ascii="Arial" w:cs="Arial" w:eastAsia="Arial" w:hAnsi="Arial"/>
          <w:sz w:val="18"/>
          <w:szCs w:val="18"/>
          <w:color w:val="auto"/>
        </w:rPr>
        <w:t>Based upon the historical and anticipated future losses, management has determined that the deferred tax assets generated by net operating losses and research and development credits do not meet the more likely than not threshold for realizability. Accordingly, a full valuation allowance has been recorded against the Company’s net deferred tax assets as of March 31, 2021 and December 31, 2020.</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40" w:firstLine="478"/>
        <w:spacing w:after="0" w:line="269" w:lineRule="auto"/>
        <w:rPr>
          <w:sz w:val="20"/>
          <w:szCs w:val="20"/>
          <w:color w:val="auto"/>
        </w:rPr>
      </w:pPr>
      <w:r>
        <w:rPr>
          <w:rFonts w:ascii="Arial" w:cs="Arial" w:eastAsia="Arial" w:hAnsi="Arial"/>
          <w:sz w:val="17"/>
          <w:szCs w:val="17"/>
          <w:color w:val="auto"/>
        </w:rPr>
        <w:t>Basic net loss per share of common stock is computed by dividing net loss by the weighted-average number of shares of common stock outstanding during each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of common stock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convertible preferred stock and unvested restricted stock entitles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convertible preferred stock and unvested restricted stock have no obligation to fund losses.</w:t>
      </w:r>
    </w:p>
    <w:p>
      <w:pPr>
        <w:spacing w:after="0" w:line="185" w:lineRule="exact"/>
        <w:rPr>
          <w:sz w:val="20"/>
          <w:szCs w:val="20"/>
          <w:color w:val="auto"/>
        </w:rPr>
      </w:pPr>
    </w:p>
    <w:p>
      <w:pPr>
        <w:ind w:right="680" w:firstLine="478"/>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of common stock outstanding, as they would be anti-dilutive: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240" w:type="dxa"/>
            <w:vAlign w:val="bottom"/>
            <w:tcBorders>
              <w:bottom w:val="single" w:sz="8" w:color="auto"/>
            </w:tcBorders>
            <w:gridSpan w:val="3"/>
          </w:tcPr>
          <w:p>
            <w:pPr>
              <w:ind w:left="1380"/>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156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Series A convertible preferred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11,736,119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22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15,257,692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 awards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1,009,462</w:t>
            </w: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1,719,052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 options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6,732,969</w:t>
            </w:r>
          </w:p>
        </w:tc>
        <w:tc>
          <w:tcPr>
            <w:tcW w:w="2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3,458,988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7,742,431</w:t>
            </w: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32,171,851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Amounts in the above table reflect the common stock equivalents.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35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Emerging Growth Company Status</w:t>
      </w:r>
    </w:p>
    <w:p>
      <w:pPr>
        <w:spacing w:after="0" w:line="117" w:lineRule="exact"/>
        <w:rPr>
          <w:sz w:val="20"/>
          <w:szCs w:val="20"/>
          <w:color w:val="auto"/>
        </w:rPr>
      </w:pPr>
    </w:p>
    <w:p>
      <w:pPr>
        <w:ind w:right="160" w:firstLine="478"/>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unaudited interim financial statements may not be comparable to companies that comply with the new or revised accounting pronouncements as of public company effective dates.</w:t>
      </w:r>
    </w:p>
    <w:p>
      <w:pPr>
        <w:spacing w:after="0" w:line="30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80" w:firstLine="478"/>
        <w:spacing w:after="0" w:line="259" w:lineRule="auto"/>
        <w:rPr>
          <w:sz w:val="20"/>
          <w:szCs w:val="20"/>
          <w:color w:val="auto"/>
        </w:rPr>
      </w:pPr>
      <w:r>
        <w:rPr>
          <w:rFonts w:ascii="Arial" w:cs="Arial" w:eastAsia="Arial" w:hAnsi="Arial"/>
          <w:sz w:val="18"/>
          <w:szCs w:val="18"/>
          <w:color w:val="auto"/>
        </w:rPr>
        <w:t>On January 1, 2021, the Company adopted ASC 842 issued by the FASB in February 2016, which was subsequently supplemented by clarifying guidance to improve financial reporting of leasing transactions. The new lease accounting guidance requires lessees to recognize lease liabilities and right-of-use assets on the balance sheet for all leases with initial terms longer than 12 months and provides enhanced disclosures on key information of leasing arrangements.</w:t>
      </w:r>
    </w:p>
    <w:p>
      <w:pPr>
        <w:spacing w:after="0" w:line="227" w:lineRule="exact"/>
        <w:rPr>
          <w:sz w:val="20"/>
          <w:szCs w:val="20"/>
          <w:color w:val="auto"/>
        </w:rPr>
      </w:pPr>
    </w:p>
    <w:p>
      <w:pPr>
        <w:ind w:firstLine="478"/>
        <w:spacing w:after="0" w:line="271" w:lineRule="auto"/>
        <w:rPr>
          <w:sz w:val="20"/>
          <w:szCs w:val="20"/>
          <w:color w:val="auto"/>
        </w:rPr>
      </w:pPr>
      <w:r>
        <w:rPr>
          <w:rFonts w:ascii="Arial" w:cs="Arial" w:eastAsia="Arial" w:hAnsi="Arial"/>
          <w:sz w:val="17"/>
          <w:szCs w:val="17"/>
          <w:color w:val="auto"/>
        </w:rPr>
        <w:t>The Company adopted the new standard using the modified retrospective transition method utilizing the optional transition method and elected the package of practical expedients. Accordingly, prior periods will not be restated to reflect the adopted standard. In accordance with the guidance in ASC 842, components of a lease should be split into three categories: lease components (e.g., land, building, etc.), non-lease components (e.g., common area maintenance, maintenance, consumables, etc.), and non-components (e.g., property taxes, insurance, etc.). The Company has elected the practical expedient to account for the lease and non-lease components of each of its operating leases as a single lease component and allocate all of the contract consideration to the lease component only. Upon adoption, the Company recorded a right of use asset of $2.5 million and corresponding operating lease liabilities of $2.5 million, with an offset to accrued expenses and other current liabilities of approximately $64,000 to eliminate deferred rent on the balance sheets. Refer to Note 7 for the Company’s lease disclosures.</w:t>
      </w:r>
    </w:p>
    <w:p>
      <w:pPr>
        <w:spacing w:after="0" w:line="205" w:lineRule="exact"/>
        <w:rPr>
          <w:sz w:val="20"/>
          <w:szCs w:val="20"/>
          <w:color w:val="auto"/>
        </w:rPr>
      </w:pPr>
    </w:p>
    <w:p>
      <w:pPr>
        <w:ind w:firstLine="478"/>
        <w:spacing w:after="0" w:line="271" w:lineRule="auto"/>
        <w:rPr>
          <w:sz w:val="20"/>
          <w:szCs w:val="20"/>
          <w:color w:val="auto"/>
        </w:rPr>
      </w:pPr>
      <w:r>
        <w:rPr>
          <w:rFonts w:ascii="Arial" w:cs="Arial" w:eastAsia="Arial" w:hAnsi="Arial"/>
          <w:sz w:val="17"/>
          <w:szCs w:val="17"/>
          <w:color w:val="auto"/>
        </w:rPr>
        <w:t>At lease commencement, the Company records a lease liability based on the present value of lease payments over the expected lease term including any options to extend the lease that the Company is reasonably certain to exercise. The Company calculates the present value of lease payments using an incremental borrowing rate as the Company’s leases do not provide an implicit interest rate. The Company’s incremental borrowing rate for a lease is the rate of interest it would have to pay on a collateralized basis to borrow an amount equal to the lease payments under similar terms. At the lease commencement date, the Company records a corresponding right-of-use lease asset based on the lease liability, adjusted for any lease incentives received and any initial direct costs paid to the lessor prior to the lease commencement date. The Company may enter into leases with an initial term of 12 months or less (“Short-Term Leases”). For Short-Term Leases, the Company records the rent expense on a straight-line basis and does not record the leases on the consolidated balance sheet. The Company had no Short-Term Leases as of March 31, 2021.</w:t>
      </w:r>
    </w:p>
    <w:p>
      <w:pPr>
        <w:spacing w:after="0" w:line="178" w:lineRule="exact"/>
        <w:rPr>
          <w:sz w:val="20"/>
          <w:szCs w:val="20"/>
          <w:color w:val="auto"/>
        </w:rPr>
      </w:pPr>
    </w:p>
    <w:p>
      <w:pPr>
        <w:ind w:right="60" w:firstLine="478"/>
        <w:spacing w:after="0" w:line="275" w:lineRule="auto"/>
        <w:rPr>
          <w:sz w:val="20"/>
          <w:szCs w:val="20"/>
          <w:color w:val="auto"/>
        </w:rPr>
      </w:pPr>
      <w:r>
        <w:rPr>
          <w:rFonts w:ascii="Arial" w:cs="Arial" w:eastAsia="Arial" w:hAnsi="Arial"/>
          <w:sz w:val="17"/>
          <w:szCs w:val="17"/>
          <w:color w:val="auto"/>
        </w:rPr>
        <w:t>After lease commencement, the Company measures its leases as follows: (i) the lease liability based on the present value of the remaining lease payments using the discount rate determined at lease commencement and (ii) the right-of-use lease asset based on the re-measured lease liability, adjusted for any unamortized lease incentives received, any unamortized initial direct costs and the cumulative difference between rent expense and amounts paid under the lease agreement. Any lease incentives received, and any initial direct costs incurred are amortized on a straight-line basis over the expected lease term. Rent expense is recorded on a straight-line basis over the expected lease term.</w:t>
      </w:r>
    </w:p>
    <w:p>
      <w:pPr>
        <w:spacing w:after="0" w:line="176" w:lineRule="exact"/>
        <w:rPr>
          <w:sz w:val="20"/>
          <w:szCs w:val="20"/>
          <w:color w:val="auto"/>
        </w:rPr>
      </w:pPr>
    </w:p>
    <w:p>
      <w:pPr>
        <w:ind w:right="60" w:firstLine="478"/>
        <w:spacing w:after="0" w:line="277" w:lineRule="auto"/>
        <w:rPr>
          <w:sz w:val="20"/>
          <w:szCs w:val="20"/>
          <w:color w:val="auto"/>
        </w:rPr>
      </w:pPr>
      <w:r>
        <w:rPr>
          <w:rFonts w:ascii="Arial" w:cs="Arial" w:eastAsia="Arial" w:hAnsi="Arial"/>
          <w:sz w:val="18"/>
          <w:szCs w:val="18"/>
          <w:color w:val="auto"/>
        </w:rPr>
        <w:t>The adoption of the new lease accounting standard did not have a material impact on the Company’s results of operations or cash flows for the three months ended March 31, 2021.</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40" w:firstLine="478"/>
        <w:spacing w:after="0" w:line="259" w:lineRule="auto"/>
        <w:rPr>
          <w:sz w:val="20"/>
          <w:szCs w:val="20"/>
          <w:color w:val="auto"/>
        </w:rPr>
      </w:pPr>
      <w:r>
        <w:rPr>
          <w:rFonts w:ascii="Arial" w:cs="Arial" w:eastAsia="Arial" w:hAnsi="Arial"/>
          <w:sz w:val="18"/>
          <w:szCs w:val="18"/>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33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nature of the assets and liabilities, various valuation techniques and assumptions are used when estimating fair value. The Company follows the provisions of ASC 820, for financial assets and liabilities measured on a recurring basis. The guidance requires fair value measurements be classified and disclosed in one of the following three categories:</w:t>
      </w:r>
    </w:p>
    <w:p>
      <w:pPr>
        <w:spacing w:after="0" w:line="76" w:lineRule="exact"/>
        <w:rPr>
          <w:sz w:val="20"/>
          <w:szCs w:val="20"/>
          <w:color w:val="auto"/>
        </w:rPr>
      </w:pPr>
    </w:p>
    <w:p>
      <w:pPr>
        <w:ind w:left="960" w:hanging="480"/>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40" w:lineRule="exact"/>
        <w:rPr>
          <w:rFonts w:ascii="Arial" w:cs="Arial" w:eastAsia="Arial" w:hAnsi="Arial"/>
          <w:sz w:val="16"/>
          <w:szCs w:val="16"/>
          <w:color w:val="auto"/>
        </w:rPr>
      </w:pPr>
    </w:p>
    <w:p>
      <w:pPr>
        <w:ind w:left="960" w:right="20" w:hanging="480"/>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Quoted prices in markets that are not active, or inputs which are observable, either directly or indirectly, for substantially the full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asset or liabilities.</w:t>
      </w:r>
    </w:p>
    <w:p>
      <w:pPr>
        <w:spacing w:after="0" w:line="62" w:lineRule="exact"/>
        <w:rPr>
          <w:rFonts w:ascii="Arial" w:cs="Arial" w:eastAsia="Arial" w:hAnsi="Arial"/>
          <w:sz w:val="18"/>
          <w:szCs w:val="18"/>
          <w:color w:val="auto"/>
        </w:rPr>
      </w:pPr>
    </w:p>
    <w:p>
      <w:pPr>
        <w:ind w:left="960" w:right="900" w:hanging="480"/>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Prices or valuation techniques that require inputs that are both significant to the fair value measurement and unobservable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(i.e., supported by little or no market activity).</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fair value hierarchy table presents information about the Company’s assets and liabilities measured at fair value on a recurring basis: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20" w:type="dxa"/>
            <w:vAlign w:val="bottom"/>
            <w:gridSpan w:val="11"/>
          </w:tcPr>
          <w:p>
            <w:pPr>
              <w:jc w:val="center"/>
              <w:ind w:right="280"/>
              <w:spacing w:after="0"/>
              <w:rPr>
                <w:sz w:val="20"/>
                <w:szCs w:val="20"/>
                <w:color w:val="auto"/>
              </w:rPr>
            </w:pPr>
            <w:r>
              <w:rPr>
                <w:rFonts w:ascii="Arial" w:cs="Arial" w:eastAsia="Arial" w:hAnsi="Arial"/>
                <w:sz w:val="14"/>
                <w:szCs w:val="14"/>
                <w:b w:val="1"/>
                <w:bCs w:val="1"/>
                <w:color w:val="auto"/>
                <w:w w:val="93"/>
              </w:rPr>
              <w:t>Fair value measurement at reporting date using</w:t>
            </w:r>
          </w:p>
        </w:tc>
        <w:tc>
          <w:tcPr>
            <w:tcW w:w="0" w:type="dxa"/>
            <w:vAlign w:val="bottom"/>
          </w:tcPr>
          <w:p>
            <w:pPr>
              <w:spacing w:after="0"/>
              <w:rPr>
                <w:sz w:val="1"/>
                <w:szCs w:val="1"/>
                <w:color w:val="auto"/>
              </w:rPr>
            </w:pPr>
          </w:p>
        </w:tc>
      </w:tr>
      <w:tr>
        <w:trPr>
          <w:trHeight w:val="133"/>
        </w:trPr>
        <w:tc>
          <w:tcPr>
            <w:tcW w:w="6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107"/>
              <w:spacing w:after="0" w:line="133" w:lineRule="exact"/>
              <w:rPr>
                <w:sz w:val="20"/>
                <w:szCs w:val="20"/>
                <w:color w:val="auto"/>
              </w:rPr>
            </w:pPr>
            <w:r>
              <w:rPr>
                <w:rFonts w:ascii="Arial" w:cs="Arial" w:eastAsia="Arial" w:hAnsi="Arial"/>
                <w:sz w:val="14"/>
                <w:szCs w:val="14"/>
                <w:b w:val="1"/>
                <w:bCs w:val="1"/>
                <w:color w:val="auto"/>
                <w:w w:val="91"/>
              </w:rPr>
              <w:t>Quoted prices</w:t>
            </w: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center"/>
              <w:ind w:left="228"/>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07"/>
              <w:spacing w:after="0" w:line="149" w:lineRule="exact"/>
              <w:rPr>
                <w:sz w:val="20"/>
                <w:szCs w:val="20"/>
                <w:color w:val="auto"/>
              </w:rPr>
            </w:pPr>
            <w:r>
              <w:rPr>
                <w:rFonts w:ascii="Arial" w:cs="Arial" w:eastAsia="Arial" w:hAnsi="Arial"/>
                <w:sz w:val="14"/>
                <w:szCs w:val="14"/>
                <w:b w:val="1"/>
                <w:bCs w:val="1"/>
                <w:color w:val="auto"/>
                <w:w w:val="89"/>
              </w:rPr>
              <w:t>in active</w:t>
            </w:r>
          </w:p>
        </w:tc>
        <w:tc>
          <w:tcPr>
            <w:tcW w:w="2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87"/>
              <w:spacing w:after="0" w:line="149" w:lineRule="exact"/>
              <w:rPr>
                <w:sz w:val="20"/>
                <w:szCs w:val="20"/>
                <w:color w:val="auto"/>
              </w:rPr>
            </w:pPr>
            <w:r>
              <w:rPr>
                <w:rFonts w:ascii="Arial" w:cs="Arial" w:eastAsia="Arial" w:hAnsi="Arial"/>
                <w:sz w:val="14"/>
                <w:szCs w:val="14"/>
                <w:b w:val="1"/>
                <w:bCs w:val="1"/>
                <w:color w:val="auto"/>
                <w:w w:val="94"/>
              </w:rPr>
              <w:t>markets for</w:t>
            </w:r>
          </w:p>
        </w:tc>
        <w:tc>
          <w:tcPr>
            <w:tcW w:w="240" w:type="dxa"/>
            <w:vAlign w:val="bottom"/>
          </w:tcPr>
          <w:p>
            <w:pPr>
              <w:spacing w:after="0"/>
              <w:rPr>
                <w:sz w:val="12"/>
                <w:szCs w:val="12"/>
                <w:color w:val="auto"/>
              </w:rPr>
            </w:pPr>
          </w:p>
        </w:tc>
        <w:tc>
          <w:tcPr>
            <w:tcW w:w="104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1"/>
              </w:rPr>
              <w:t>other</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07"/>
              <w:spacing w:after="0" w:line="149" w:lineRule="exact"/>
              <w:rPr>
                <w:sz w:val="20"/>
                <w:szCs w:val="20"/>
                <w:color w:val="auto"/>
              </w:rPr>
            </w:pPr>
            <w:r>
              <w:rPr>
                <w:rFonts w:ascii="Arial" w:cs="Arial" w:eastAsia="Arial" w:hAnsi="Arial"/>
                <w:sz w:val="14"/>
                <w:szCs w:val="14"/>
                <w:b w:val="1"/>
                <w:bCs w:val="1"/>
                <w:color w:val="auto"/>
                <w:w w:val="94"/>
              </w:rPr>
              <w:t>identical</w:t>
            </w:r>
          </w:p>
        </w:tc>
        <w:tc>
          <w:tcPr>
            <w:tcW w:w="240" w:type="dxa"/>
            <w:vAlign w:val="bottom"/>
          </w:tcPr>
          <w:p>
            <w:pPr>
              <w:spacing w:after="0"/>
              <w:rPr>
                <w:sz w:val="12"/>
                <w:szCs w:val="12"/>
                <w:color w:val="auto"/>
              </w:rPr>
            </w:pPr>
          </w:p>
        </w:tc>
        <w:tc>
          <w:tcPr>
            <w:tcW w:w="10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9"/>
              </w:rPr>
              <w:t>observable</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07"/>
              <w:spacing w:after="0" w:line="149" w:lineRule="exact"/>
              <w:rPr>
                <w:sz w:val="20"/>
                <w:szCs w:val="20"/>
                <w:color w:val="auto"/>
              </w:rPr>
            </w:pPr>
            <w:r>
              <w:rPr>
                <w:rFonts w:ascii="Arial" w:cs="Arial" w:eastAsia="Arial" w:hAnsi="Arial"/>
                <w:sz w:val="14"/>
                <w:szCs w:val="14"/>
                <w:b w:val="1"/>
                <w:bCs w:val="1"/>
                <w:color w:val="auto"/>
                <w:w w:val="77"/>
              </w:rPr>
              <w:t>assets</w:t>
            </w:r>
          </w:p>
        </w:tc>
        <w:tc>
          <w:tcPr>
            <w:tcW w:w="240" w:type="dxa"/>
            <w:vAlign w:val="bottom"/>
          </w:tcPr>
          <w:p>
            <w:pPr>
              <w:spacing w:after="0"/>
              <w:rPr>
                <w:sz w:val="12"/>
                <w:szCs w:val="12"/>
                <w:color w:val="auto"/>
              </w:rPr>
            </w:pPr>
          </w:p>
        </w:tc>
        <w:tc>
          <w:tcPr>
            <w:tcW w:w="10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inputs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62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07"/>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1040" w:type="dxa"/>
            <w:vAlign w:val="bottom"/>
          </w:tcPr>
          <w:p>
            <w:pPr>
              <w:jc w:val="center"/>
              <w:ind w:left="228"/>
              <w:spacing w:after="0"/>
              <w:rPr>
                <w:sz w:val="20"/>
                <w:szCs w:val="20"/>
                <w:color w:val="auto"/>
              </w:rPr>
            </w:pPr>
            <w:r>
              <w:rPr>
                <w:rFonts w:ascii="Arial" w:cs="Arial" w:eastAsia="Arial" w:hAnsi="Arial"/>
                <w:sz w:val="14"/>
                <w:szCs w:val="14"/>
                <w:b w:val="1"/>
                <w:bCs w:val="1"/>
                <w:color w:val="auto"/>
                <w:w w:val="94"/>
              </w:rPr>
              <w:t>(Level 2)</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March 31, 2021:</w:t>
            </w:r>
          </w:p>
        </w:tc>
        <w:tc>
          <w:tcPr>
            <w:tcW w:w="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Assets: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equivalents (Money Market Funds)</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360,549</w:t>
            </w:r>
          </w:p>
        </w:tc>
        <w:tc>
          <w:tcPr>
            <w:tcW w:w="1280" w:type="dxa"/>
            <w:vAlign w:val="bottom"/>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FF0FC"/>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60"/>
              <w:spacing w:after="0"/>
              <w:rPr>
                <w:sz w:val="20"/>
                <w:szCs w:val="20"/>
                <w:color w:val="auto"/>
              </w:rPr>
            </w:pPr>
            <w:r>
              <w:rPr>
                <w:rFonts w:ascii="Arial" w:cs="Arial" w:eastAsia="Arial" w:hAnsi="Arial"/>
                <w:sz w:val="18"/>
                <w:szCs w:val="18"/>
                <w:color w:val="auto"/>
              </w:rPr>
              <w:t>Cash equivalents (Money Market Funds)</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217,072</w:t>
            </w:r>
          </w:p>
        </w:tc>
        <w:tc>
          <w:tcPr>
            <w:tcW w:w="128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6"/>
        </w:trPr>
        <w:tc>
          <w:tcPr>
            <w:tcW w:w="6200" w:type="dxa"/>
            <w:vAlign w:val="bottom"/>
          </w:tcPr>
          <w:p>
            <w:pPr>
              <w:spacing w:after="0"/>
              <w:rPr>
                <w:sz w:val="20"/>
                <w:szCs w:val="20"/>
                <w:color w:val="auto"/>
              </w:rPr>
            </w:pPr>
            <w:r>
              <w:rPr>
                <w:rFonts w:ascii="Arial" w:cs="Arial" w:eastAsia="Arial" w:hAnsi="Arial"/>
                <w:sz w:val="18"/>
                <w:szCs w:val="18"/>
                <w:b w:val="1"/>
                <w:bCs w:val="1"/>
                <w:color w:val="auto"/>
              </w:rPr>
              <w:t>5. Accrued Expenses and Other Current Liabilities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0" w:type="dxa"/>
            <w:vAlign w:val="bottom"/>
          </w:tcPr>
          <w:p>
            <w:pPr>
              <w:ind w:left="480"/>
              <w:spacing w:after="0"/>
              <w:rPr>
                <w:sz w:val="20"/>
                <w:szCs w:val="20"/>
                <w:color w:val="auto"/>
              </w:rPr>
            </w:pPr>
            <w:r>
              <w:rPr>
                <w:rFonts w:ascii="Arial" w:cs="Arial" w:eastAsia="Arial" w:hAnsi="Arial"/>
                <w:sz w:val="18"/>
                <w:szCs w:val="18"/>
                <w:color w:val="auto"/>
                <w:w w:val="99"/>
              </w:rPr>
              <w:t>Accrued expenses and other current liabilities consisted of the following:</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200" w:type="dxa"/>
            <w:vAlign w:val="bottom"/>
            <w:tcBorders>
              <w:bottom w:val="single" w:sz="8" w:color="CFF0FC"/>
            </w:tcBorders>
            <w:vMerge w:val="continue"/>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related benefits</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3,247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2,904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6,179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Common Stock Offering</w:t>
      </w:r>
    </w:p>
    <w:p>
      <w:pPr>
        <w:spacing w:after="0" w:line="117" w:lineRule="exact"/>
        <w:rPr>
          <w:sz w:val="20"/>
          <w:szCs w:val="20"/>
          <w:color w:val="auto"/>
        </w:rPr>
      </w:pPr>
    </w:p>
    <w:p>
      <w:pPr>
        <w:jc w:val="both"/>
        <w:ind w:right="140" w:firstLine="478"/>
        <w:spacing w:after="0" w:line="308" w:lineRule="auto"/>
        <w:rPr>
          <w:sz w:val="20"/>
          <w:szCs w:val="20"/>
          <w:color w:val="auto"/>
        </w:rPr>
      </w:pPr>
      <w:r>
        <w:rPr>
          <w:rFonts w:ascii="Arial" w:cs="Arial" w:eastAsia="Arial" w:hAnsi="Arial"/>
          <w:sz w:val="17"/>
          <w:szCs w:val="17"/>
          <w:color w:val="auto"/>
        </w:rPr>
        <w:t>In January 2021, the Company sold 2,875,000 shares of its common stock at a public offering price of $60.00 per share. The Company received net proceeds of $161.4 million after deducting underwriting discounts, commissions, and other offering expenses paid by the Company.</w:t>
      </w:r>
    </w:p>
    <w:p>
      <w:pPr>
        <w:spacing w:after="0" w:line="38" w:lineRule="exact"/>
        <w:rPr>
          <w:sz w:val="20"/>
          <w:szCs w:val="20"/>
          <w:color w:val="auto"/>
        </w:rPr>
      </w:pPr>
    </w:p>
    <w:p>
      <w:pPr>
        <w:ind w:right="40" w:firstLine="478"/>
        <w:spacing w:after="0" w:line="291" w:lineRule="auto"/>
        <w:rPr>
          <w:sz w:val="20"/>
          <w:szCs w:val="20"/>
          <w:color w:val="auto"/>
        </w:rPr>
      </w:pPr>
      <w:r>
        <w:rPr>
          <w:rFonts w:ascii="Arial" w:cs="Arial" w:eastAsia="Arial" w:hAnsi="Arial"/>
          <w:sz w:val="16"/>
          <w:szCs w:val="16"/>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33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328" w:lineRule="exact"/>
        <w:rPr>
          <w:sz w:val="20"/>
          <w:szCs w:val="20"/>
          <w:color w:val="auto"/>
        </w:rPr>
      </w:pPr>
    </w:p>
    <w:p>
      <w:pPr>
        <w:ind w:left="520" w:right="9960" w:hanging="512"/>
        <w:spacing w:after="0" w:line="488" w:lineRule="auto"/>
        <w:tabs>
          <w:tab w:leader="none" w:pos="190" w:val="left"/>
        </w:tabs>
        <w:numPr>
          <w:ilvl w:val="0"/>
          <w:numId w:val="4"/>
        </w:numPr>
        <w:rPr>
          <w:rFonts w:ascii="Arial" w:cs="Arial" w:eastAsia="Arial" w:hAnsi="Arial"/>
          <w:sz w:val="16"/>
          <w:szCs w:val="16"/>
          <w:b w:val="1"/>
          <w:bCs w:val="1"/>
          <w:color w:val="231F20"/>
        </w:rPr>
      </w:pPr>
      <w:r>
        <w:rPr>
          <w:rFonts w:ascii="Arial" w:cs="Arial" w:eastAsia="Arial" w:hAnsi="Arial"/>
          <w:sz w:val="16"/>
          <w:szCs w:val="16"/>
          <w:b w:val="1"/>
          <w:bCs w:val="1"/>
          <w:color w:val="231F20"/>
        </w:rPr>
        <w:t xml:space="preserve">Commitments </w:t>
      </w:r>
      <w:r>
        <w:rPr>
          <w:rFonts w:ascii="Arial" w:cs="Arial" w:eastAsia="Arial" w:hAnsi="Arial"/>
          <w:sz w:val="16"/>
          <w:szCs w:val="16"/>
          <w:b w:val="1"/>
          <w:bCs w:val="1"/>
          <w:i w:val="1"/>
          <w:iCs w:val="1"/>
          <w:color w:val="231F20"/>
        </w:rPr>
        <w:t>Leases</w:t>
      </w:r>
    </w:p>
    <w:p>
      <w:pPr>
        <w:spacing w:after="0" w:line="12"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 xml:space="preserve">The Company leases office and laboratory space in Wilmington, Delaware under a noncancelable lease, which expires in December 2022. The Company has an option to renew the leases for an additional 1-year period. </w:t>
      </w:r>
      <w:r>
        <w:rPr>
          <w:rFonts w:ascii="Arial" w:cs="Arial" w:eastAsia="Arial" w:hAnsi="Arial"/>
          <w:sz w:val="18"/>
          <w:szCs w:val="18"/>
          <w:color w:val="231F20"/>
        </w:rPr>
        <w:t>This option to extend was not recognized as part of the Company’s</w:t>
      </w:r>
      <w:r>
        <w:rPr>
          <w:rFonts w:ascii="Arial" w:cs="Arial" w:eastAsia="Arial" w:hAnsi="Arial"/>
          <w:sz w:val="18"/>
          <w:szCs w:val="18"/>
          <w:color w:val="auto"/>
        </w:rPr>
        <w:t xml:space="preserve"> </w:t>
      </w:r>
      <w:r>
        <w:rPr>
          <w:rFonts w:ascii="Arial" w:cs="Arial" w:eastAsia="Arial" w:hAnsi="Arial"/>
          <w:sz w:val="18"/>
          <w:szCs w:val="18"/>
          <w:color w:val="231F20"/>
        </w:rPr>
        <w:t>measurement of the right-of-use asset and operating lease liability as of March 31, 2021</w:t>
      </w:r>
      <w:r>
        <w:rPr>
          <w:rFonts w:ascii="Arial" w:cs="Arial" w:eastAsia="Arial" w:hAnsi="Arial"/>
          <w:sz w:val="18"/>
          <w:szCs w:val="18"/>
          <w:color w:val="000000"/>
        </w:rPr>
        <w:t>.</w:t>
      </w:r>
      <w:r>
        <w:rPr>
          <w:rFonts w:ascii="Arial" w:cs="Arial" w:eastAsia="Arial" w:hAnsi="Arial"/>
          <w:sz w:val="18"/>
          <w:szCs w:val="18"/>
          <w:color w:val="231F20"/>
        </w:rPr>
        <w:t xml:space="preserve"> The discount rate used to account for the Company’s operating lease under ASC 842 is the Company’s estimated incremental borrowing rate of 10.0%.</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Rent expense for the three months ended March 31, 2021 and 2020 was $0.3 million and $0.2 million, respectively.</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231F20"/>
        </w:rPr>
        <w:t>Future minimum annual lease payments under the Company’s noncancelable lease at March 31, 2021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2021 (remaining)</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120" w:type="dxa"/>
            <w:vAlign w:val="bottom"/>
            <w:shd w:val="clear" w:color="auto" w:fill="CFF0FC"/>
          </w:tcPr>
          <w:p>
            <w:pPr>
              <w:spacing w:after="0"/>
              <w:rPr>
                <w:sz w:val="19"/>
                <w:szCs w:val="19"/>
                <w:color w:val="auto"/>
              </w:rPr>
            </w:pPr>
          </w:p>
        </w:tc>
      </w:tr>
      <w:tr>
        <w:trPr>
          <w:trHeight w:val="230"/>
        </w:trPr>
        <w:tc>
          <w:tcPr>
            <w:tcW w:w="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83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120" w:type="dxa"/>
            <w:vAlign w:val="bottom"/>
            <w:tcBorders>
              <w:bottom w:val="single" w:sz="8" w:color="CFF0FC"/>
            </w:tcBorders>
          </w:tcPr>
          <w:p>
            <w:pPr>
              <w:spacing w:after="0"/>
              <w:rPr>
                <w:sz w:val="19"/>
                <w:szCs w:val="19"/>
                <w:color w:val="auto"/>
              </w:rPr>
            </w:pPr>
          </w:p>
        </w:tc>
      </w:tr>
      <w:tr>
        <w:trPr>
          <w:trHeight w:val="223"/>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7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2,456</w:t>
            </w:r>
          </w:p>
        </w:tc>
        <w:tc>
          <w:tcPr>
            <w:tcW w:w="120" w:type="dxa"/>
            <w:vAlign w:val="bottom"/>
            <w:shd w:val="clear" w:color="auto" w:fill="CFF0FC"/>
          </w:tcPr>
          <w:p>
            <w:pPr>
              <w:spacing w:after="0"/>
              <w:rPr>
                <w:sz w:val="19"/>
                <w:szCs w:val="19"/>
                <w:color w:val="auto"/>
              </w:rPr>
            </w:pPr>
          </w:p>
        </w:tc>
      </w:tr>
      <w:tr>
        <w:trPr>
          <w:trHeight w:val="223"/>
        </w:trPr>
        <w:tc>
          <w:tcPr>
            <w:tcW w:w="9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imputed interest</w:t>
            </w:r>
          </w:p>
        </w:tc>
        <w:tc>
          <w:tcPr>
            <w:tcW w:w="7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FF0FC"/>
            </w:tcBorders>
          </w:tcPr>
          <w:p>
            <w:pPr>
              <w:spacing w:after="0"/>
              <w:rPr>
                <w:sz w:val="19"/>
                <w:szCs w:val="19"/>
                <w:color w:val="auto"/>
              </w:rPr>
            </w:pPr>
          </w:p>
        </w:tc>
      </w:tr>
      <w:tr>
        <w:trPr>
          <w:trHeight w:val="223"/>
        </w:trPr>
        <w:tc>
          <w:tcPr>
            <w:tcW w:w="9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Current and noncurrent lease liability</w:t>
            </w: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Company entered into employment agreements with key personnel providing for compensation and severance in certain circumstances, as defined in the respective employment agreements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401(k) Defined Contribution Plan</w:t>
      </w:r>
    </w:p>
    <w:p>
      <w:pPr>
        <w:spacing w:after="0" w:line="117" w:lineRule="exact"/>
        <w:rPr>
          <w:sz w:val="20"/>
          <w:szCs w:val="20"/>
          <w:color w:val="auto"/>
        </w:rPr>
      </w:pPr>
    </w:p>
    <w:p>
      <w:pPr>
        <w:ind w:right="220" w:firstLine="510"/>
        <w:spacing w:after="0" w:line="220" w:lineRule="exact"/>
        <w:rPr>
          <w:sz w:val="20"/>
          <w:szCs w:val="20"/>
          <w:color w:val="auto"/>
        </w:rPr>
      </w:pPr>
      <w:r>
        <w:rPr>
          <w:rFonts w:ascii="Arial" w:cs="Arial" w:eastAsia="Arial" w:hAnsi="Arial"/>
          <w:sz w:val="18"/>
          <w:szCs w:val="18"/>
          <w:color w:val="auto"/>
        </w:rPr>
        <w:t>The Company sponsors a 401(k) defined</w:t>
      </w:r>
      <w:r>
        <w:rPr>
          <w:rFonts w:ascii="MS PGothic" w:cs="MS PGothic" w:eastAsia="MS PGothic" w:hAnsi="MS PGothic"/>
          <w:sz w:val="18"/>
          <w:szCs w:val="18"/>
          <w:color w:val="auto"/>
        </w:rPr>
        <w:t>‑</w:t>
      </w:r>
      <w:r>
        <w:rPr>
          <w:rFonts w:ascii="Arial" w:cs="Arial" w:eastAsia="Arial" w:hAnsi="Arial"/>
          <w:sz w:val="18"/>
          <w:szCs w:val="18"/>
          <w:color w:val="auto"/>
        </w:rPr>
        <w:t>contribution plan covering all employees. Participants are permitted to contribute up to 100% of their eligible annual pretax compensation up to an established federal limit on aggregate participant contributions. The Company provides a safe harbor match with a maximum amount of 4% of the participant’s compensation. During the three months ended March 31, 2021, the Company made matching contributions of $0.2 million.</w:t>
      </w:r>
    </w:p>
    <w:p>
      <w:pPr>
        <w:spacing w:after="0" w:line="3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Research and Development Arrangements</w:t>
      </w:r>
    </w:p>
    <w:p>
      <w:pPr>
        <w:spacing w:after="0" w:line="117"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The Company enters into agreements with contract research organizations (“CROs”) to assist in the performance of research and development activities. Expenditures to CROs will represent a significant cost in clinical development for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ind w:right="20" w:firstLine="478"/>
        <w:spacing w:after="0" w:line="290" w:lineRule="auto"/>
        <w:rPr>
          <w:sz w:val="20"/>
          <w:szCs w:val="20"/>
          <w:color w:val="auto"/>
        </w:rPr>
      </w:pPr>
      <w:r>
        <w:rPr>
          <w:rFonts w:ascii="Arial" w:cs="Arial" w:eastAsia="Arial" w:hAnsi="Arial"/>
          <w:sz w:val="16"/>
          <w:szCs w:val="16"/>
          <w:color w:val="auto"/>
        </w:rPr>
        <w:t>The Company has two equity incentive plans: the 2016 Equity Incentive Plan, as amended, and the 2020 Equity Incentive Plan. New awards can only be granted under the 2020 Equity Incentive Plan (the “Plan”) and as of March 31, 2021, 6,555,615 shares were available for future grants. The number of shares of the Company’s common stock that may be issued pursuant to rights granted under the Plan shall automatically increase on January 1st of each year, commencing on January 1, 2021, and continuing for ten years, in an amount equal to five percent of the total number of shares of the Company’s common stock outstanding on December 31st of the preceding calendar year, subject to the discretion of the board of directors or compensation committee to determine a lesser number of shares shall be added for such year. The Plan provides for the granting of common stock, incentive stock options, nonqualified stock options, restricted stock awards, and/or stock appreciation rights to employees, directors, and other persons, as determined by the Company’s board of directors. The Company’s stock options vest based on the terms in each award agreement, generally over four-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33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year periods with 25% of options vesting after 1 year and then monthly thereafter, and have a term of ten years. In September 2020, the Company adopted the 2020 Employee Stock Purchase Plan (the “ESPP”), which, as of March 31, 2021, had 957,056 shares of common stock reserved for future issuance. No shares have been issued from the ESPP as of March 31, 2021.</w:t>
      </w:r>
    </w:p>
    <w:p>
      <w:pPr>
        <w:spacing w:after="0" w:line="184" w:lineRule="exact"/>
        <w:rPr>
          <w:sz w:val="20"/>
          <w:szCs w:val="20"/>
          <w:color w:val="auto"/>
        </w:rPr>
      </w:pPr>
    </w:p>
    <w:p>
      <w:pPr>
        <w:ind w:right="100" w:firstLine="478"/>
        <w:spacing w:after="0" w:line="263" w:lineRule="auto"/>
        <w:rPr>
          <w:sz w:val="20"/>
          <w:szCs w:val="20"/>
          <w:color w:val="auto"/>
        </w:rPr>
      </w:pPr>
      <w:r>
        <w:rPr>
          <w:rFonts w:ascii="Arial" w:cs="Arial" w:eastAsia="Arial" w:hAnsi="Arial"/>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tcPr>
          <w:p>
            <w:pPr>
              <w:jc w:val="center"/>
              <w:ind w:left="338"/>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left="338"/>
              <w:spacing w:after="0"/>
              <w:rPr>
                <w:sz w:val="20"/>
                <w:szCs w:val="20"/>
                <w:color w:val="auto"/>
              </w:rPr>
            </w:pPr>
            <w:r>
              <w:rPr>
                <w:rFonts w:ascii="Arial" w:cs="Arial" w:eastAsia="Arial" w:hAnsi="Arial"/>
                <w:sz w:val="14"/>
                <w:szCs w:val="14"/>
                <w:b w:val="1"/>
                <w:bCs w:val="1"/>
                <w:color w:val="auto"/>
                <w:w w:val="99"/>
              </w:rPr>
              <w:t>March 31,</w:t>
            </w: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60" w:type="dxa"/>
            <w:vAlign w:val="bottom"/>
            <w:tcBorders>
              <w:bottom w:val="single" w:sz="8" w:color="CFF0FC"/>
            </w:tcBorders>
            <w:vMerge w:val="continue"/>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w w:val="89"/>
              </w:rPr>
              <w:t>2021</w:t>
            </w: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3,886</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480"/>
              <w:spacing w:after="0"/>
              <w:rPr>
                <w:sz w:val="20"/>
                <w:szCs w:val="20"/>
                <w:color w:val="auto"/>
              </w:rPr>
            </w:pPr>
            <w:r>
              <w:rPr>
                <w:rFonts w:ascii="Arial" w:cs="Arial" w:eastAsia="Arial" w:hAnsi="Arial"/>
                <w:sz w:val="18"/>
                <w:szCs w:val="18"/>
                <w:b w:val="1"/>
                <w:bCs w:val="1"/>
                <w:i w:val="1"/>
                <w:iCs w:val="1"/>
                <w:color w:val="auto"/>
              </w:rPr>
              <w:t>Stock Options</w:t>
            </w:r>
          </w:p>
        </w:tc>
        <w:tc>
          <w:tcPr>
            <w:tcW w:w="1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6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60" w:type="dxa"/>
            <w:vAlign w:val="bottom"/>
          </w:tcPr>
          <w:p>
            <w:pPr>
              <w:ind w:left="480"/>
              <w:spacing w:after="0"/>
              <w:rPr>
                <w:sz w:val="20"/>
                <w:szCs w:val="20"/>
                <w:color w:val="auto"/>
              </w:rPr>
            </w:pPr>
            <w:r>
              <w:rPr>
                <w:rFonts w:ascii="Arial" w:cs="Arial" w:eastAsia="Arial" w:hAnsi="Arial"/>
                <w:sz w:val="18"/>
                <w:szCs w:val="18"/>
                <w:color w:val="auto"/>
              </w:rPr>
              <w:t>The following table summarizes stock option activity for the periods indicated:</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48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of 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per share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4"/>
              </w:rPr>
              <w:t>term (years)</w:t>
            </w: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2021</w:t>
            </w:r>
          </w:p>
        </w:tc>
        <w:tc>
          <w:tcPr>
            <w:tcW w:w="13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6,839,091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8.46</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115,575</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80.10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4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(210,274)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(11,423)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7.94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2021</w:t>
            </w:r>
          </w:p>
        </w:tc>
        <w:tc>
          <w:tcPr>
            <w:tcW w:w="13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6,732,969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Exercisable at March 31, 2021</w:t>
            </w:r>
          </w:p>
        </w:tc>
        <w:tc>
          <w:tcPr>
            <w:tcW w:w="13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1,209,260</w:t>
            </w:r>
          </w:p>
        </w:tc>
        <w:tc>
          <w:tcPr>
            <w:tcW w:w="16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At March 31, 2021, the aggregate intrinsic value of outstanding options and exercisable options was $232.3 million and $50.0 million, respectively.</w:t>
      </w:r>
    </w:p>
    <w:p>
      <w:pPr>
        <w:spacing w:after="0" w:line="24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information about stock options outstanding at March 31, 2021 under the Plan: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Options Outstanding</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5"/>
          </w:tcPr>
          <w:p>
            <w:pPr>
              <w:ind w:left="48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3"/>
          </w:tcPr>
          <w:p>
            <w:pPr>
              <w:jc w:val="center"/>
              <w:ind w:right="20"/>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80"/>
              <w:spacing w:after="0" w:line="13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80"/>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Contractual Life</w:t>
            </w: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5160" w:type="dxa"/>
            <w:vAlign w:val="bottom"/>
            <w:gridSpan w:val="2"/>
            <w:vMerge w:val="continue"/>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 years)</w:t>
            </w: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000" w:type="dxa"/>
            <w:vAlign w:val="bottom"/>
          </w:tcPr>
          <w:p>
            <w:pPr>
              <w:jc w:val="right"/>
              <w:ind w:right="78"/>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$0.31</w:t>
            </w:r>
          </w:p>
        </w:tc>
        <w:tc>
          <w:tcPr>
            <w:tcW w:w="47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$7.37</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3,300,710</w:t>
            </w:r>
          </w:p>
        </w:tc>
        <w:tc>
          <w:tcPr>
            <w:tcW w:w="2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1,181,544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w w:val="93"/>
              </w:rPr>
              <w:t>$7.38</w:t>
            </w:r>
          </w:p>
        </w:tc>
        <w:tc>
          <w:tcPr>
            <w:tcW w:w="4720" w:type="dxa"/>
            <w:vAlign w:val="bottom"/>
          </w:tcPr>
          <w:p>
            <w:pPr>
              <w:ind w:left="20"/>
              <w:spacing w:after="0"/>
              <w:rPr>
                <w:sz w:val="20"/>
                <w:szCs w:val="20"/>
                <w:color w:val="auto"/>
              </w:rPr>
            </w:pPr>
            <w:r>
              <w:rPr>
                <w:rFonts w:ascii="Arial" w:cs="Arial" w:eastAsia="Arial" w:hAnsi="Arial"/>
                <w:sz w:val="18"/>
                <w:szCs w:val="18"/>
                <w:color w:val="auto"/>
              </w:rPr>
              <w:t>- $15.93</w:t>
            </w:r>
          </w:p>
        </w:tc>
        <w:tc>
          <w:tcPr>
            <w:tcW w:w="1000" w:type="dxa"/>
            <w:vAlign w:val="bottom"/>
          </w:tcPr>
          <w:p>
            <w:pPr>
              <w:jc w:val="right"/>
              <w:spacing w:after="0"/>
              <w:rPr>
                <w:sz w:val="20"/>
                <w:szCs w:val="20"/>
                <w:color w:val="auto"/>
              </w:rPr>
            </w:pPr>
            <w:r>
              <w:rPr>
                <w:rFonts w:ascii="Arial" w:cs="Arial" w:eastAsia="Arial" w:hAnsi="Arial"/>
                <w:sz w:val="18"/>
                <w:szCs w:val="18"/>
                <w:color w:val="auto"/>
              </w:rPr>
              <w:t>3,118,268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9.42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12.85</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26,564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$15.94 - $88.98</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313,991</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65.66</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6,732,969</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1,209,260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478"/>
        <w:spacing w:after="0" w:line="257" w:lineRule="auto"/>
        <w:rPr>
          <w:sz w:val="20"/>
          <w:szCs w:val="20"/>
          <w:color w:val="auto"/>
        </w:rPr>
      </w:pPr>
      <w:r>
        <w:rPr>
          <w:rFonts w:ascii="Arial" w:cs="Arial" w:eastAsia="Arial" w:hAnsi="Arial"/>
          <w:sz w:val="18"/>
          <w:szCs w:val="18"/>
          <w:color w:val="auto"/>
        </w:rPr>
        <w:t>The weighted-average grant date fair value of options granted was $68.39 and $2.87 per share for the three months ended March 31, 2021 and 2020, respectively. The aggregate intrinsic value of options exercised was $9.5 million for the three months ended March 31, 2021. The Company recorded stock-based compensation expense of $3.7 million and $0.3 million for the three months ended March 31, 2021 and 2020, respectively, related to stock options. As of March 31, 2021, the total unrecognized compensation expense related to unvested stock option awards was $52.5 million, which the Company expects to recognize over a weighted-average period of 3.34 years.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00" w:lineRule="exact"/>
        <w:rPr>
          <w:sz w:val="20"/>
          <w:szCs w:val="20"/>
          <w:color w:val="auto"/>
        </w:rPr>
      </w:pPr>
    </w:p>
    <w:p>
      <w:pPr>
        <w:spacing w:after="0" w:line="24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fair value of each option was estimated on the date of grant using the weighted average assumptions in the table below:</w:t>
      </w:r>
    </w:p>
    <w:p>
      <w:pPr>
        <w:spacing w:after="0" w:line="257"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Three months ended</w:t>
      </w:r>
    </w:p>
    <w:p>
      <w:pPr>
        <w:jc w:val="center"/>
        <w:ind w:left="74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60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8"/>
              </w:rPr>
              <w:t>117.13%</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91.60%</w:t>
            </w:r>
          </w:p>
        </w:tc>
      </w:tr>
      <w:tr>
        <w:trPr>
          <w:trHeight w:val="229"/>
        </w:trPr>
        <w:tc>
          <w:tcPr>
            <w:tcW w:w="86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0.76%</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r>
      <w:tr>
        <w:trPr>
          <w:trHeight w:val="230"/>
        </w:trPr>
        <w:tc>
          <w:tcPr>
            <w:tcW w:w="8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FF0FC"/>
          </w:tcPr>
          <w:p>
            <w:pPr>
              <w:spacing w:after="0"/>
              <w:rPr>
                <w:sz w:val="19"/>
                <w:szCs w:val="19"/>
                <w:color w:val="auto"/>
              </w:rPr>
            </w:pPr>
          </w:p>
        </w:tc>
      </w:tr>
      <w:tr>
        <w:trPr>
          <w:trHeight w:val="230"/>
        </w:trPr>
        <w:tc>
          <w:tcPr>
            <w:tcW w:w="86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33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right="80" w:firstLine="478"/>
        <w:spacing w:after="0" w:line="286" w:lineRule="auto"/>
        <w:rPr>
          <w:sz w:val="20"/>
          <w:szCs w:val="20"/>
          <w:color w:val="auto"/>
        </w:rPr>
      </w:pPr>
      <w:r>
        <w:rPr>
          <w:rFonts w:ascii="Arial" w:cs="Arial" w:eastAsia="Arial" w:hAnsi="Arial"/>
          <w:sz w:val="17"/>
          <w:szCs w:val="17"/>
          <w:color w:val="auto"/>
        </w:rPr>
        <w:t>The Company issues restricted stock awards (“RSA”) to employees that generally vest over a four-year period with 25% of awards vesting after one year and then monthly thereafter. Any unvested shares will be forfeited upon termination of services. The fair value of an RSA is equal to the fair market value price of the Company’s common stock on the date of grant. RSA expense is amortized straight-line over the vesting period.</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activity related to RSA stock-based payment awards: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7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at January 1, 2021</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1,214,778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Vested</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(205,316)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at March 31, 2021</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1,009,462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0" w:firstLine="478"/>
        <w:spacing w:after="0" w:line="263" w:lineRule="auto"/>
        <w:rPr>
          <w:sz w:val="20"/>
          <w:szCs w:val="20"/>
          <w:color w:val="auto"/>
        </w:rPr>
      </w:pPr>
      <w:r>
        <w:rPr>
          <w:rFonts w:ascii="Arial" w:cs="Arial" w:eastAsia="Arial" w:hAnsi="Arial"/>
          <w:sz w:val="18"/>
          <w:szCs w:val="18"/>
          <w:color w:val="auto"/>
        </w:rPr>
        <w:t>The Company recorded stock-based compensation expense of $0.2 million and $0.1 million for the three months ended March 31, 2021 and 2020, respectively, related to RSAs. As of March 31, 2021, the total unrecognized expense related to all RSAs was $2.0 million, which the Company expects to recognize over a weighted-average period of 2.49 years.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478"/>
        <w:spacing w:after="0" w:line="287"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In addition to historical financial information, this discussion contains forward-looking statements based upon current expectations that involve risks and uncertainties, such as statements of our plans, objectives, expectations, intentions and belief. Our actual results could differ materially from those anticipated in these forward-looking statements as a result of various factors, including those set forth in the section titled “Risk Factors” under Part II, Item 1A below. These forward-looking statements may include, but are not limited to, statements regarding our future results of operations and financial position, the impact of the COVID-19 pandemic, business strategy, market size, potential growth opportunities, preclinical and clinical development activities, efficacy and safety profile of our product candidates, use of net proceeds from our offerings, our ability to maintain and recognize the benefits of certain designations received by product candidates, the timing and results of preclinical studies and clinical trials, commercial collaborations with third parties and the receipt and timing of potential regulatory designations, approvals and commercialization of product candidates.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68" w:lineRule="exact"/>
        <w:rPr>
          <w:sz w:val="20"/>
          <w:szCs w:val="20"/>
          <w:color w:val="auto"/>
        </w:rPr>
      </w:pPr>
    </w:p>
    <w:p>
      <w:pPr>
        <w:ind w:right="360" w:firstLine="478"/>
        <w:spacing w:after="0" w:line="259" w:lineRule="auto"/>
        <w:rPr>
          <w:sz w:val="20"/>
          <w:szCs w:val="20"/>
          <w:color w:val="auto"/>
        </w:rPr>
      </w:pPr>
      <w:r>
        <w:rPr>
          <w:rFonts w:ascii="Arial" w:cs="Arial" w:eastAsia="Arial" w:hAnsi="Arial"/>
          <w:sz w:val="18"/>
          <w:szCs w:val="18"/>
          <w:i w:val="1"/>
          <w:iCs w:val="1"/>
          <w:color w:val="auto"/>
        </w:rPr>
        <w:t>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We are a clinical-stage precision oncology company focused on discovering and developing small molecule therapies optimized to target the key driver mechanisms in cancers with high unmet need. By leveraging our core competencies in cancer biology and medicinal chemistry, combined with our target class- and technology platform-agnostic approach, we have built an efficient, fully-integrated drug discovery engine to identify compelling biological targets and create new chemical entities, or NCEs, that we rapidly advance into clinical development.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four investigational new drug applications, or INDs, and successfully advanced three of these programs into clinical development, with the fourth expected to begin clinical development in the coming months. In addition, we have three unique programs in various stages of preclinical development that we plan to advance into clinical development beginning in 2021.</w:t>
      </w:r>
    </w:p>
    <w:p>
      <w:pPr>
        <w:spacing w:after="0" w:line="196"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By focusing on developing agents using broad mechanisms that have multiple links to oncogenic driver pathways in select patients, we have developed a diverse pipeline consisting of six distinct programs spanning methyltransferases, kinases, protein-protein interactions and targeted protein degraders. Our pipeline is geared towards serving patients with high unmet medical need where there are limited or no treatment options. We are exploring therapies in both solid tumors and hematological malignancies such as adenoid cystic carcinoma, or ACC, homologous recombination deficient positive, or HRD+, cancers, myelofibrosis, or MF, and glioblastoma multiforme, or GBM, amongst others. We believe we can best address these diseases by developing therapies that target primary and secondary resistance mechanisms.</w:t>
      </w:r>
    </w:p>
    <w:p>
      <w:pPr>
        <w:spacing w:after="0" w:line="192"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Our lead product candidates are designed to be oral, potent and selective inhibitors of protein arginine methyltransferase 5, or PRMT5. The potency and selectivity of our product candidates is supported by preclinical data demonstrating nanomolar inhibition of PRMT5 and no inhibition of related enzymes at 1,000 times higher concentration of our product candidates. We are currently advancing our first clinical candidate, PRT543, in a Phase 1 clinical trial in select solid tumors and myeloid malignancies in patients who are refractory to or intolerant of established therapies. Interim Phase 1 results indicate dose-dependent increases in exposure and target engagement, and we have observed early signs of clinical activity, including an ongoing confirmed complete response, or CR, in a patient with HRD+ high grade serous ovarian cancer through nine months of therapy. A complete response is defined as the disappearance of all target lesions. We will need to enroll and demonstrate objective responses in additional patients to support further development and potential approval by the FDA or other regulatory authorities, and while such approval is not guaranteed, we are encouraged by the clinical activity as of the date of this Quarterly Report on Form 10-Q. Patient enrollment is complete in the adenoid cystic carcinoma expansion cohort of the Phase 1 trial, and enrollment is underway in additional expansion cohorts of solid tumors and hematological malignancies. We anticipate presenting initial clinical data from the Phase 1 trial at medical meetings in the second half of 2021.</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ind w:right="260" w:firstLine="510"/>
        <w:spacing w:after="0" w:line="287" w:lineRule="auto"/>
        <w:rPr>
          <w:sz w:val="20"/>
          <w:szCs w:val="20"/>
          <w:color w:val="auto"/>
        </w:rPr>
      </w:pPr>
      <w:r>
        <w:rPr>
          <w:rFonts w:ascii="Arial" w:cs="Arial" w:eastAsia="Arial" w:hAnsi="Arial"/>
          <w:sz w:val="16"/>
          <w:szCs w:val="16"/>
          <w:color w:val="auto"/>
        </w:rPr>
        <w:t>We are also advancing PRT811, a second PRMT5 inhibitor that we have optimized for high brain exposure, in a Phase 1 clinical trial in solid tumors, including GBM. As of the date of this Quarterly Report on Form 10-Q, the trial has demonstrated early signs of clinical activity and tolerability. The previously disclosed refractory GBM patient whose tumor had demonstrated a 66% reduction on monotherapy PRT811 subsequently underwent</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follow-up MRI at week 18 and the regression has improved to 77% from baseline, confirming a partial response, or PR, per RANO (response assessment in neuro-oncology) criteria. We expect to begin enrolling patients in the expansion portion of the Phase 1 clinical trial by mid-2021 and anticipate obtaining initial clinical data from this trial by the end of 2021.</w:t>
      </w:r>
    </w:p>
    <w:p>
      <w:pPr>
        <w:spacing w:after="0" w:line="190" w:lineRule="exact"/>
        <w:rPr>
          <w:sz w:val="20"/>
          <w:szCs w:val="20"/>
          <w:color w:val="auto"/>
        </w:rPr>
      </w:pPr>
    </w:p>
    <w:p>
      <w:pPr>
        <w:ind w:right="80" w:firstLine="510"/>
        <w:spacing w:after="0" w:line="297" w:lineRule="auto"/>
        <w:rPr>
          <w:sz w:val="20"/>
          <w:szCs w:val="20"/>
          <w:color w:val="auto"/>
        </w:rPr>
      </w:pPr>
      <w:r>
        <w:rPr>
          <w:rFonts w:ascii="Arial" w:cs="Arial" w:eastAsia="Arial" w:hAnsi="Arial"/>
          <w:sz w:val="16"/>
          <w:szCs w:val="16"/>
          <w:color w:val="auto"/>
        </w:rPr>
        <w:t>PRT1419, our third clinical candidate, is designed to be a potent and selective inhibitor of the anti-apoptotic protein, MCL1. The potency and selectivity of PRT1419 is supported by preclinical data demonstrating nanomolar inhibition of MCL1 and no inhibition of related enzymes at 200 times higher concentration of our product candidate. We have begun enrolling patients with hematologic malignancies, including patients with myelodysplastic syndrome, or MDS, acute myeloid leukemia, or AML, non-Hodgkin’s lymphoma, or NHL, and multiple myeloma, or MM, into the Phase 1 open-label, multicenter clinical trial for the oral formulation of PRT1419. We expect to add dose expansion and combination cohorts to this Phase 1 clinical trial in the second half of 2021. Additionally, in March 2021, the FDA cleared our IND for an intravenous (IV) formulation of PRT1419. A Phase 1 trial of the IV formulation, which leverages the optimized physicochemical properties of MRT1419, is expected to commence in the coming months.</w:t>
      </w:r>
    </w:p>
    <w:p>
      <w:pPr>
        <w:spacing w:after="0" w:line="16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were incorporated in February 2016 under the laws of the State of Delaware. 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and common stock. Our net loss was $21.3 million for the three months ended March 31, 2021 as compared to $9.5 million for the three months ended March 31, 2020, and as of March 31, 2021, we had an accumulated deficit of $128.7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Furthermore, we expect to incur additional costs associated with operating as a public company, including significant legal, accounting, investor relations and other expenses that we did not incur as a private company. Our net losses may fluctuate significantly from quarter-to-quarter and year-to-year, depending on the timing of our clinical trials and our expenditures on other research and development activities.</w:t>
      </w:r>
    </w:p>
    <w:p>
      <w:pPr>
        <w:spacing w:after="0" w:line="171"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7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As of March 31, 2021, we had $363.0 million in cash and cash equivalents. We expect our existing cash and cash equivalents will enable us to fund our operating expenses and capital expenditures into 2023.</w:t>
      </w:r>
    </w:p>
    <w:p>
      <w:pPr>
        <w:spacing w:after="0" w:line="8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COVID-19 Impact</w:t>
      </w:r>
    </w:p>
    <w:p>
      <w:pPr>
        <w:spacing w:after="0" w:line="131" w:lineRule="exact"/>
        <w:rPr>
          <w:sz w:val="20"/>
          <w:szCs w:val="20"/>
          <w:color w:val="auto"/>
        </w:rPr>
      </w:pPr>
    </w:p>
    <w:p>
      <w:pPr>
        <w:ind w:right="60" w:firstLine="478"/>
        <w:spacing w:after="0" w:line="259" w:lineRule="auto"/>
        <w:rPr>
          <w:sz w:val="20"/>
          <w:szCs w:val="20"/>
          <w:color w:val="auto"/>
        </w:rPr>
      </w:pPr>
      <w:r>
        <w:rPr>
          <w:rFonts w:ascii="Arial" w:cs="Arial" w:eastAsia="Arial" w:hAnsi="Arial"/>
          <w:sz w:val="18"/>
          <w:szCs w:val="18"/>
          <w:color w:val="auto"/>
        </w:rPr>
        <w:t>We are continuing to proactively monitor and assess the current coronavirus disease 2019, or COVID-19, global pandemic. Since early March 2020, we have been monitoring the potential impact on our business that may result from this rapidly evolving crisis and to avoid any unnecessary potential delays to our programs. At this time, our lead programs and research activities remain on track. The safety and well-being of employees, patients and partners is our highest priority.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 w:firstLine="478"/>
        <w:spacing w:after="0" w:line="277" w:lineRule="auto"/>
        <w:rPr>
          <w:sz w:val="20"/>
          <w:szCs w:val="20"/>
          <w:color w:val="auto"/>
        </w:rPr>
      </w:pPr>
      <w:r>
        <w:rPr>
          <w:rFonts w:ascii="Arial" w:cs="Arial" w:eastAsia="Arial" w:hAnsi="Arial"/>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5" w:name="page16"/>
    <w:bookmarkEnd w:id="15"/>
    <w:p>
      <w:pPr>
        <w:ind w:right="20"/>
        <w:spacing w:after="0" w:line="277" w:lineRule="auto"/>
        <w:rPr>
          <w:sz w:val="20"/>
          <w:szCs w:val="20"/>
          <w:color w:val="auto"/>
        </w:rPr>
      </w:pPr>
      <w:r>
        <w:rPr>
          <w:rFonts w:ascii="Arial" w:cs="Arial" w:eastAsia="Arial" w:hAnsi="Arial"/>
          <w:sz w:val="18"/>
          <w:szCs w:val="18"/>
          <w:color w:val="auto"/>
        </w:rPr>
        <w:t>and result in regulatory approval, or license agreements with third parties, we may generate revenue in the future from product sales. However, there can be no assurance as to when we will generate such revenue, if at all.</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Research and development expenses consist primarily of costs incurred in connection with the discovery and development of our product candidates.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expense research and development costs as incurred, including:</w:t>
      </w:r>
    </w:p>
    <w:p>
      <w:pPr>
        <w:spacing w:after="0" w:line="103" w:lineRule="exact"/>
        <w:rPr>
          <w:sz w:val="20"/>
          <w:szCs w:val="20"/>
          <w:color w:val="auto"/>
        </w:rPr>
      </w:pPr>
    </w:p>
    <w:p>
      <w:pPr>
        <w:ind w:left="960" w:right="20" w:hanging="480"/>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to conduct the necessary discovery-stage laboratory work, preclinical studies and clinical trials required to obtain regulatory approval;</w:t>
      </w:r>
    </w:p>
    <w:p>
      <w:pPr>
        <w:spacing w:after="0" w:line="62" w:lineRule="exact"/>
        <w:rPr>
          <w:rFonts w:ascii="Arial" w:cs="Arial" w:eastAsia="Arial" w:hAnsi="Arial"/>
          <w:sz w:val="18"/>
          <w:szCs w:val="18"/>
          <w:color w:val="auto"/>
        </w:rPr>
      </w:pPr>
    </w:p>
    <w:p>
      <w:pPr>
        <w:ind w:left="960" w:right="880" w:hanging="480"/>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personnel expenses, including salaries, benefits and stock-based compensation expense for our employees engaged in research and development functions;</w:t>
      </w:r>
    </w:p>
    <w:p>
      <w:pPr>
        <w:spacing w:after="0" w:line="62" w:lineRule="exact"/>
        <w:rPr>
          <w:rFonts w:ascii="Arial" w:cs="Arial" w:eastAsia="Arial" w:hAnsi="Arial"/>
          <w:sz w:val="18"/>
          <w:szCs w:val="18"/>
          <w:color w:val="auto"/>
        </w:rPr>
      </w:pPr>
    </w:p>
    <w:p>
      <w:pPr>
        <w:ind w:left="960" w:right="400" w:hanging="480"/>
        <w:spacing w:after="0" w:line="342"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15" w:lineRule="exact"/>
        <w:rPr>
          <w:rFonts w:ascii="Arial" w:cs="Arial" w:eastAsia="Arial" w:hAnsi="Arial"/>
          <w:sz w:val="16"/>
          <w:szCs w:val="16"/>
          <w:color w:val="auto"/>
        </w:rPr>
      </w:pPr>
    </w:p>
    <w:p>
      <w:pPr>
        <w:ind w:left="960" w:right="40" w:hanging="480"/>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fees paid to consultants who assist with research and development activities;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related to regulatory activities, including filing fees paid to regulatory agencies;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allocated expenses for facility costs, including rent, utilities, depreciation and maintenance.</w:t>
      </w:r>
    </w:p>
    <w:p>
      <w:pPr>
        <w:spacing w:after="0" w:line="225" w:lineRule="exact"/>
        <w:rPr>
          <w:sz w:val="20"/>
          <w:szCs w:val="20"/>
          <w:color w:val="auto"/>
        </w:rPr>
      </w:pPr>
    </w:p>
    <w:p>
      <w:pPr>
        <w:ind w:firstLine="478"/>
        <w:spacing w:after="0" w:line="301" w:lineRule="auto"/>
        <w:rPr>
          <w:sz w:val="20"/>
          <w:szCs w:val="20"/>
          <w:color w:val="auto"/>
        </w:rPr>
      </w:pPr>
      <w:r>
        <w:rPr>
          <w:rFonts w:ascii="Arial" w:cs="Arial" w:eastAsia="Arial" w:hAnsi="Arial"/>
          <w:sz w:val="16"/>
          <w:szCs w:val="16"/>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57" w:lineRule="exact"/>
        <w:rPr>
          <w:sz w:val="20"/>
          <w:szCs w:val="20"/>
          <w:color w:val="auto"/>
        </w:rPr>
      </w:pPr>
    </w:p>
    <w:p>
      <w:pPr>
        <w:ind w:right="100" w:firstLine="478"/>
        <w:spacing w:after="0" w:line="257"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clinical trials, including later-stage clinical trials, for current and future product candidates and prepare regulatory filings for our product candidates.</w:t>
      </w:r>
    </w:p>
    <w:p>
      <w:pPr>
        <w:spacing w:after="0" w:line="29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firstLine="478"/>
        <w:spacing w:after="0" w:line="301" w:lineRule="auto"/>
        <w:rPr>
          <w:sz w:val="20"/>
          <w:szCs w:val="20"/>
          <w:color w:val="auto"/>
        </w:rPr>
      </w:pPr>
      <w:r>
        <w:rPr>
          <w:rFonts w:ascii="Arial" w:cs="Arial" w:eastAsia="Arial" w:hAnsi="Arial"/>
          <w:sz w:val="16"/>
          <w:szCs w:val="16"/>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57" w:lineRule="exact"/>
        <w:rPr>
          <w:sz w:val="20"/>
          <w:szCs w:val="20"/>
          <w:color w:val="auto"/>
        </w:rPr>
      </w:pPr>
    </w:p>
    <w:p>
      <w:pPr>
        <w:ind w:right="160" w:firstLine="478"/>
        <w:spacing w:after="0" w:line="300" w:lineRule="auto"/>
        <w:rPr>
          <w:sz w:val="20"/>
          <w:szCs w:val="20"/>
          <w:color w:val="auto"/>
        </w:rPr>
      </w:pPr>
      <w:r>
        <w:rPr>
          <w:rFonts w:ascii="Arial" w:cs="Arial" w:eastAsia="Arial" w:hAnsi="Arial"/>
          <w:sz w:val="16"/>
          <w:szCs w:val="16"/>
          <w:color w:val="auto"/>
        </w:rPr>
        <w:t>We expect that our general and administrative expense will increase in the future to support our continued research and development activities, potential commercialization efforts and increased costs of operating as a public company. These increases will likely include increased costs related to the hiring of additional personnel and fees to outside consultants, legal support and accountants, among other expenses. Additionally, we anticipate increased costs associated with being a public company, including expenses related to services associated with maintaining compliance with the requirements of Nasdaq and the Securities and Exchange Commission, or SEC, insurance and investor relations costs. If any of our current or future product candidates obtains U.S. regulatory approval, we expect that we would incur significantly increased expenses associated with building a sales and marketing team.</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80" w:firstLine="478"/>
        <w:spacing w:after="0" w:line="263" w:lineRule="auto"/>
        <w:rPr>
          <w:sz w:val="20"/>
          <w:szCs w:val="20"/>
          <w:color w:val="auto"/>
        </w:rPr>
      </w:pPr>
      <w:r>
        <w:rPr>
          <w:rFonts w:ascii="Arial" w:cs="Arial" w:eastAsia="Arial" w:hAnsi="Arial"/>
          <w:sz w:val="18"/>
          <w:szCs w:val="18"/>
          <w:color w:val="auto"/>
        </w:rPr>
        <w:t>Other income, net consists primarily of interest earned on our cash equivalents and grant income received from the State of Delaware. We anticipate re-applying for the grant from the State of Delaware from time to time as long as we maintain qualifying headcount levels in the State of Delaware. We expect our interest income, net to increase due to our investment of cash received our stock offerings.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ind w:left="48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80" w:firstLine="478"/>
        <w:spacing w:after="0" w:line="263" w:lineRule="auto"/>
        <w:rPr>
          <w:sz w:val="20"/>
          <w:szCs w:val="20"/>
          <w:color w:val="auto"/>
        </w:rPr>
      </w:pPr>
      <w:r>
        <w:rPr>
          <w:rFonts w:ascii="Arial" w:cs="Arial" w:eastAsia="Arial" w:hAnsi="Arial"/>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our results of operations for the three months ended March 31, 2021 and 2020.</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March 31,</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80" w:type="dxa"/>
            <w:vAlign w:val="bottom"/>
            <w:tcBorders>
              <w:bottom w:val="single" w:sz="8" w:color="CFF0FC"/>
            </w:tcBorders>
            <w:vMerge w:val="continue"/>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w w:val="83"/>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16,470</w:t>
            </w:r>
          </w:p>
        </w:tc>
        <w:tc>
          <w:tcPr>
            <w:tcW w:w="160" w:type="dxa"/>
            <w:vAlign w:val="bottom"/>
          </w:tcPr>
          <w:p>
            <w:pPr>
              <w:spacing w:after="0"/>
              <w:rPr>
                <w:sz w:val="19"/>
                <w:szCs w:val="19"/>
                <w:color w:val="auto"/>
              </w:rPr>
            </w:pPr>
          </w:p>
        </w:tc>
        <w:tc>
          <w:tcPr>
            <w:tcW w:w="6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8,536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2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1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(21,300)</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 w:firstLine="478"/>
        <w:spacing w:after="0" w:line="254" w:lineRule="auto"/>
        <w:rPr>
          <w:sz w:val="20"/>
          <w:szCs w:val="20"/>
          <w:color w:val="auto"/>
        </w:rPr>
      </w:pPr>
      <w:r>
        <w:rPr>
          <w:rFonts w:ascii="Arial" w:cs="Arial" w:eastAsia="Arial" w:hAnsi="Arial"/>
          <w:sz w:val="18"/>
          <w:szCs w:val="18"/>
          <w:color w:val="auto"/>
        </w:rPr>
        <w:t>Research and development expenses increased by $7.9 million to $16.5 million for the three months ended March 31, 2021 from $8.5 million for the three months ended March 31, 2020. The increase was mainly due to increased clinical research costs for the PRT543 and PRT811 clinical trials and increased costs associated with the initiation of the clinical trial for oral PRT1419, as well as preparation for the anticipated initiation of the Phase 1 trial for IV PRT1419 in the coming months. We also incurred an increase in chemistry, manufacturing and other costs for those trials. We track our external research and development expenses on a program-by-program basis, such as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Research and development expenses by program are summarized in the table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PRT543</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PRT811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1,790</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PRT1419</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Discovery programs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3,172</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Internal costs, including personnel related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6,307</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16,470</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20" w:firstLine="478"/>
        <w:spacing w:after="0" w:line="259" w:lineRule="auto"/>
        <w:rPr>
          <w:sz w:val="20"/>
          <w:szCs w:val="20"/>
          <w:color w:val="auto"/>
        </w:rPr>
      </w:pPr>
      <w:r>
        <w:rPr>
          <w:rFonts w:ascii="Arial" w:cs="Arial" w:eastAsia="Arial" w:hAnsi="Arial"/>
          <w:sz w:val="18"/>
          <w:szCs w:val="18"/>
          <w:color w:val="auto"/>
        </w:rPr>
        <w:t>General and administrative expenses increased by $4.3 million to $5.5 million for the three months ended March 31, 2021 from $1.2 million for the three months ended March 31, 2020. The increase was primarily due to an increase in personnel related expense due to increases in employee headcount and an increase in our professional fees as we expanded our operations to support our research and development efforts and incurred additional costs to operate as a public company.</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200" w:firstLine="478"/>
        <w:spacing w:after="0" w:line="277" w:lineRule="auto"/>
        <w:rPr>
          <w:sz w:val="20"/>
          <w:szCs w:val="20"/>
          <w:color w:val="auto"/>
        </w:rPr>
      </w:pPr>
      <w:r>
        <w:rPr>
          <w:rFonts w:ascii="Arial" w:cs="Arial" w:eastAsia="Arial" w:hAnsi="Arial"/>
          <w:sz w:val="18"/>
          <w:szCs w:val="18"/>
          <w:color w:val="auto"/>
        </w:rPr>
        <w:t>Other income, net increased by $0.4 million primarily due to the receipt and recognition of a research and development tax credit from the State of Delaware in the first quarter of 2021.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40" w:firstLine="478"/>
        <w:spacing w:after="0" w:line="273" w:lineRule="auto"/>
        <w:rPr>
          <w:sz w:val="20"/>
          <w:szCs w:val="20"/>
          <w:color w:val="auto"/>
        </w:rPr>
      </w:pPr>
      <w:r>
        <w:rPr>
          <w:rFonts w:ascii="Arial" w:cs="Arial" w:eastAsia="Arial" w:hAnsi="Arial"/>
          <w:sz w:val="17"/>
          <w:szCs w:val="17"/>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we have funded our operations through the sale of convertible preferred stock and common stock. As of March 31, 2021, we had $363.0 million in cash and cash equivalents and had an accumulated deficit of $128.7 million. We expect our existing cash and cash equivalents to enable us to fund our operating expenses and capital expenditure requirements into 2023. We have based these estimates on assumptions that may prove to be imprecise, and we could utilize our available capital resources sooner than we expect.</w:t>
      </w:r>
    </w:p>
    <w:p>
      <w:pPr>
        <w:spacing w:after="0" w:line="28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60" w:firstLine="478"/>
        <w:spacing w:after="0" w:line="263" w:lineRule="auto"/>
        <w:rPr>
          <w:sz w:val="20"/>
          <w:szCs w:val="20"/>
          <w:color w:val="auto"/>
        </w:rPr>
      </w:pPr>
      <w:r>
        <w:rPr>
          <w:rFonts w:ascii="Arial" w:cs="Arial" w:eastAsia="Arial" w:hAnsi="Arial"/>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84" w:lineRule="exact"/>
        <w:rPr>
          <w:sz w:val="20"/>
          <w:szCs w:val="20"/>
          <w:color w:val="auto"/>
        </w:rPr>
      </w:pPr>
    </w:p>
    <w:p>
      <w:pPr>
        <w:ind w:right="40" w:firstLine="478"/>
        <w:spacing w:after="0" w:line="26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76" w:lineRule="exact"/>
        <w:rPr>
          <w:sz w:val="20"/>
          <w:szCs w:val="20"/>
          <w:color w:val="auto"/>
        </w:rPr>
      </w:pPr>
    </w:p>
    <w:p>
      <w:pPr>
        <w:ind w:left="960" w:hanging="480"/>
        <w:spacing w:after="0"/>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scope, timing, progress and results of discovery, preclinical development, laboratory testing and clinical trials for our product candidates;</w:t>
      </w:r>
    </w:p>
    <w:p>
      <w:pPr>
        <w:spacing w:after="0" w:line="140" w:lineRule="exact"/>
        <w:rPr>
          <w:rFonts w:ascii="Arial" w:cs="Arial" w:eastAsia="Arial" w:hAnsi="Arial"/>
          <w:sz w:val="16"/>
          <w:szCs w:val="16"/>
          <w:color w:val="auto"/>
        </w:rPr>
      </w:pPr>
    </w:p>
    <w:p>
      <w:pPr>
        <w:ind w:left="960" w:hanging="480"/>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costs of manufacturing our product candidates for clinical trials and in preparation for marketing approval and commercialization;</w:t>
      </w:r>
    </w:p>
    <w:p>
      <w:pPr>
        <w:spacing w:after="0" w:line="128" w:lineRule="exact"/>
        <w:rPr>
          <w:rFonts w:ascii="Arial" w:cs="Arial" w:eastAsia="Arial" w:hAnsi="Arial"/>
          <w:sz w:val="17"/>
          <w:szCs w:val="17"/>
          <w:color w:val="auto"/>
        </w:rPr>
      </w:pPr>
    </w:p>
    <w:p>
      <w:pPr>
        <w:ind w:left="960" w:right="380" w:hanging="480"/>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we enter into collaborations or other arrangements with additional third parties in order to further develop our product candidates;</w:t>
      </w:r>
    </w:p>
    <w:p>
      <w:pPr>
        <w:spacing w:after="0" w:line="62" w:lineRule="exact"/>
        <w:rPr>
          <w:rFonts w:ascii="Arial" w:cs="Arial" w:eastAsia="Arial" w:hAnsi="Arial"/>
          <w:sz w:val="18"/>
          <w:szCs w:val="18"/>
          <w:color w:val="auto"/>
        </w:rPr>
      </w:pPr>
    </w:p>
    <w:p>
      <w:pPr>
        <w:ind w:left="960" w:right="360" w:hanging="480"/>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fees associated with the discovery, acquisition or in-license of additional product candidates or technologies;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needed to attract and retain skilled personnel;</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being a public company;</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required to scale up our clinical, regulatory and manufacturing capabilities;</w:t>
      </w:r>
    </w:p>
    <w:p>
      <w:pPr>
        <w:spacing w:after="0" w:line="117" w:lineRule="exact"/>
        <w:rPr>
          <w:rFonts w:ascii="Arial" w:cs="Arial" w:eastAsia="Arial" w:hAnsi="Arial"/>
          <w:sz w:val="18"/>
          <w:szCs w:val="18"/>
          <w:color w:val="auto"/>
        </w:rPr>
      </w:pPr>
    </w:p>
    <w:p>
      <w:pPr>
        <w:ind w:left="960" w:right="60" w:hanging="480"/>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revenue, if any, received from commercial sales of our product candidates, should any of our product candidates receive marketing approval.</w:t>
      </w:r>
    </w:p>
    <w:p>
      <w:pPr>
        <w:spacing w:after="0" w:line="248" w:lineRule="exact"/>
        <w:rPr>
          <w:sz w:val="20"/>
          <w:szCs w:val="20"/>
          <w:color w:val="auto"/>
        </w:rPr>
      </w:pPr>
    </w:p>
    <w:p>
      <w:pPr>
        <w:ind w:right="140" w:firstLine="478"/>
        <w:spacing w:after="0" w:line="259" w:lineRule="auto"/>
        <w:rPr>
          <w:sz w:val="20"/>
          <w:szCs w:val="20"/>
          <w:color w:val="auto"/>
        </w:rPr>
      </w:pPr>
      <w:r>
        <w:rPr>
          <w:rFonts w:ascii="Arial" w:cs="Arial" w:eastAsia="Arial" w:hAnsi="Arial"/>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87" w:lineRule="exact"/>
        <w:rPr>
          <w:sz w:val="20"/>
          <w:szCs w:val="20"/>
          <w:color w:val="auto"/>
        </w:rPr>
      </w:pPr>
    </w:p>
    <w:p>
      <w:pPr>
        <w:ind w:firstLine="478"/>
        <w:spacing w:after="0" w:line="288" w:lineRule="auto"/>
        <w:rPr>
          <w:sz w:val="20"/>
          <w:szCs w:val="20"/>
          <w:color w:val="auto"/>
        </w:rPr>
      </w:pPr>
      <w:r>
        <w:rPr>
          <w:rFonts w:ascii="Arial" w:cs="Arial" w:eastAsia="Arial" w:hAnsi="Arial"/>
          <w:sz w:val="16"/>
          <w:szCs w:val="16"/>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ind w:left="48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(16,143)</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(986)</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161,810</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144,681</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478"/>
        <w:spacing w:after="0" w:line="259" w:lineRule="auto"/>
        <w:rPr>
          <w:sz w:val="20"/>
          <w:szCs w:val="20"/>
          <w:color w:val="auto"/>
        </w:rPr>
      </w:pPr>
      <w:r>
        <w:rPr>
          <w:rFonts w:ascii="Arial" w:cs="Arial" w:eastAsia="Arial" w:hAnsi="Arial"/>
          <w:sz w:val="18"/>
          <w:szCs w:val="18"/>
          <w:color w:val="auto"/>
        </w:rPr>
        <w:t>During the three months ended March 31, 2021, we used $16.1 million of cash in operating activities. Cash used in operating activities reflected our net loss of $21.3 million, offset by a $0.8 million net decrease in our operating assets and liabilities and noncash charges of $4.3 million, which consisted of $0.2 million in depreciation and $3.9 million in stock-based compensation. The primary use of cash was to fund our operations related to the development of our product candidates.</w:t>
      </w:r>
    </w:p>
    <w:p>
      <w:pPr>
        <w:spacing w:after="0" w:line="187" w:lineRule="exact"/>
        <w:rPr>
          <w:sz w:val="20"/>
          <w:szCs w:val="20"/>
          <w:color w:val="auto"/>
        </w:rPr>
      </w:pPr>
    </w:p>
    <w:p>
      <w:pPr>
        <w:jc w:val="both"/>
        <w:ind w:right="100" w:firstLine="478"/>
        <w:spacing w:after="0" w:line="259" w:lineRule="auto"/>
        <w:rPr>
          <w:sz w:val="20"/>
          <w:szCs w:val="20"/>
          <w:color w:val="auto"/>
        </w:rPr>
      </w:pPr>
      <w:r>
        <w:rPr>
          <w:rFonts w:ascii="Arial" w:cs="Arial" w:eastAsia="Arial" w:hAnsi="Arial"/>
          <w:sz w:val="18"/>
          <w:szCs w:val="18"/>
          <w:color w:val="auto"/>
        </w:rPr>
        <w:t>During the three months ended March 31, 2020, we used $9.9 million of cash in operating activities. Cash used in operating activities reflected our net loss of $9.5 million and a net increase of $0.9 million in our operating assets and liabilities, offset by $0.5 million of noncash charges, which consisted of $0.1 million in depreciation and amortization and $0.4 million in stock-based compensation. The primary use of cash was to fund our operations related to the development of our product candidates.</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00" w:firstLine="478"/>
        <w:spacing w:after="0" w:line="277" w:lineRule="auto"/>
        <w:rPr>
          <w:sz w:val="20"/>
          <w:szCs w:val="20"/>
          <w:color w:val="auto"/>
        </w:rPr>
      </w:pPr>
      <w:r>
        <w:rPr>
          <w:rFonts w:ascii="Arial" w:cs="Arial" w:eastAsia="Arial" w:hAnsi="Arial"/>
          <w:sz w:val="18"/>
          <w:szCs w:val="18"/>
          <w:color w:val="auto"/>
        </w:rPr>
        <w:t>During the three months ended March 31, 2021 and 2020, we used $1.0 million and $0.1 million of cash, respectively, for the purchase of property and equipment.</w:t>
      </w:r>
    </w:p>
    <w:p>
      <w:pPr>
        <w:spacing w:after="0" w:line="27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80" w:firstLine="478"/>
        <w:spacing w:after="0" w:line="259" w:lineRule="auto"/>
        <w:rPr>
          <w:sz w:val="20"/>
          <w:szCs w:val="20"/>
          <w:color w:val="auto"/>
        </w:rPr>
      </w:pPr>
      <w:r>
        <w:rPr>
          <w:rFonts w:ascii="Arial" w:cs="Arial" w:eastAsia="Arial" w:hAnsi="Arial"/>
          <w:sz w:val="18"/>
          <w:szCs w:val="18"/>
          <w:color w:val="auto"/>
        </w:rPr>
        <w:t>During the three months ended March 31, 2021, financing activities provided $161.8 million, which reflected the receipt of net cash of $161.4 million from the sale of common stock as well as the receipt of $0.4 million from the exercise of stock options. During the three months ended March 31, 2020 net cash provided by financing activities consisted of $29.8 million from the sale of our Series B convertible preferred stock, offset by payments of $95,000 for our capital lease obligation.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478"/>
        <w:spacing w:after="0" w:line="257" w:lineRule="auto"/>
        <w:rPr>
          <w:sz w:val="20"/>
          <w:szCs w:val="20"/>
          <w:color w:val="auto"/>
        </w:rPr>
      </w:pPr>
      <w:r>
        <w:rPr>
          <w:rFonts w:ascii="Arial" w:cs="Arial" w:eastAsia="Arial" w:hAnsi="Arial"/>
          <w:sz w:val="18"/>
          <w:szCs w:val="18"/>
          <w:color w:val="auto"/>
        </w:rPr>
        <w:t>During the periods presented, we did not have, nor do we currently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off-balance sheet financing arrangements. In addition, we do not engage in trading activities involving non-exchange traded contracts. We therefore believe that we are not materially exposed to any financing, liquidity, market or credit risk that could arise if we had engaged in these relationships.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20" w:firstLine="478"/>
        <w:spacing w:after="0" w:line="286" w:lineRule="auto"/>
        <w:rPr>
          <w:sz w:val="20"/>
          <w:szCs w:val="20"/>
          <w:color w:val="auto"/>
        </w:rPr>
      </w:pPr>
      <w:r>
        <w:rPr>
          <w:rFonts w:ascii="Arial" w:cs="Arial" w:eastAsia="Arial" w:hAnsi="Arial"/>
          <w:sz w:val="17"/>
          <w:szCs w:val="17"/>
          <w:color w:val="auto"/>
        </w:rPr>
        <w:t>During the three months ended March 31, 2021, there were no material changes to our critical accounting policies and estimates from those described under the heading “Management’s Discussion and Analysis of Financial Condition and Results of Operations-Critical Accounting Policies and Estimates” on our Annual Report on Form 10-K filed with the Securities and Exchange Commission on March 16,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firstLine="478"/>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ind w:right="80" w:firstLine="478"/>
        <w:spacing w:after="0" w:line="259" w:lineRule="auto"/>
        <w:rPr>
          <w:sz w:val="20"/>
          <w:szCs w:val="20"/>
          <w:color w:val="auto"/>
        </w:rPr>
      </w:pPr>
      <w:r>
        <w:rPr>
          <w:rFonts w:ascii="Arial" w:cs="Arial" w:eastAsia="Arial" w:hAnsi="Arial"/>
          <w:sz w:val="18"/>
          <w:szCs w:val="18"/>
          <w:color w:val="auto"/>
        </w:rPr>
        <w:t>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7" w:lineRule="exact"/>
        <w:rPr>
          <w:sz w:val="20"/>
          <w:szCs w:val="20"/>
          <w:color w:val="auto"/>
        </w:rPr>
      </w:pPr>
    </w:p>
    <w:p>
      <w:pPr>
        <w:ind w:right="80" w:firstLine="478"/>
        <w:spacing w:after="0" w:line="259" w:lineRule="auto"/>
        <w:rPr>
          <w:sz w:val="20"/>
          <w:szCs w:val="20"/>
          <w:color w:val="auto"/>
        </w:rPr>
      </w:pPr>
      <w:r>
        <w:rPr>
          <w:rFonts w:ascii="Arial" w:cs="Arial" w:eastAsia="Arial" w:hAnsi="Arial"/>
          <w:sz w:val="18"/>
          <w:szCs w:val="18"/>
          <w:color w:val="auto"/>
        </w:rPr>
        <w:t>We will remain an emerging growth company until the earliest of (1) the last day of our first fiscal year (a) in which we have total annual gross revenues of at least $1.07 billion, or (b) in which we are deemed to be a large accelerated filer, which means the market value of our common stock that is held by non-affiliates exceeds $700.0 million as of the prior June 30</w:t>
      </w:r>
      <w:r>
        <w:rPr>
          <w:rFonts w:ascii="Arial" w:cs="Arial" w:eastAsia="Arial" w:hAnsi="Arial"/>
          <w:sz w:val="15"/>
          <w:szCs w:val="15"/>
          <w:color w:val="auto"/>
        </w:rPr>
        <w:t>th</w:t>
      </w:r>
      <w:r>
        <w:rPr>
          <w:rFonts w:ascii="Arial" w:cs="Arial" w:eastAsia="Arial" w:hAnsi="Arial"/>
          <w:sz w:val="18"/>
          <w:szCs w:val="18"/>
          <w:color w:val="auto"/>
        </w:rPr>
        <w:t>, (2) the date on which we have issued more than $1.0 billion in non-convertible debt securities during the prior three-year period and (3) December 31, 2025.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60" w:firstLine="478"/>
        <w:spacing w:after="0" w:line="277" w:lineRule="auto"/>
        <w:rPr>
          <w:sz w:val="20"/>
          <w:szCs w:val="20"/>
          <w:color w:val="auto"/>
        </w:rPr>
      </w:pPr>
      <w:r>
        <w:rPr>
          <w:rFonts w:ascii="Arial" w:cs="Arial" w:eastAsia="Arial" w:hAnsi="Arial"/>
          <w:sz w:val="18"/>
          <w:szCs w:val="18"/>
          <w:color w:val="auto"/>
        </w:rPr>
        <w:t>See Note 3 to our interim financial statements included elsewhere in this Quarterly Report on Form 10-Q for a description of recent accounting pronouncements applicable to our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firstLine="478"/>
        <w:spacing w:after="0" w:line="254"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95" w:lineRule="exact"/>
        <w:rPr>
          <w:sz w:val="20"/>
          <w:szCs w:val="20"/>
          <w:color w:val="auto"/>
        </w:rPr>
      </w:pPr>
    </w:p>
    <w:p>
      <w:pPr>
        <w:ind w:right="220" w:firstLine="478"/>
        <w:spacing w:after="0" w:line="286" w:lineRule="auto"/>
        <w:rPr>
          <w:sz w:val="20"/>
          <w:szCs w:val="20"/>
          <w:color w:val="auto"/>
        </w:rPr>
      </w:pPr>
      <w:r>
        <w:rPr>
          <w:rFonts w:ascii="Arial" w:cs="Arial" w:eastAsia="Arial" w:hAnsi="Arial"/>
          <w:sz w:val="16"/>
          <w:szCs w:val="16"/>
          <w:color w:val="auto"/>
        </w:rPr>
        <w:t>We are in the process of evaluating the benefits of relying on other exemptions and reduced reporting requirements under the JOBS Act, including without limitation, exemption to the requirements for providing an auditor’s attestation report on our system of internal controls over financial reporting pursuant to Section 404(b) of the Sarbanes-Oxley Act. We will remain an emerging growth company until the earlier to occur of (a) the last day of the fiscal year (i) following the fifth anniversary of the completion of our IPO, (ii) in which we have total annual gross revenues of at least $1.07 billion or</w:t>
      </w:r>
    </w:p>
    <w:p>
      <w:pPr>
        <w:spacing w:after="0" w:line="1" w:lineRule="exact"/>
        <w:rPr>
          <w:sz w:val="20"/>
          <w:szCs w:val="20"/>
          <w:color w:val="auto"/>
        </w:rPr>
      </w:pPr>
    </w:p>
    <w:p>
      <w:pPr>
        <w:ind w:right="20" w:firstLine="8"/>
        <w:spacing w:after="0" w:line="255"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which we are deemed to be a “large accelerated filer” under the rules of the SEC, which means the market value of our common stock that is held by non-affiliates exceeds $700.0 million as of the prior June 30th, or (b) the date on which we have issued more than $1.0 billion in non-convertible debt during the prior three-year period.</w:t>
      </w:r>
    </w:p>
    <w:p>
      <w:pPr>
        <w:spacing w:after="0" w:line="190" w:lineRule="exact"/>
        <w:rPr>
          <w:sz w:val="20"/>
          <w:szCs w:val="20"/>
          <w:color w:val="auto"/>
        </w:rPr>
      </w:pPr>
    </w:p>
    <w:p>
      <w:pPr>
        <w:ind w:right="240" w:firstLine="478"/>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0" w:firstLine="478"/>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w:t>
      </w:r>
    </w:p>
    <w:p>
      <w:pPr>
        <w:spacing w:after="0" w:line="121" w:lineRule="exact"/>
        <w:rPr>
          <w:sz w:val="20"/>
          <w:szCs w:val="20"/>
          <w:color w:val="auto"/>
        </w:rPr>
      </w:pPr>
    </w:p>
    <w:p>
      <w:pPr>
        <w:ind w:firstLine="478"/>
        <w:spacing w:after="0" w:line="269" w:lineRule="auto"/>
        <w:rPr>
          <w:sz w:val="20"/>
          <w:szCs w:val="20"/>
          <w:color w:val="auto"/>
        </w:rPr>
      </w:pPr>
      <w:r>
        <w:rPr>
          <w:rFonts w:ascii="Arial" w:cs="Arial" w:eastAsia="Arial" w:hAnsi="Arial"/>
          <w:sz w:val="17"/>
          <w:szCs w:val="17"/>
          <w:color w:val="auto"/>
        </w:rPr>
        <w:t>As of March 31, 2021, management, with the participation of our Principal Executive Officer and Principal Financial and Accounting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March 31, 2021, the design and operation of our disclosure controls and procedures were effective at a reasonable assurance level.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60" w:firstLine="478"/>
        <w:spacing w:after="0" w:line="342" w:lineRule="auto"/>
        <w:rPr>
          <w:sz w:val="20"/>
          <w:szCs w:val="20"/>
          <w:color w:val="auto"/>
        </w:rPr>
      </w:pPr>
      <w:r>
        <w:rPr>
          <w:rFonts w:ascii="Arial" w:cs="Arial" w:eastAsia="Arial" w:hAnsi="Arial"/>
          <w:sz w:val="16"/>
          <w:szCs w:val="16"/>
          <w:color w:val="auto"/>
        </w:rPr>
        <w:t>Management determined that, as of March 31, 2021,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541"/>
        <w:spacing w:after="0" w:line="257"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11" w:lineRule="exact"/>
        <w:rPr>
          <w:sz w:val="20"/>
          <w:szCs w:val="20"/>
          <w:color w:val="auto"/>
        </w:rPr>
      </w:pPr>
    </w:p>
    <w:p>
      <w:pPr>
        <w:ind w:right="120" w:firstLine="749"/>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Quarterly Report on Form 10-Q,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a number of risks and uncertainties, including those immediately following this summary. Some of these risks are:</w:t>
      </w:r>
    </w:p>
    <w:p>
      <w:pPr>
        <w:spacing w:after="0" w:line="117" w:lineRule="exact"/>
        <w:rPr>
          <w:sz w:val="20"/>
          <w:szCs w:val="20"/>
          <w:color w:val="auto"/>
        </w:rPr>
      </w:pPr>
    </w:p>
    <w:p>
      <w:pPr>
        <w:ind w:left="820" w:right="80" w:hanging="407"/>
        <w:spacing w:after="0" w:line="263"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 clinical-stage precision oncology company with a history of operating losses, and we may not achieve or sustain profitability. We anticipate that we will continue to incur losses for the foreseeable future. Our limited operating history may make it difficult for you to evaluate our success to date and to assess our future viability.</w:t>
      </w:r>
    </w:p>
    <w:p>
      <w:pPr>
        <w:spacing w:after="0" w:line="183" w:lineRule="exact"/>
        <w:rPr>
          <w:rFonts w:ascii="Arial" w:cs="Arial" w:eastAsia="Arial" w:hAnsi="Arial"/>
          <w:sz w:val="18"/>
          <w:szCs w:val="18"/>
          <w:color w:val="auto"/>
        </w:rPr>
      </w:pPr>
    </w:p>
    <w:p>
      <w:pPr>
        <w:ind w:left="820" w:right="300" w:hanging="407"/>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outbreak of the novel strain of coronavirus, SARS-CoV-2, which causes COVID-19, could adversely impact our business, including our clinical development activities and clinical trials.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need to raise additional funding before we can expect to become profitable from any potential future sales of our products.</w:t>
      </w:r>
    </w:p>
    <w:p>
      <w:pPr>
        <w:spacing w:after="0" w:line="279" w:lineRule="exact"/>
        <w:rPr>
          <w:rFonts w:ascii="Arial" w:cs="Arial" w:eastAsia="Arial" w:hAnsi="Arial"/>
          <w:sz w:val="18"/>
          <w:szCs w:val="18"/>
          <w:color w:val="auto"/>
        </w:rPr>
      </w:pPr>
    </w:p>
    <w:p>
      <w:pPr>
        <w:ind w:left="820" w:right="380" w:hanging="407"/>
        <w:spacing w:after="0" w:line="308"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very early in our development efforts. Our business is dependent on our ability to advance our current and future product candidates through preclinical studies and clinical trials, obtain marketing approval and ultimately commercialize them.</w:t>
      </w:r>
    </w:p>
    <w:p>
      <w:pPr>
        <w:spacing w:after="0" w:line="146" w:lineRule="exact"/>
        <w:rPr>
          <w:rFonts w:ascii="Arial" w:cs="Arial" w:eastAsia="Arial" w:hAnsi="Arial"/>
          <w:sz w:val="17"/>
          <w:szCs w:val="17"/>
          <w:color w:val="auto"/>
        </w:rPr>
      </w:pPr>
    </w:p>
    <w:p>
      <w:pPr>
        <w:ind w:left="820" w:right="40" w:hanging="407"/>
        <w:spacing w:after="0" w:line="263"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183" w:lineRule="exact"/>
        <w:rPr>
          <w:rFonts w:ascii="Arial" w:cs="Arial" w:eastAsia="Arial" w:hAnsi="Arial"/>
          <w:sz w:val="18"/>
          <w:szCs w:val="18"/>
          <w:color w:val="auto"/>
        </w:rPr>
      </w:pPr>
    </w:p>
    <w:p>
      <w:pPr>
        <w:ind w:left="820" w:right="20" w:hanging="407"/>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 candidates may cause undesirable and unforeseen side effects, which could delay or prevent their advancement into clinical trials or regulatory approval, limit the commercial potential or result in significant negative consequences.</w:t>
      </w:r>
    </w:p>
    <w:p>
      <w:pPr>
        <w:spacing w:after="0" w:line="170"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change and the possibility that our competitors may achieve regulatory approval before us or develop therapies or technologies that are more advanced or effective than ours.</w:t>
      </w:r>
    </w:p>
    <w:p>
      <w:pPr>
        <w:spacing w:after="0" w:line="170" w:lineRule="exact"/>
        <w:rPr>
          <w:rFonts w:ascii="Arial" w:cs="Arial" w:eastAsia="Arial" w:hAnsi="Arial"/>
          <w:sz w:val="18"/>
          <w:szCs w:val="18"/>
          <w:color w:val="auto"/>
        </w:rPr>
      </w:pPr>
    </w:p>
    <w:p>
      <w:pPr>
        <w:ind w:left="840" w:hanging="414"/>
        <w:spacing w:after="0"/>
        <w:tabs>
          <w:tab w:leader="none" w:pos="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We currently rely and expect to continue to rely on third-party manufacturers to produce clinical supply of our product candidates.</w:t>
      </w:r>
    </w:p>
    <w:p>
      <w:pPr>
        <w:spacing w:after="0" w:line="279" w:lineRule="exact"/>
        <w:rPr>
          <w:rFonts w:ascii="Arial" w:cs="Arial" w:eastAsia="Arial" w:hAnsi="Arial"/>
          <w:sz w:val="18"/>
          <w:szCs w:val="18"/>
          <w:color w:val="auto"/>
        </w:rPr>
      </w:pPr>
    </w:p>
    <w:p>
      <w:pPr>
        <w:ind w:left="840" w:right="100" w:hanging="414"/>
        <w:spacing w:after="0" w:line="259" w:lineRule="auto"/>
        <w:tabs>
          <w:tab w:leader="none" w:pos="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or other necessary rights for our products and technology, or if the scope of the patent protection obtained is not sufficiently broad or our rights under licensed patents is not sufficiently broad, our competitors could develop and commercialize products and technology similar or identical to ours, and our ability to successfully commercialize our products and technology may be adversely affected.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35" w:lineRule="exact"/>
        <w:rPr>
          <w:sz w:val="20"/>
          <w:szCs w:val="20"/>
          <w:color w:val="auto"/>
        </w:rPr>
      </w:pPr>
    </w:p>
    <w:p>
      <w:pPr>
        <w:ind w:left="420" w:right="160"/>
        <w:spacing w:after="0" w:line="263"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the success of our business to date and to assess our future viability. We have incurred significant operating losses since our inception and have not generated any revenue. We expect to incur continued losses for the foreseeable future and may never achieve or maintain profitability.</w:t>
      </w:r>
    </w:p>
    <w:p>
      <w:pPr>
        <w:spacing w:after="0" w:line="76" w:lineRule="exact"/>
        <w:rPr>
          <w:sz w:val="20"/>
          <w:szCs w:val="20"/>
          <w:color w:val="auto"/>
        </w:rPr>
      </w:pPr>
    </w:p>
    <w:p>
      <w:pPr>
        <w:ind w:right="20" w:firstLine="416"/>
        <w:spacing w:after="0" w:line="255" w:lineRule="auto"/>
        <w:rPr>
          <w:sz w:val="20"/>
          <w:szCs w:val="20"/>
          <w:color w:val="auto"/>
        </w:rPr>
      </w:pPr>
      <w:r>
        <w:rPr>
          <w:rFonts w:ascii="Arial" w:cs="Arial" w:eastAsia="Arial" w:hAnsi="Arial"/>
          <w:sz w:val="18"/>
          <w:szCs w:val="18"/>
          <w:color w:val="auto"/>
        </w:rPr>
        <w:t>Investment in drug development is a highly speculative undertaking and involves a substantial degree of risk. We commenced operations in 2016 and are a clinical-stage biopharmaceutical company with a limited operating history. We have not yet commercialized any product and we do not expect to generate revenue from sales of any products for several years, if at all. Consequently, there have been limited operations upon which we or you can evaluate our business, and predictions about our future success or viability may not be as accurate as they could be if we had a longer operating history or a history of successfully developing and commercializing cancer therapies. For the three months March 31, 2021 and 2020, we reported a net loss of $21.3</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t>million and $9.5 million, respectively. As of March 31, 2021, we had an accumulated deficit of $128.7 million. We expect to continue to incur significant research and development and other expenses related to our ongoing operations.</w:t>
      </w:r>
    </w:p>
    <w:p>
      <w:pPr>
        <w:spacing w:after="0" w:line="184" w:lineRule="exact"/>
        <w:rPr>
          <w:sz w:val="20"/>
          <w:szCs w:val="20"/>
          <w:color w:val="auto"/>
        </w:rPr>
      </w:pPr>
    </w:p>
    <w:p>
      <w:pPr>
        <w:ind w:right="140" w:firstLine="416"/>
        <w:spacing w:after="0" w:line="279" w:lineRule="auto"/>
        <w:rPr>
          <w:sz w:val="20"/>
          <w:szCs w:val="20"/>
          <w:color w:val="auto"/>
        </w:rPr>
      </w:pPr>
      <w:r>
        <w:rPr>
          <w:rFonts w:ascii="Arial" w:cs="Arial" w:eastAsia="Arial" w:hAnsi="Arial"/>
          <w:sz w:val="17"/>
          <w:szCs w:val="17"/>
          <w:color w:val="auto"/>
        </w:rPr>
        <w:t>Since our inception, we have focused substantially all of our efforts and financial resources on the research, preclinical and clinical development of our product candidates, PRT543, PRT811 and PRT1419, and our research efforts on other potential product candidates targeting Protein Arginine Methyltransferase 5, or PRMT5, Myeloid Cell Leukemia Sequence 1, or MCL1, Cyclin-dependent kinase 9, or CDK9, and Brahma homologue, or BRM, otherwise known as SMARCA2. As of March 31, 2021, our cash and cash equivalents were $363.0 million.</w:t>
      </w:r>
    </w:p>
    <w:p>
      <w:pPr>
        <w:spacing w:after="0" w:line="185"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We expect to incur increasing levels of operating losses for the foreseeable future, particularly as we advance PRT543, PRT811 and PRT1419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candidates, including the ongoing Phase 1 clinical trials and the planned expansion cohorts of PRT543 and PRT811, the ongoing Phase 1 clinical trial for oral PRT1419 and development and subsequent INDs of other future product candidates we may choose to pursue, including IV PRT1419, PRT2527, our CDK9 inhibitor, a SMARCA2 protein degrader and a kinase inhibitor. In addition, if we obtain marketing approval for PRT543, PRT811, PRT1419 or another product candidate, we will incur significant sales, marketing and outsourced manufacturing expenses in connection with the commercialization of PRT543, PRT811, PRT1419 or such other product candidate, respectively. We will also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84"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and we do not know when, or if, we will generate any revenue. We do not expect to generate significant revenue unless and until we obtain marketing approval for, and begin to sell, PRT543, PRT811, PRT1419 or another product candidate. Our ability to generate revenue depends on a number of factors, including, but not limited to, our ability to:</w:t>
      </w:r>
    </w:p>
    <w:p>
      <w:pPr>
        <w:spacing w:after="0" w:line="79" w:lineRule="exact"/>
        <w:rPr>
          <w:sz w:val="20"/>
          <w:szCs w:val="20"/>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complete successful Phase 1 portions of PRT543. PRT811 and PRT1419 clinical trials;</w:t>
      </w:r>
    </w:p>
    <w:p>
      <w:pPr>
        <w:spacing w:after="0" w:line="117" w:lineRule="exact"/>
        <w:rPr>
          <w:rFonts w:ascii="Arial" w:cs="Arial" w:eastAsia="Arial" w:hAnsi="Arial"/>
          <w:sz w:val="18"/>
          <w:szCs w:val="18"/>
          <w:color w:val="auto"/>
        </w:rPr>
      </w:pPr>
    </w:p>
    <w:p>
      <w:pPr>
        <w:ind w:left="820" w:right="280" w:hanging="407"/>
        <w:spacing w:after="0" w:line="311"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initiate and successfully complete all safety, pharmacokinetic and other studies required to obtain U.S. and foreign marketing approval for PRT543 as a treatment for patients with hematological malignancies and advanced solid tumors, PRT811 as a treatment for patients with glioblastoma and advanced solid tumors and PRT1419 as a treatment for patients with certain solid tumors and hematological malignancies;</w:t>
      </w:r>
    </w:p>
    <w:p>
      <w:pPr>
        <w:spacing w:after="0" w:line="40" w:lineRule="exact"/>
        <w:rPr>
          <w:rFonts w:ascii="Arial" w:cs="Arial" w:eastAsia="Arial" w:hAnsi="Arial"/>
          <w:sz w:val="16"/>
          <w:szCs w:val="16"/>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 and complete successful later-stage clinical trials that meet their clinical endpoints;</w:t>
      </w:r>
    </w:p>
    <w:p>
      <w:pPr>
        <w:spacing w:after="0" w:line="117"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obtain favorable results from our clinical trials and apply for and obtain marketing approval for PRT543, PRT811 and PRT1419;</w:t>
      </w:r>
    </w:p>
    <w:p>
      <w:pPr>
        <w:spacing w:after="0" w:line="117" w:lineRule="exact"/>
        <w:rPr>
          <w:sz w:val="20"/>
          <w:szCs w:val="20"/>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licenses, collaborations or strategic partnerships that may increase the value of our programs;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manufacture or contract with others to manufacture PRT543, PRT811, PRT1419 and our other product candidates;</w:t>
      </w:r>
    </w:p>
    <w:p>
      <w:pPr>
        <w:spacing w:after="0" w:line="117" w:lineRule="exact"/>
        <w:rPr>
          <w:rFonts w:ascii="Arial" w:cs="Arial" w:eastAsia="Arial" w:hAnsi="Arial"/>
          <w:sz w:val="18"/>
          <w:szCs w:val="18"/>
          <w:color w:val="auto"/>
        </w:rPr>
      </w:pPr>
    </w:p>
    <w:p>
      <w:pPr>
        <w:ind w:left="820" w:right="200" w:hanging="407"/>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commercialize PRT543, PRT811, PRT1419, if approved, respectively, by building a sales force or entering into collaborations with third parties;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 INDs for PRT2527 and the SMARCA2 protein degrader that are made effective by the U.S.</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Food and Drug Administration, or the FDA;</w:t>
      </w:r>
    </w:p>
    <w:p>
      <w:pPr>
        <w:spacing w:after="0" w:line="103" w:lineRule="exact"/>
        <w:rPr>
          <w:sz w:val="20"/>
          <w:szCs w:val="20"/>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maintain, protect and defend our intellectual property portfolio; and</w:t>
      </w:r>
    </w:p>
    <w:p>
      <w:pPr>
        <w:spacing w:after="0" w:line="117" w:lineRule="exact"/>
        <w:rPr>
          <w:rFonts w:ascii="Arial" w:cs="Arial" w:eastAsia="Arial" w:hAnsi="Arial"/>
          <w:sz w:val="18"/>
          <w:szCs w:val="18"/>
          <w:color w:val="auto"/>
        </w:rPr>
      </w:pPr>
    </w:p>
    <w:p>
      <w:pPr>
        <w:ind w:left="820" w:right="180" w:hanging="407"/>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achieve market acceptance of PRT543, PRT811, PRT1419 and our other successful product candidates with the medical community and with third-party payors.</w:t>
      </w:r>
    </w:p>
    <w:p>
      <w:pPr>
        <w:spacing w:after="0" w:line="170" w:lineRule="exact"/>
        <w:rPr>
          <w:sz w:val="20"/>
          <w:szCs w:val="20"/>
          <w:color w:val="auto"/>
        </w:rPr>
      </w:pPr>
    </w:p>
    <w:p>
      <w:pPr>
        <w:jc w:val="both"/>
        <w:ind w:right="400" w:firstLine="416"/>
        <w:spacing w:after="0" w:line="263" w:lineRule="auto"/>
        <w:rPr>
          <w:sz w:val="20"/>
          <w:szCs w:val="20"/>
          <w:color w:val="auto"/>
        </w:rPr>
      </w:pPr>
      <w:r>
        <w:rPr>
          <w:rFonts w:ascii="Arial" w:cs="Arial" w:eastAsia="Arial" w:hAnsi="Arial"/>
          <w:sz w:val="18"/>
          <w:szCs w:val="18"/>
          <w:color w:val="auto"/>
        </w:rPr>
        <w:t>To become and remain profitable, we must succeed in designing, developing and eventually commercializing products that generate significant revenue. This will require us to be successful in a range of challenging activities, including completing preclinical testing and clinical trials for our product candidates, designing additional product candidates, establishing arrangements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3" w:name="page24"/>
    <w:bookmarkEnd w:id="23"/>
    <w:p>
      <w:pPr>
        <w:ind w:right="280"/>
        <w:spacing w:after="0" w:line="311" w:lineRule="auto"/>
        <w:rPr>
          <w:sz w:val="20"/>
          <w:szCs w:val="20"/>
          <w:color w:val="auto"/>
        </w:rPr>
      </w:pPr>
      <w:r>
        <w:rPr>
          <w:rFonts w:ascii="Arial" w:cs="Arial" w:eastAsia="Arial" w:hAnsi="Arial"/>
          <w:sz w:val="16"/>
          <w:szCs w:val="16"/>
          <w:color w:val="auto"/>
        </w:rPr>
        <w:t>with third parties for the manufacture of clinical supplies of our product candidates, obtaining marketing approval for our product candidates and manufacturing, marketing and selling any products for which we may obtain marketing approval. We are only in the preliminary stages of most of these activities. We may never succeed in these activities and, even if we do, may never generate revenues that are significant enough to achieve profitability.</w:t>
      </w:r>
    </w:p>
    <w:p>
      <w:pPr>
        <w:spacing w:after="0" w:line="149" w:lineRule="exact"/>
        <w:rPr>
          <w:sz w:val="20"/>
          <w:szCs w:val="20"/>
          <w:color w:val="auto"/>
        </w:rPr>
      </w:pPr>
    </w:p>
    <w:p>
      <w:pPr>
        <w:ind w:right="100" w:firstLine="416"/>
        <w:spacing w:after="0" w:line="275" w:lineRule="auto"/>
        <w:rPr>
          <w:sz w:val="20"/>
          <w:szCs w:val="20"/>
          <w:color w:val="auto"/>
        </w:rPr>
      </w:pPr>
      <w:r>
        <w:rPr>
          <w:rFonts w:ascii="Arial" w:cs="Arial" w:eastAsia="Arial" w:hAnsi="Arial"/>
          <w:sz w:val="17"/>
          <w:szCs w:val="17"/>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76" w:lineRule="exact"/>
        <w:rPr>
          <w:sz w:val="20"/>
          <w:szCs w:val="20"/>
          <w:color w:val="auto"/>
        </w:rPr>
      </w:pPr>
    </w:p>
    <w:p>
      <w:pPr>
        <w:ind w:right="100" w:firstLine="416"/>
        <w:spacing w:after="0" w:line="275"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we will incur or when, or if, we will be able to achieve profitability. If we decide to or are required by the FDA or regulatory authorities in other jurisdictions to perform studies or clinical trials in addition to those currently expected, or if there are any delays in establishing appropriate manufacturing arrangements for, in initiating or completing our current and planned clinical trials for, or in the development of, any of our product candidates, our expenses could increase materially and profitability could be further delayed.</w:t>
      </w:r>
    </w:p>
    <w:p>
      <w:pPr>
        <w:spacing w:after="0" w:line="176" w:lineRule="exact"/>
        <w:rPr>
          <w:sz w:val="20"/>
          <w:szCs w:val="20"/>
          <w:color w:val="auto"/>
        </w:rPr>
      </w:pPr>
    </w:p>
    <w:p>
      <w:pPr>
        <w:ind w:right="200" w:firstLine="416"/>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81" w:lineRule="exact"/>
        <w:rPr>
          <w:sz w:val="20"/>
          <w:szCs w:val="20"/>
          <w:color w:val="auto"/>
        </w:rPr>
      </w:pPr>
    </w:p>
    <w:p>
      <w:pPr>
        <w:ind w:left="420" w:right="420"/>
        <w:spacing w:after="0" w:line="263" w:lineRule="auto"/>
        <w:rPr>
          <w:sz w:val="20"/>
          <w:szCs w:val="20"/>
          <w:color w:val="auto"/>
        </w:rPr>
      </w:pPr>
      <w:r>
        <w:rPr>
          <w:rFonts w:ascii="Arial" w:cs="Arial" w:eastAsia="Arial" w:hAnsi="Arial"/>
          <w:sz w:val="18"/>
          <w:szCs w:val="18"/>
          <w:b w:val="1"/>
          <w:bCs w:val="1"/>
          <w:i w:val="1"/>
          <w:iCs w:val="1"/>
          <w:color w:val="auto"/>
        </w:rPr>
        <w:t>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76"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We expect our expenses to increase substantially in connection with our ongoing activities, particularly as we advance our product candidates, PRT543, PRT811 and PRT1419, and other pipeline product candidates through clinical development, and seek to design additional product candidates from our discovery programs. We expect increased expenses as we continue our research and development, initiate additional clinical trials, and seek marketing approval for our lead programs and our other product candidates. 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 Accordingly, we will need to obtain substantial additional funding in connection with our continuing operations. 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w:t>
      </w:r>
    </w:p>
    <w:p>
      <w:pPr>
        <w:spacing w:after="0" w:line="185" w:lineRule="exact"/>
        <w:rPr>
          <w:sz w:val="20"/>
          <w:szCs w:val="20"/>
          <w:color w:val="auto"/>
        </w:rPr>
      </w:pPr>
    </w:p>
    <w:p>
      <w:pPr>
        <w:jc w:val="both"/>
        <w:ind w:right="320" w:firstLine="416"/>
        <w:spacing w:after="0" w:line="301" w:lineRule="auto"/>
        <w:rPr>
          <w:sz w:val="20"/>
          <w:szCs w:val="20"/>
          <w:color w:val="auto"/>
        </w:rPr>
      </w:pPr>
      <w:r>
        <w:rPr>
          <w:rFonts w:ascii="Arial" w:cs="Arial" w:eastAsia="Arial" w:hAnsi="Arial"/>
          <w:sz w:val="16"/>
          <w:szCs w:val="16"/>
          <w:color w:val="auto"/>
        </w:rPr>
        <w:t>We believe that our existing cash and cash equivalents will enable us to fund our operating expenses, and capital expenditure requirements into 2023.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63"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progress, timing and results of preclinical studies and clinical trials for our current or any future product candidates;</w:t>
      </w:r>
    </w:p>
    <w:p>
      <w:pPr>
        <w:spacing w:after="0" w:line="117" w:lineRule="exact"/>
        <w:rPr>
          <w:sz w:val="20"/>
          <w:szCs w:val="20"/>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pipeline product candidates or technologies;</w:t>
      </w:r>
    </w:p>
    <w:p>
      <w:pPr>
        <w:spacing w:after="0" w:line="117" w:lineRule="exact"/>
        <w:rPr>
          <w:rFonts w:ascii="Arial" w:cs="Arial" w:eastAsia="Arial" w:hAnsi="Arial"/>
          <w:sz w:val="18"/>
          <w:szCs w:val="18"/>
          <w:color w:val="auto"/>
        </w:rPr>
      </w:pPr>
    </w:p>
    <w:p>
      <w:pPr>
        <w:ind w:left="820" w:right="420" w:hanging="407"/>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 and other indications for our current product candidates that we may pursue;</w:t>
      </w:r>
    </w:p>
    <w:p>
      <w:pPr>
        <w:spacing w:after="0" w:line="62" w:lineRule="exact"/>
        <w:rPr>
          <w:rFonts w:ascii="Arial" w:cs="Arial" w:eastAsia="Arial" w:hAnsi="Arial"/>
          <w:sz w:val="18"/>
          <w:szCs w:val="18"/>
          <w:color w:val="auto"/>
        </w:rPr>
      </w:pPr>
    </w:p>
    <w:p>
      <w:pPr>
        <w:ind w:left="820" w:right="680" w:hanging="407"/>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obtaining regulatory approvals of our current or future product candidates and any companion diagnostics we may pursue;</w:t>
      </w:r>
    </w:p>
    <w:p>
      <w:pPr>
        <w:spacing w:after="0" w:line="62" w:lineRule="exact"/>
        <w:rPr>
          <w:rFonts w:ascii="Arial" w:cs="Arial" w:eastAsia="Arial" w:hAnsi="Arial"/>
          <w:sz w:val="18"/>
          <w:szCs w:val="18"/>
          <w:color w:val="auto"/>
        </w:rPr>
      </w:pPr>
    </w:p>
    <w:p>
      <w:pPr>
        <w:ind w:left="820" w:right="340" w:hanging="407"/>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ind w:left="820" w:hanging="407"/>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our current or future product candidates;</w:t>
      </w:r>
    </w:p>
    <w:p>
      <w:pPr>
        <w:spacing w:after="0" w:line="62" w:lineRule="exact"/>
        <w:rPr>
          <w:rFonts w:ascii="Arial" w:cs="Arial" w:eastAsia="Arial" w:hAnsi="Arial"/>
          <w:sz w:val="18"/>
          <w:szCs w:val="18"/>
          <w:color w:val="auto"/>
        </w:rPr>
      </w:pPr>
    </w:p>
    <w:p>
      <w:pPr>
        <w:ind w:left="820" w:right="520" w:hanging="407"/>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associated with commercializing any approved product candidates, including establishing sales, marketing and distribution capabilities;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associated with completing any post-marketing studies or trials required by the FDA or other regulatory authorities;</w:t>
      </w:r>
    </w:p>
    <w:p>
      <w:pPr>
        <w:spacing w:after="0" w:line="117" w:lineRule="exact"/>
        <w:rPr>
          <w:rFonts w:ascii="Arial" w:cs="Arial" w:eastAsia="Arial" w:hAnsi="Arial"/>
          <w:sz w:val="18"/>
          <w:szCs w:val="18"/>
          <w:color w:val="auto"/>
        </w:rPr>
      </w:pPr>
    </w:p>
    <w:p>
      <w:pPr>
        <w:ind w:left="820" w:right="380" w:hanging="407"/>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PRT543, PRT811, PRT1419, or PRT2527 if any are approved, or our other pipeline product candidates that receive marketing approval;</w:t>
      </w:r>
    </w:p>
    <w:p>
      <w:pPr>
        <w:spacing w:after="0" w:line="62" w:lineRule="exact"/>
        <w:rPr>
          <w:rFonts w:ascii="Arial" w:cs="Arial" w:eastAsia="Arial" w:hAnsi="Arial"/>
          <w:sz w:val="18"/>
          <w:szCs w:val="18"/>
          <w:color w:val="auto"/>
        </w:rPr>
      </w:pPr>
    </w:p>
    <w:p>
      <w:pPr>
        <w:ind w:left="820" w:right="420" w:hanging="407"/>
        <w:spacing w:after="0" w:line="342"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w:t>
      </w:r>
    </w:p>
    <w:p>
      <w:pPr>
        <w:spacing w:after="0" w:line="15" w:lineRule="exact"/>
        <w:rPr>
          <w:rFonts w:ascii="Arial" w:cs="Arial" w:eastAsia="Arial" w:hAnsi="Arial"/>
          <w:sz w:val="16"/>
          <w:szCs w:val="16"/>
          <w:color w:val="auto"/>
        </w:rPr>
      </w:pPr>
    </w:p>
    <w:p>
      <w:pPr>
        <w:ind w:left="820" w:right="20" w:hanging="407"/>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potential product liability claims, including the costs associated with obtaining insurance against such claims and with defending against such claims; and</w:t>
      </w:r>
    </w:p>
    <w:p>
      <w:pPr>
        <w:spacing w:after="0" w:line="62" w:lineRule="exact"/>
        <w:rPr>
          <w:rFonts w:ascii="Arial" w:cs="Arial" w:eastAsia="Arial" w:hAnsi="Arial"/>
          <w:sz w:val="18"/>
          <w:szCs w:val="18"/>
          <w:color w:val="auto"/>
        </w:rPr>
      </w:pPr>
    </w:p>
    <w:p>
      <w:pPr>
        <w:jc w:val="both"/>
        <w:ind w:left="820" w:hanging="407"/>
        <w:spacing w:after="0" w:line="311" w:lineRule="auto"/>
        <w:tabs>
          <w:tab w:leader="none" w:pos="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the extent we pursue strategic collaborations, including collaborations to commercialize PRT543, PRT811, PRT1419, PRT2527 or any of our other pipeline product candidates, our ability to establish and maintain collaborations on favorable terms, if at all, as well as the timing and amount of any milestone or royalty payments we are required to make or are eligible to receive under such collaborations, if any.</w:t>
      </w:r>
    </w:p>
    <w:p>
      <w:pPr>
        <w:spacing w:after="0" w:line="149" w:lineRule="exact"/>
        <w:rPr>
          <w:sz w:val="20"/>
          <w:szCs w:val="20"/>
          <w:color w:val="auto"/>
        </w:rPr>
      </w:pPr>
    </w:p>
    <w:p>
      <w:pPr>
        <w:ind w:right="40" w:firstLine="416"/>
        <w:spacing w:after="0" w:line="273" w:lineRule="auto"/>
        <w:rPr>
          <w:sz w:val="20"/>
          <w:szCs w:val="20"/>
          <w:color w:val="auto"/>
        </w:rPr>
      </w:pPr>
      <w:r>
        <w:rPr>
          <w:rFonts w:ascii="Arial" w:cs="Arial" w:eastAsia="Arial" w:hAnsi="Arial"/>
          <w:sz w:val="17"/>
          <w:szCs w:val="17"/>
          <w:color w:val="auto"/>
        </w:rPr>
        <w:t>We will require additional capital to complete our planned clinical development programs for our current product candidates to obtain regulatory approval.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product candidates, if approved.</w:t>
      </w:r>
    </w:p>
    <w:p>
      <w:pPr>
        <w:spacing w:after="0" w:line="272" w:lineRule="exact"/>
        <w:rPr>
          <w:sz w:val="20"/>
          <w:szCs w:val="20"/>
          <w:color w:val="auto"/>
        </w:rPr>
      </w:pPr>
    </w:p>
    <w:p>
      <w:pPr>
        <w:ind w:left="420" w:right="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firstLine="416"/>
        <w:spacing w:after="0" w:line="272"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collaborations, strategic alliances and marketing, distribution or licensing arrangements.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77" w:lineRule="exact"/>
        <w:rPr>
          <w:sz w:val="20"/>
          <w:szCs w:val="20"/>
          <w:color w:val="auto"/>
        </w:rPr>
      </w:pPr>
    </w:p>
    <w:p>
      <w:pPr>
        <w:ind w:firstLine="416"/>
        <w:spacing w:after="0" w:line="275"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third parties to develop and market product candidates that we would otherwise prefer to develop and market ourselves.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Design and Development of our Product Candidates</w:t>
      </w:r>
    </w:p>
    <w:p>
      <w:pPr>
        <w:spacing w:after="0" w:line="121" w:lineRule="exact"/>
        <w:rPr>
          <w:sz w:val="20"/>
          <w:szCs w:val="20"/>
          <w:color w:val="auto"/>
        </w:rPr>
      </w:pPr>
    </w:p>
    <w:p>
      <w:pPr>
        <w:jc w:val="both"/>
        <w:ind w:left="420"/>
        <w:spacing w:after="0" w:line="311" w:lineRule="auto"/>
        <w:rPr>
          <w:sz w:val="20"/>
          <w:szCs w:val="20"/>
          <w:color w:val="auto"/>
        </w:rPr>
      </w:pPr>
      <w:r>
        <w:rPr>
          <w:rFonts w:ascii="Arial" w:cs="Arial" w:eastAsia="Arial" w:hAnsi="Arial"/>
          <w:sz w:val="16"/>
          <w:szCs w:val="16"/>
          <w:b w:val="1"/>
          <w:bCs w:val="1"/>
          <w:i w:val="1"/>
          <w:iCs w:val="1"/>
          <w:color w:val="auto"/>
        </w:rPr>
        <w:t>We are highly dependent on the success of our product candidates, PRT543, PRT811 and PRT1419, which are in early clinical development, and PRT2527, which is in preclinical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14" w:lineRule="exact"/>
        <w:rPr>
          <w:sz w:val="20"/>
          <w:szCs w:val="20"/>
          <w:color w:val="auto"/>
        </w:rPr>
      </w:pPr>
    </w:p>
    <w:p>
      <w:pPr>
        <w:ind w:right="20" w:firstLine="416"/>
        <w:spacing w:after="0" w:line="277" w:lineRule="auto"/>
        <w:rPr>
          <w:sz w:val="20"/>
          <w:szCs w:val="20"/>
          <w:color w:val="auto"/>
        </w:rPr>
      </w:pPr>
      <w:r>
        <w:rPr>
          <w:rFonts w:ascii="Arial" w:cs="Arial" w:eastAsia="Arial" w:hAnsi="Arial"/>
          <w:sz w:val="18"/>
          <w:szCs w:val="18"/>
          <w:color w:val="auto"/>
        </w:rPr>
        <w:t>Our future success is highly dependent on our ability to obtain regulatory approval for, and then successfully commercialize, our product candidates, PRT543, PRT811 and PRT1419. We are early in our development efforts and our lead product candidates,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95" w:right="419" w:bottom="1440" w:gutter="0" w:footer="0" w:header="0"/>
        </w:sectPr>
      </w:pPr>
    </w:p>
    <w:bookmarkStart w:id="25" w:name="page26"/>
    <w:bookmarkEnd w:id="25"/>
    <w:p>
      <w:pPr>
        <w:ind w:right="180"/>
        <w:spacing w:after="0" w:line="311" w:lineRule="auto"/>
        <w:rPr>
          <w:sz w:val="20"/>
          <w:szCs w:val="20"/>
          <w:color w:val="auto"/>
        </w:rPr>
      </w:pPr>
      <w:r>
        <w:rPr>
          <w:rFonts w:ascii="Arial" w:cs="Arial" w:eastAsia="Arial" w:hAnsi="Arial"/>
          <w:sz w:val="16"/>
          <w:szCs w:val="16"/>
          <w:color w:val="auto"/>
        </w:rPr>
        <w:t>PRT543, PRT811 and PRT1419, are each currently in a Phase 1 clinical trial. Our other product candidates, including PRT2527, are in earlier stages of development. We currently have no products that are approved for sale in any jurisdiction. There can be no assurance that PRT543, PRT811, PRT1419, PRT2527 or our other product candidates in development will achieve success in their clinical trials or obtain regulatory approval.</w:t>
      </w:r>
    </w:p>
    <w:p>
      <w:pPr>
        <w:spacing w:after="0" w:line="122" w:lineRule="exact"/>
        <w:rPr>
          <w:sz w:val="20"/>
          <w:szCs w:val="20"/>
          <w:color w:val="auto"/>
        </w:rPr>
      </w:pPr>
    </w:p>
    <w:p>
      <w:pPr>
        <w:ind w:right="280" w:firstLine="416"/>
        <w:spacing w:after="0" w:line="286" w:lineRule="auto"/>
        <w:rPr>
          <w:sz w:val="20"/>
          <w:szCs w:val="20"/>
          <w:color w:val="auto"/>
        </w:rPr>
      </w:pPr>
      <w:r>
        <w:rPr>
          <w:rFonts w:ascii="Arial" w:cs="Arial" w:eastAsia="Arial" w:hAnsi="Arial"/>
          <w:sz w:val="17"/>
          <w:szCs w:val="17"/>
          <w:color w:val="auto"/>
        </w:rPr>
        <w:t>Our ability to generate product revenues, which we do not expect will occur for many years, if ever, will depend heavily on the successful development and eventual commercialization of PRT543, PRT811, PRT1419, PRT2527 or other product candidates in development. The success of our product candidates, including PRT543, PRT811, PRT1419 and PRT2527, will depend on several factors, including the following:</w:t>
      </w:r>
    </w:p>
    <w:p>
      <w:pPr>
        <w:spacing w:after="0" w:line="30" w:lineRule="exact"/>
        <w:rPr>
          <w:sz w:val="20"/>
          <w:szCs w:val="20"/>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completion of preclinical studies and clinical trials;</w:t>
      </w:r>
    </w:p>
    <w:p>
      <w:pPr>
        <w:spacing w:after="0" w:line="117" w:lineRule="exact"/>
        <w:rPr>
          <w:rFonts w:ascii="Arial" w:cs="Arial" w:eastAsia="Arial" w:hAnsi="Arial"/>
          <w:sz w:val="18"/>
          <w:szCs w:val="18"/>
          <w:color w:val="auto"/>
        </w:rPr>
      </w:pPr>
    </w:p>
    <w:p>
      <w:pPr>
        <w:ind w:left="820" w:right="120" w:hanging="407"/>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INDs by the FDA or other similar clinical trial applications from foreign regulatory authorities for our future clinical trials for our pipeline product candidates;</w:t>
      </w:r>
    </w:p>
    <w:p>
      <w:pPr>
        <w:spacing w:after="0" w:line="35" w:lineRule="exact"/>
        <w:rPr>
          <w:rFonts w:ascii="Arial" w:cs="Arial" w:eastAsia="Arial" w:hAnsi="Arial"/>
          <w:sz w:val="18"/>
          <w:szCs w:val="18"/>
          <w:color w:val="auto"/>
        </w:rPr>
      </w:pPr>
    </w:p>
    <w:p>
      <w:pPr>
        <w:ind w:left="820" w:hanging="407"/>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and successful enrollment of patients in, and completion of, clinical trials with favorable results;</w:t>
      </w:r>
    </w:p>
    <w:p>
      <w:pPr>
        <w:spacing w:after="0" w:line="117" w:lineRule="exact"/>
        <w:rPr>
          <w:rFonts w:ascii="Arial" w:cs="Arial" w:eastAsia="Arial" w:hAnsi="Arial"/>
          <w:sz w:val="18"/>
          <w:szCs w:val="18"/>
          <w:color w:val="auto"/>
        </w:rPr>
      </w:pPr>
    </w:p>
    <w:p>
      <w:pPr>
        <w:ind w:left="820" w:right="340" w:hanging="407"/>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demonstration of safety, efficacy and acceptable risk-benefit profiles of our product candidates to the satisfaction of the FDA and foreign regulatory agencies;</w:t>
      </w:r>
    </w:p>
    <w:p>
      <w:pPr>
        <w:spacing w:after="0" w:line="35"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our ability, or that of our collaborators, to develop and obtain clearance or approval of companion diagnostics, on a timely basis, or at all;</w:t>
      </w:r>
    </w:p>
    <w:p>
      <w:pPr>
        <w:spacing w:after="0" w:line="102" w:lineRule="exact"/>
        <w:rPr>
          <w:sz w:val="20"/>
          <w:szCs w:val="20"/>
          <w:color w:val="auto"/>
        </w:rPr>
      </w:pPr>
    </w:p>
    <w:p>
      <w:pPr>
        <w:ind w:left="820" w:right="520" w:hanging="407"/>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receipt and related terms of marketing approvals from applicable regulatory authorities, including the completion of any required post-marketing studies or trials;</w:t>
      </w:r>
    </w:p>
    <w:p>
      <w:pPr>
        <w:spacing w:after="0" w:line="3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and commercialize our product candidates;</w:t>
      </w:r>
    </w:p>
    <w:p>
      <w:pPr>
        <w:spacing w:after="0" w:line="90"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obtaining and maintaining patent, trade secret and other intellectual property protection and regulatory exclusivity for our product candidates;</w:t>
      </w:r>
    </w:p>
    <w:p>
      <w:pPr>
        <w:spacing w:after="0" w:line="113" w:lineRule="exact"/>
        <w:rPr>
          <w:rFonts w:ascii="Arial" w:cs="Arial" w:eastAsia="Arial" w:hAnsi="Arial"/>
          <w:sz w:val="16"/>
          <w:szCs w:val="16"/>
          <w:color w:val="auto"/>
        </w:rPr>
      </w:pPr>
    </w:p>
    <w:p>
      <w:pPr>
        <w:ind w:left="820" w:right="140" w:hanging="407"/>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w:t>
      </w:r>
    </w:p>
    <w:p>
      <w:pPr>
        <w:spacing w:after="0" w:line="3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and implementing marketing and reimbursement strategies;</w:t>
      </w:r>
    </w:p>
    <w:p>
      <w:pPr>
        <w:spacing w:after="0" w:line="117" w:lineRule="exact"/>
        <w:rPr>
          <w:rFonts w:ascii="Arial" w:cs="Arial" w:eastAsia="Arial" w:hAnsi="Arial"/>
          <w:sz w:val="18"/>
          <w:szCs w:val="18"/>
          <w:color w:val="auto"/>
        </w:rPr>
      </w:pPr>
    </w:p>
    <w:p>
      <w:pPr>
        <w:ind w:left="820" w:right="40" w:hanging="407"/>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35"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90"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and maintaining third-party payor coverage and adequate reimbursement;</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225" w:lineRule="exact"/>
        <w:rPr>
          <w:sz w:val="20"/>
          <w:szCs w:val="20"/>
          <w:color w:val="auto"/>
        </w:rPr>
      </w:pPr>
    </w:p>
    <w:p>
      <w:pPr>
        <w:ind w:right="220" w:firstLine="416"/>
        <w:spacing w:after="0" w:line="301" w:lineRule="auto"/>
        <w:rPr>
          <w:sz w:val="20"/>
          <w:szCs w:val="20"/>
          <w:color w:val="auto"/>
        </w:rPr>
      </w:pPr>
      <w:r>
        <w:rPr>
          <w:rFonts w:ascii="Arial" w:cs="Arial" w:eastAsia="Arial" w:hAnsi="Arial"/>
          <w:sz w:val="16"/>
          <w:szCs w:val="16"/>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clinical trials of PRT543, PRT811 or PRT1419, vary adversely from our expectations.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Drug development involves a lengthy and expensive process, and clinical testing is uncertain as to the outcome.</w:t>
      </w:r>
    </w:p>
    <w:p>
      <w:pPr>
        <w:spacing w:after="0" w:line="117" w:lineRule="exact"/>
        <w:rPr>
          <w:sz w:val="20"/>
          <w:szCs w:val="20"/>
          <w:color w:val="auto"/>
        </w:rPr>
      </w:pPr>
    </w:p>
    <w:p>
      <w:pPr>
        <w:ind w:firstLine="416"/>
        <w:spacing w:after="0" w:line="275" w:lineRule="auto"/>
        <w:rPr>
          <w:sz w:val="20"/>
          <w:szCs w:val="20"/>
          <w:color w:val="auto"/>
        </w:rPr>
      </w:pPr>
      <w:r>
        <w:rPr>
          <w:rFonts w:ascii="Arial" w:cs="Arial" w:eastAsia="Arial" w:hAnsi="Arial"/>
          <w:sz w:val="17"/>
          <w:szCs w:val="17"/>
          <w:color w:val="auto"/>
        </w:rPr>
        <w:t>We currently have three product candidates in Phase 1 clinical development and additional product candidates in preclinical development, and the risk of failure for each is high. We are unable to predict when or if our product candidates will prove effective or safe in humans or will obtain marketing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the outcome.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 w:name="page27"/>
    <w:bookmarkEnd w:id="26"/>
    <w:p>
      <w:pPr>
        <w:ind w:right="40" w:firstLine="416"/>
        <w:spacing w:after="0" w:line="268" w:lineRule="auto"/>
        <w:rPr>
          <w:sz w:val="20"/>
          <w:szCs w:val="20"/>
          <w:color w:val="auto"/>
        </w:rPr>
      </w:pPr>
      <w:r>
        <w:rPr>
          <w:rFonts w:ascii="Arial" w:cs="Arial" w:eastAsia="Arial" w:hAnsi="Arial"/>
          <w:sz w:val="17"/>
          <w:szCs w:val="17"/>
          <w:color w:val="auto"/>
        </w:rPr>
        <w:t>A failure of one or more clinical trials can occur at any stage of testing. The outcome of preclinical testing and early clinical trials may not be predictive of the success of later clinical trials or of clinical trials of the same product candidates in other indications, and interim or preliminary results of a clinical trial do not necessarily predict final results. Later-stage clinical trials could differ in significant ways from early-stage clinical trials, including changes to inclusion and exclusion criteria, efficacy endpoints, dosing regimen and statistical design. In particular, the small number of patients in our current Phase 1 clinical trials may make the results of these trials less predictive of the outcome of later clinical trials. In addition, although we have observed encouraging clinical activity in the dose escalation portion of the Phase 1 portion of our ongoing PRT543 and PRT811 clinical trials, the primary objectives were to determine the safety, tolerability and maximum tolerated dose of PRT543 and PRT811, respectively, and to determine a recommended Phase 2 dose for the expansion portion of our Phase 1 clinical trials, and not to demonstrate efficacy. The assessments of clinical activity from this portion of the clinical trials, some of which were not pre-specified, may not be predictive of the results in dose expansion cohorts, specific tumor types or further clinical trials of PRT543 and PRT811. In addition, while we may believe certain results in patients, such as stable disease, suggest encouraging clinical activity, stable disease is not considered a response for regulatory purposes. Stable disease, or SD, is defined as failure to meet the definition of objective clinical response or progressive disease. Furthermore, safety events may be observed in later trials that alter the anticipated risk-benefit profiles of PRT543 and PRT811.</w:t>
      </w:r>
    </w:p>
    <w:p>
      <w:pPr>
        <w:spacing w:after="0" w:line="281"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and/or commercialization of PRT543, PRT811, PRT1419, PRT2527 or our other product candidates.</w:t>
      </w:r>
    </w:p>
    <w:p>
      <w:pPr>
        <w:spacing w:after="0" w:line="62" w:lineRule="exact"/>
        <w:rPr>
          <w:sz w:val="20"/>
          <w:szCs w:val="20"/>
          <w:color w:val="auto"/>
        </w:rPr>
      </w:pPr>
    </w:p>
    <w:p>
      <w:pPr>
        <w:ind w:right="120" w:firstLine="416"/>
        <w:spacing w:after="0" w:line="263" w:lineRule="auto"/>
        <w:rPr>
          <w:sz w:val="20"/>
          <w:szCs w:val="20"/>
          <w:color w:val="auto"/>
        </w:rPr>
      </w:pPr>
      <w:r>
        <w:rPr>
          <w:rFonts w:ascii="Arial" w:cs="Arial" w:eastAsia="Arial" w:hAnsi="Arial"/>
          <w:sz w:val="18"/>
          <w:szCs w:val="18"/>
          <w:color w:val="auto"/>
        </w:rPr>
        <w:t>Before we can initiate clinical trials of a product candidate in any indication, we must submit the results of preclinical studies to the FDA or to comparable foreign authorities, respectively, along with other information, including information about the product candidate’s chemistry, manufacturing and controls and our proposed clinical trial protocol, as part of an IND or comparable foreign regulatory filings.</w:t>
      </w:r>
    </w:p>
    <w:p>
      <w:pPr>
        <w:spacing w:after="0" w:line="184" w:lineRule="exact"/>
        <w:rPr>
          <w:sz w:val="20"/>
          <w:szCs w:val="20"/>
          <w:color w:val="auto"/>
        </w:rPr>
      </w:pPr>
    </w:p>
    <w:p>
      <w:pPr>
        <w:ind w:right="200" w:firstLine="416"/>
        <w:spacing w:after="0" w:line="277" w:lineRule="auto"/>
        <w:rPr>
          <w:sz w:val="20"/>
          <w:szCs w:val="20"/>
          <w:color w:val="auto"/>
        </w:rPr>
      </w:pPr>
      <w:r>
        <w:rPr>
          <w:rFonts w:ascii="Arial" w:cs="Arial" w:eastAsia="Arial" w:hAnsi="Arial"/>
          <w:sz w:val="18"/>
          <w:szCs w:val="18"/>
          <w:color w:val="auto"/>
        </w:rPr>
        <w:t>The FDA may require us to conduct additional preclinical studies for any product candidate before it allows us to initiate subsequent clinical trials under any IND, which may lead to additional delays and increase the costs of our preclinical development programs.</w:t>
      </w:r>
    </w:p>
    <w:p>
      <w:pPr>
        <w:spacing w:after="0" w:line="170" w:lineRule="exact"/>
        <w:rPr>
          <w:sz w:val="20"/>
          <w:szCs w:val="20"/>
          <w:color w:val="auto"/>
        </w:rPr>
      </w:pPr>
    </w:p>
    <w:p>
      <w:pPr>
        <w:jc w:val="both"/>
        <w:ind w:right="40" w:firstLine="416"/>
        <w:spacing w:after="0" w:line="263" w:lineRule="auto"/>
        <w:rPr>
          <w:sz w:val="20"/>
          <w:szCs w:val="20"/>
          <w:color w:val="auto"/>
        </w:rPr>
      </w:pPr>
      <w:r>
        <w:rPr>
          <w:rFonts w:ascii="Arial" w:cs="Arial" w:eastAsia="Arial" w:hAnsi="Arial"/>
          <w:sz w:val="18"/>
          <w:szCs w:val="18"/>
          <w:color w:val="auto"/>
        </w:rPr>
        <w:t>Any delays in the commencement or completion of our ongoing, planned or future clinical trials could significantly affect our product development costs. We may experience numerous unforeseen events during, or as a result of, clinical trials that could delay or prevent our ability to obtain marketing approval or commercialize our product candidates, including:</w:t>
      </w:r>
    </w:p>
    <w:p>
      <w:pPr>
        <w:spacing w:after="0" w:line="76" w:lineRule="exact"/>
        <w:rPr>
          <w:sz w:val="20"/>
          <w:szCs w:val="20"/>
          <w:color w:val="auto"/>
        </w:rPr>
      </w:pPr>
    </w:p>
    <w:p>
      <w:pPr>
        <w:ind w:left="820" w:right="500" w:hanging="407"/>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institutional review boards, or IRBs, or ethics committees, or ECs,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820" w:right="140" w:hanging="407"/>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may disagree as to the design or implementation of our clinical trials or with our recommended Phase 2 doses for any of our pipeline programs;</w:t>
      </w:r>
    </w:p>
    <w:p>
      <w:pPr>
        <w:spacing w:after="0" w:line="62" w:lineRule="exact"/>
        <w:rPr>
          <w:rFonts w:ascii="Arial" w:cs="Arial" w:eastAsia="Arial" w:hAnsi="Arial"/>
          <w:sz w:val="18"/>
          <w:szCs w:val="18"/>
          <w:color w:val="auto"/>
        </w:rPr>
      </w:pPr>
    </w:p>
    <w:p>
      <w:pPr>
        <w:ind w:left="820" w:right="600" w:hanging="407"/>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clinical research organizations, or CROs, and prospective trial sites;</w:t>
      </w:r>
    </w:p>
    <w:p>
      <w:pPr>
        <w:spacing w:after="0" w:line="62"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trials for our product candidates may produce negative or inconclusive results, and we may decide, or regulators may require us, to conduct additional clinical trials, delay or halt clinical trials or abandon product development programs;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17" w:lineRule="exact"/>
        <w:rPr>
          <w:rFonts w:ascii="Arial" w:cs="Arial" w:eastAsia="Arial" w:hAnsi="Arial"/>
          <w:sz w:val="18"/>
          <w:szCs w:val="18"/>
          <w:color w:val="auto"/>
        </w:rPr>
      </w:pPr>
    </w:p>
    <w:p>
      <w:pPr>
        <w:ind w:left="820" w:right="60" w:hanging="407"/>
        <w:spacing w:after="0" w:line="259"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spacing w:after="0" w:line="78" w:lineRule="exact"/>
        <w:rPr>
          <w:rFonts w:ascii="Arial" w:cs="Arial" w:eastAsia="Arial" w:hAnsi="Arial"/>
          <w:sz w:val="18"/>
          <w:szCs w:val="18"/>
          <w:color w:val="auto"/>
        </w:rPr>
      </w:pPr>
    </w:p>
    <w:p>
      <w:pPr>
        <w:ind w:left="820" w:right="120" w:hanging="407"/>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for clinical trial participants from investigational and approved therapies may make it more difficult to enroll patients in our clinical trials;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experience difficulties in maintaining contact with patients after treatment, resulting in incomplete data;</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or third-party collaborators may fail to obtain regulatory approval of companion diagnostic tests, if required, on a timely basis, or at all;</w:t>
      </w:r>
    </w:p>
    <w:p>
      <w:pPr>
        <w:spacing w:after="0" w:line="128" w:lineRule="exact"/>
        <w:rPr>
          <w:rFonts w:ascii="Arial" w:cs="Arial" w:eastAsia="Arial" w:hAnsi="Arial"/>
          <w:sz w:val="17"/>
          <w:szCs w:val="17"/>
          <w:color w:val="auto"/>
        </w:rPr>
      </w:pPr>
    </w:p>
    <w:p>
      <w:pPr>
        <w:ind w:left="820" w:right="660" w:hanging="407"/>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third-party contractors may fail to meet their contractual obligations to us in a timely manner, or at all, or may fail to comply with regulatory requirements;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7" w:name="page28"/>
    <w:bookmarkEnd w:id="27"/>
    <w:p>
      <w:pPr>
        <w:ind w:left="820" w:right="120" w:hanging="407"/>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for our product candidates for various reasons, including a finding by us or by a Data Monitoring Committee for a trial that the participants are being exposed to unacceptable health risks;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product candidates may have undesirable or unexpected side effects or other unexpected characteristics, causing us or our investigators,</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regulators or IRBs/ECs to suspend or terminate the trials;</w:t>
      </w:r>
    </w:p>
    <w:p>
      <w:pPr>
        <w:spacing w:after="0" w:line="103" w:lineRule="exact"/>
        <w:rPr>
          <w:sz w:val="20"/>
          <w:szCs w:val="20"/>
          <w:color w:val="auto"/>
        </w:rPr>
      </w:pPr>
    </w:p>
    <w:p>
      <w:pPr>
        <w:ind w:left="820" w:hanging="40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trials for our product candidates may be greater than we anticipate;</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117" w:lineRule="exact"/>
        <w:rPr>
          <w:rFonts w:ascii="Arial" w:cs="Arial" w:eastAsia="Arial" w:hAnsi="Arial"/>
          <w:sz w:val="18"/>
          <w:szCs w:val="18"/>
          <w:color w:val="auto"/>
        </w:rPr>
      </w:pPr>
    </w:p>
    <w:p>
      <w:pPr>
        <w:ind w:left="820" w:right="640" w:hanging="407"/>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for our product candidates may be insufficient or inadequate and result in delays or suspension of our clinical trials; and</w:t>
      </w:r>
    </w:p>
    <w:p>
      <w:pPr>
        <w:spacing w:after="0" w:line="62" w:lineRule="exact"/>
        <w:rPr>
          <w:rFonts w:ascii="Arial" w:cs="Arial" w:eastAsia="Arial" w:hAnsi="Arial"/>
          <w:sz w:val="18"/>
          <w:szCs w:val="18"/>
          <w:color w:val="auto"/>
        </w:rPr>
      </w:pPr>
    </w:p>
    <w:p>
      <w:pPr>
        <w:ind w:left="820" w:right="80" w:hanging="407"/>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the ongoing COVID-19 pandemic, which may slow potential enrollment, reduce the number of eligible patients for clinical trials, or reduce the number of patients that remain in our trials.</w:t>
      </w:r>
    </w:p>
    <w:p>
      <w:pPr>
        <w:spacing w:after="0" w:line="170" w:lineRule="exact"/>
        <w:rPr>
          <w:sz w:val="20"/>
          <w:szCs w:val="20"/>
          <w:color w:val="auto"/>
        </w:rPr>
      </w:pPr>
    </w:p>
    <w:p>
      <w:pPr>
        <w:ind w:firstLine="416"/>
        <w:spacing w:after="0" w:line="275" w:lineRule="auto"/>
        <w:rPr>
          <w:sz w:val="20"/>
          <w:szCs w:val="20"/>
          <w:color w:val="auto"/>
        </w:rPr>
      </w:pPr>
      <w:r>
        <w:rPr>
          <w:rFonts w:ascii="Arial" w:cs="Arial" w:eastAsia="Arial" w:hAnsi="Arial"/>
          <w:sz w:val="17"/>
          <w:szCs w:val="17"/>
          <w:color w:val="auto"/>
        </w:rPr>
        <w:t>Delays, including delays caused by the above factors, can be costly and could negatively affect our ability to complete a clinical trial or obtain timely marketing approvals. We do not know whether any of our planned preclinical studies or clinical trials will begin on a timely basis or at all, will need to be restructured or will be completed on schedule, or at all. For example, the FDA may place a partial or full clinical hold on any of our clinical trials for a variety of reasons, including safety concerns and noncompliance with regulatory requirements. If we are not able to complete successful clinical trials, we will not be able to obtain regulatory approval and will not be able to commercialize our product candidates.</w:t>
      </w:r>
    </w:p>
    <w:p>
      <w:pPr>
        <w:spacing w:after="0" w:line="136" w:lineRule="exact"/>
        <w:rPr>
          <w:sz w:val="20"/>
          <w:szCs w:val="20"/>
          <w:color w:val="auto"/>
        </w:rPr>
      </w:pPr>
    </w:p>
    <w:p>
      <w:pPr>
        <w:ind w:right="80" w:firstLine="416"/>
        <w:spacing w:after="0" w:line="263" w:lineRule="auto"/>
        <w:rPr>
          <w:sz w:val="20"/>
          <w:szCs w:val="20"/>
          <w:color w:val="auto"/>
        </w:rPr>
      </w:pPr>
      <w:r>
        <w:rPr>
          <w:rFonts w:ascii="Arial" w:cs="Arial" w:eastAsia="Arial" w:hAnsi="Arial"/>
          <w:sz w:val="18"/>
          <w:szCs w:val="18"/>
          <w:color w:val="auto"/>
        </w:rPr>
        <w:t>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24" w:lineRule="exact"/>
        <w:rPr>
          <w:sz w:val="20"/>
          <w:szCs w:val="20"/>
          <w:color w:val="auto"/>
        </w:rPr>
      </w:pPr>
    </w:p>
    <w:p>
      <w:pPr>
        <w:ind w:left="420" w:right="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enrolling patients in our ongoing or planned clinical trials, our receipt of necessary regulatory approval could be delayed or prevented.</w:t>
      </w:r>
    </w:p>
    <w:p>
      <w:pPr>
        <w:spacing w:after="0" w:line="35"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This is acutely relevant for our development of PRT543 for the treatment of patients with myeloid malignancies and other solid tumors, including adenoid cystic carcinoma, or ACC, indications for which investigational drugs by our competitors are competing for clinical trial participants. Patient enrollment is also affected by other factors, including:</w:t>
      </w:r>
    </w:p>
    <w:p>
      <w:pPr>
        <w:spacing w:after="0" w:line="60" w:lineRule="exact"/>
        <w:rPr>
          <w:sz w:val="20"/>
          <w:szCs w:val="20"/>
          <w:color w:val="auto"/>
        </w:rPr>
      </w:pPr>
    </w:p>
    <w:p>
      <w:pPr>
        <w:ind w:left="840" w:hanging="427"/>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of appropriate competencies and experience;</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incidence and prevalence of our target indications;</w:t>
      </w:r>
    </w:p>
    <w:p>
      <w:pPr>
        <w:spacing w:after="0" w:line="90" w:lineRule="exact"/>
        <w:rPr>
          <w:rFonts w:ascii="Arial" w:cs="Arial" w:eastAsia="Arial" w:hAnsi="Arial"/>
          <w:sz w:val="18"/>
          <w:szCs w:val="18"/>
          <w:color w:val="auto"/>
        </w:rPr>
      </w:pPr>
    </w:p>
    <w:p>
      <w:pPr>
        <w:ind w:left="840" w:right="100" w:hanging="427"/>
        <w:spacing w:after="0" w:line="277"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35" w:lineRule="exact"/>
        <w:rPr>
          <w:rFonts w:ascii="Arial" w:cs="Arial" w:eastAsia="Arial" w:hAnsi="Arial"/>
          <w:sz w:val="18"/>
          <w:szCs w:val="18"/>
          <w:color w:val="auto"/>
        </w:rPr>
      </w:pPr>
    </w:p>
    <w:p>
      <w:pPr>
        <w:ind w:left="840" w:hanging="427"/>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competing studies or trials with similar eligibility criteria;</w:t>
      </w:r>
    </w:p>
    <w:p>
      <w:pPr>
        <w:spacing w:after="0" w:line="90"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invasive procedures required to enroll patients and to obtain evidence of the product candidate’s performance during the clinical trial;</w:t>
      </w:r>
    </w:p>
    <w:p>
      <w:pPr>
        <w:spacing w:after="0" w:line="102" w:lineRule="exact"/>
        <w:rPr>
          <w:sz w:val="20"/>
          <w:szCs w:val="20"/>
          <w:color w:val="auto"/>
        </w:rPr>
      </w:pPr>
    </w:p>
    <w:p>
      <w:pPr>
        <w:ind w:left="840" w:hanging="427"/>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eligibility criteria defined in the protocol for the trial in question;</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size and nature of the patient population required for analysis of the trial’s primary endpoints;</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we are subject to a partial or full clinical hold on any of our clinical trials;</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reluctance of physicians to encourage patient participation in clinical trials;</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8" w:name="page29"/>
    <w:bookmarkEnd w:id="28"/>
    <w:p>
      <w:pPr>
        <w:ind w:left="840" w:hanging="427"/>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85" w:lineRule="exact"/>
        <w:rPr>
          <w:sz w:val="20"/>
          <w:szCs w:val="20"/>
          <w:color w:val="auto"/>
        </w:rPr>
      </w:pPr>
    </w:p>
    <w:p>
      <w:pPr>
        <w:jc w:val="both"/>
        <w:ind w:right="520" w:firstLine="416"/>
        <w:spacing w:after="0" w:line="286" w:lineRule="auto"/>
        <w:rPr>
          <w:sz w:val="20"/>
          <w:szCs w:val="20"/>
          <w:color w:val="auto"/>
        </w:rPr>
      </w:pPr>
      <w:r>
        <w:rPr>
          <w:rFonts w:ascii="Arial" w:cs="Arial" w:eastAsia="Arial" w:hAnsi="Arial"/>
          <w:sz w:val="17"/>
          <w:szCs w:val="17"/>
          <w:color w:val="auto"/>
        </w:rPr>
        <w:t>Our inability to enroll and maintain a sufficient number of patients for our clinical trials would result in significant delays or may require us to abandon one or more clinical trials altogether. Enrollment delays in our clinical trials, including due to the COVID-19 pandemic, may result in increased development costs, which would cause the value of our company to decline and limit our ability to obtain additional financing.</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COVID-19 pandemic could adversely impact our business, including our clinical trials and clinical trial operations.</w:t>
      </w:r>
    </w:p>
    <w:p>
      <w:pPr>
        <w:spacing w:after="0" w:line="117" w:lineRule="exact"/>
        <w:rPr>
          <w:sz w:val="20"/>
          <w:szCs w:val="20"/>
          <w:color w:val="auto"/>
        </w:rPr>
      </w:pPr>
    </w:p>
    <w:p>
      <w:pPr>
        <w:ind w:right="60" w:firstLine="416"/>
        <w:spacing w:after="0" w:line="308" w:lineRule="auto"/>
        <w:rPr>
          <w:sz w:val="20"/>
          <w:szCs w:val="20"/>
          <w:color w:val="auto"/>
        </w:rPr>
      </w:pPr>
      <w:r>
        <w:rPr>
          <w:rFonts w:ascii="Arial" w:cs="Arial" w:eastAsia="Arial" w:hAnsi="Arial"/>
          <w:sz w:val="17"/>
          <w:szCs w:val="17"/>
          <w:color w:val="auto"/>
        </w:rPr>
        <w:t>The COVID-19 pandemic in the United States and in other countries in which we have planned or have active clinical trial sites and where our third-party manufacturers operate, could cause significant disruptions that could severely impact our business and clinical trials, including:</w:t>
      </w:r>
    </w:p>
    <w:p>
      <w:pPr>
        <w:spacing w:after="0" w:line="38" w:lineRule="exact"/>
        <w:rPr>
          <w:sz w:val="20"/>
          <w:szCs w:val="20"/>
          <w:color w:val="auto"/>
        </w:rPr>
      </w:pPr>
    </w:p>
    <w:p>
      <w:pPr>
        <w:ind w:left="840" w:hanging="427"/>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difficulties in screening, enrolling and maintaining patients in our clinical trials;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840" w:right="260" w:hanging="427"/>
        <w:spacing w:after="0" w:line="277"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or unwillingness of subjects to travel to the clinical trial sites;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difficulties, or incompleteness in data collection and analysis and other related activities;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implementation of protocol required clinical trial activities and quality of source data verification at clinical trial sites;</w:t>
      </w:r>
    </w:p>
    <w:p>
      <w:pPr>
        <w:spacing w:after="0" w:line="117" w:lineRule="exact"/>
        <w:rPr>
          <w:rFonts w:ascii="Arial" w:cs="Arial" w:eastAsia="Arial" w:hAnsi="Arial"/>
          <w:sz w:val="18"/>
          <w:szCs w:val="18"/>
          <w:color w:val="auto"/>
        </w:rPr>
      </w:pPr>
    </w:p>
    <w:p>
      <w:pPr>
        <w:ind w:left="840" w:right="320" w:hanging="427"/>
        <w:spacing w:after="0" w:line="277"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840" w:right="400" w:hanging="427"/>
        <w:spacing w:after="0" w:line="263"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and our other research and development activities, including because of sickness of employees or their families or mitigation measures such as lock-downs and social distancing;</w:t>
      </w:r>
    </w:p>
    <w:p>
      <w:pPr>
        <w:spacing w:after="0" w:line="75" w:lineRule="exact"/>
        <w:rPr>
          <w:rFonts w:ascii="Arial" w:cs="Arial" w:eastAsia="Arial" w:hAnsi="Arial"/>
          <w:sz w:val="18"/>
          <w:szCs w:val="18"/>
          <w:color w:val="auto"/>
        </w:rPr>
      </w:pPr>
    </w:p>
    <w:p>
      <w:pPr>
        <w:ind w:left="840" w:right="420" w:hanging="427"/>
        <w:spacing w:after="0" w:line="277"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due to production shortages resulting from any events affecting raw material supply or manufacturing capabilities domestically and abroad;</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17" w:lineRule="exact"/>
        <w:rPr>
          <w:rFonts w:ascii="Arial" w:cs="Arial" w:eastAsia="Arial" w:hAnsi="Arial"/>
          <w:sz w:val="18"/>
          <w:szCs w:val="18"/>
          <w:color w:val="auto"/>
        </w:rPr>
      </w:pPr>
    </w:p>
    <w:p>
      <w:pPr>
        <w:ind w:left="840" w:right="200" w:hanging="427"/>
        <w:spacing w:after="0" w:line="277" w:lineRule="auto"/>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in global and domestic shipping that may affect the transport of clinical trial materials, such as investigational drug products used in our clinical trials;</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local regulations as part of a response to the COVID-19 pandemic which may require us to change the ways in which our</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clinical trials are conducted, which may result in unexpected costs, delays, or to discontinue the clinical trials altogether;</w:t>
      </w:r>
    </w:p>
    <w:p>
      <w:pPr>
        <w:spacing w:after="0" w:line="103" w:lineRule="exact"/>
        <w:rPr>
          <w:sz w:val="20"/>
          <w:szCs w:val="20"/>
          <w:color w:val="auto"/>
        </w:rPr>
      </w:pPr>
    </w:p>
    <w:p>
      <w:pPr>
        <w:ind w:left="840" w:right="260" w:hanging="427"/>
        <w:spacing w:after="0" w:line="277"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62" w:lineRule="exact"/>
        <w:rPr>
          <w:rFonts w:ascii="Arial" w:cs="Arial" w:eastAsia="Arial" w:hAnsi="Arial"/>
          <w:sz w:val="18"/>
          <w:szCs w:val="18"/>
          <w:color w:val="auto"/>
        </w:rPr>
      </w:pPr>
    </w:p>
    <w:p>
      <w:pPr>
        <w:ind w:left="840" w:right="740" w:hanging="427"/>
        <w:spacing w:after="0" w:line="277"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of regulatory authorities such as FDA or European Medicines Agency, or EMA, to accept data from clinical trials in affected geographies; and</w:t>
      </w:r>
    </w:p>
    <w:p>
      <w:pPr>
        <w:spacing w:after="0" w:line="62" w:lineRule="exact"/>
        <w:rPr>
          <w:rFonts w:ascii="Arial" w:cs="Arial" w:eastAsia="Arial" w:hAnsi="Arial"/>
          <w:sz w:val="18"/>
          <w:szCs w:val="18"/>
          <w:color w:val="auto"/>
        </w:rPr>
      </w:pPr>
    </w:p>
    <w:p>
      <w:pPr>
        <w:ind w:left="840" w:hanging="427"/>
        <w:spacing w:after="0" w:line="277"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impacts on global economic conditions which could have an adverse effect on our business and financial condition, including impairing our ability to raise capital when needed.</w:t>
      </w:r>
    </w:p>
    <w:p>
      <w:pPr>
        <w:spacing w:after="0" w:line="170" w:lineRule="exact"/>
        <w:rPr>
          <w:sz w:val="20"/>
          <w:szCs w:val="20"/>
          <w:color w:val="auto"/>
        </w:rPr>
      </w:pPr>
    </w:p>
    <w:p>
      <w:pPr>
        <w:ind w:right="220" w:firstLine="416"/>
        <w:spacing w:after="0" w:line="263" w:lineRule="auto"/>
        <w:rPr>
          <w:sz w:val="20"/>
          <w:szCs w:val="20"/>
          <w:color w:val="auto"/>
        </w:rPr>
      </w:pPr>
      <w:r>
        <w:rPr>
          <w:rFonts w:ascii="Arial" w:cs="Arial" w:eastAsia="Arial" w:hAnsi="Arial"/>
          <w:sz w:val="18"/>
          <w:szCs w:val="18"/>
          <w:color w:val="auto"/>
        </w:rPr>
        <w:t>Such disruptions could impede, delay, limit or prevent completion of our ongoing clinical trials and preclinical studies or commencement of new clinical trials and ultimately lead to the delay or denial of regulatory approval of our product candidates, which would seriously harm our operations and financial condition and increase our costs and expenses. We are in close contact with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9" w:name="page30"/>
    <w:bookmarkEnd w:id="29"/>
    <w:p>
      <w:pPr>
        <w:spacing w:after="0" w:line="269" w:lineRule="auto"/>
        <w:rPr>
          <w:sz w:val="20"/>
          <w:szCs w:val="20"/>
          <w:color w:val="auto"/>
        </w:rPr>
      </w:pPr>
      <w:r>
        <w:rPr>
          <w:rFonts w:ascii="Arial" w:cs="Arial" w:eastAsia="Arial" w:hAnsi="Arial"/>
          <w:sz w:val="17"/>
          <w:szCs w:val="17"/>
          <w:color w:val="auto"/>
        </w:rPr>
        <w:t>our CROs, CMOs and clinical sites as we seek to mitigate the impact of COVID-19 on our studies and current timelines. Measures we have taken in response to COVID-19 include, where feasible, conducting remote clinical trial site activations and data monitoring, and limiting on-site patient visits by adjusting patient assessments and protocol. However, despite these efforts, we have experienced limited delays in trial site initiations, patient participation and patient enrollment in some of our clinical trials and we may continue to experience some delays in our clinical trials and preclinical studies and delays in data collection and analysis. These delays so far have had a limited impact, but this may change as the COVID-19 pandemic and the response to such COVID-19 pandemic continues to evolve, and could have an adverse impact on our timelines and our business. The COVID-19 pandemic could also affect the business of the FDA, EMA or other health authorities, which could result in delays in meetings related to planned or completed clinical trials and ultimately of reviews and approvals of our product candidates. The global COVID-19 pandemic continues to rapidly evolve. The extent to which the COVID-19 pandemic may impact our business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327" w:lineRule="exact"/>
        <w:rPr>
          <w:sz w:val="20"/>
          <w:szCs w:val="20"/>
          <w:color w:val="auto"/>
        </w:rPr>
      </w:pPr>
    </w:p>
    <w:p>
      <w:pPr>
        <w:ind w:left="420" w:right="40"/>
        <w:spacing w:after="0" w:line="286" w:lineRule="auto"/>
        <w:rPr>
          <w:sz w:val="20"/>
          <w:szCs w:val="20"/>
          <w:color w:val="auto"/>
        </w:rPr>
      </w:pPr>
      <w:r>
        <w:rPr>
          <w:rFonts w:ascii="Arial" w:cs="Arial" w:eastAsia="Arial" w:hAnsi="Arial"/>
          <w:sz w:val="17"/>
          <w:szCs w:val="17"/>
          <w:b w:val="1"/>
          <w:bCs w:val="1"/>
          <w:i w:val="1"/>
          <w:iCs w:val="1"/>
          <w:color w:val="auto"/>
        </w:rPr>
        <w:t>Adverse side effects or other safety risks associated with PRT543, PRT811, PRT1419 or our other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71"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As is the case with pharmaceuticals generally, we have observed side effects and adverse events associated with our clinical product candidate, PRT543. These side effects included diarrhea, nausea and fatigue, but none of these side effects were considered related to PRT543. At the highest dose level of our clinical product candidate, PRT543, there were occurrences of grade 4 thrombocytopenia that were deemed related to PRT543, but the toxicity was reversible after a one to two week drug holiday and the affected patients remained on the study and were restarted at a lower dose. We have also observed side effects and adverse effects associated with PRT811. These side effects included nausea, constipation, vomiting and hyponatremia, but none of these side effects were considered related to PRT811.</w:t>
      </w:r>
    </w:p>
    <w:p>
      <w:pPr>
        <w:spacing w:after="0" w:line="219" w:lineRule="exact"/>
        <w:rPr>
          <w:sz w:val="20"/>
          <w:szCs w:val="20"/>
          <w:color w:val="auto"/>
        </w:rPr>
      </w:pPr>
    </w:p>
    <w:p>
      <w:pPr>
        <w:ind w:right="40" w:firstLine="416"/>
        <w:spacing w:after="0" w:line="257" w:lineRule="auto"/>
        <w:rPr>
          <w:sz w:val="20"/>
          <w:szCs w:val="20"/>
          <w:color w:val="auto"/>
        </w:rPr>
      </w:pPr>
      <w:r>
        <w:rPr>
          <w:rFonts w:ascii="Arial" w:cs="Arial" w:eastAsia="Arial" w:hAnsi="Arial"/>
          <w:sz w:val="18"/>
          <w:szCs w:val="18"/>
          <w:color w:val="auto"/>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p>
    <w:p>
      <w:pPr>
        <w:spacing w:after="0" w:line="215" w:lineRule="exact"/>
        <w:rPr>
          <w:sz w:val="20"/>
          <w:szCs w:val="20"/>
          <w:color w:val="auto"/>
        </w:rPr>
      </w:pPr>
    </w:p>
    <w:p>
      <w:pPr>
        <w:ind w:right="40" w:firstLine="416"/>
        <w:spacing w:after="0" w:line="273" w:lineRule="auto"/>
        <w:rPr>
          <w:sz w:val="20"/>
          <w:szCs w:val="20"/>
          <w:color w:val="auto"/>
        </w:rPr>
      </w:pPr>
      <w:r>
        <w:rPr>
          <w:rFonts w:ascii="Arial" w:cs="Arial" w:eastAsia="Arial" w:hAnsi="Arial"/>
          <w:sz w:val="17"/>
          <w:szCs w:val="17"/>
          <w:color w:val="auto"/>
        </w:rPr>
        <w:t>Additionally, due to the high mortality rates of the cancers for which we are initially pursuing development and the pretreated nature of many patients in our ongoing clinical trials of PRT543, PRT811 and PRT1419, a material percentage of patients in these clinical trials may die during a trial, which could impact development of PRT543, PRT811 and PRT1419, respectively. If we elect or are required to delay, suspend or terminate any clinical trial, the commercial prospects of our product candidates will be harmed and our ability to generate product revenues from this product candidate will be delayed or eliminated. Serious adverse events, or SAEs, observed in clinical trials could hinder or prevent market acceptance of our product candidates. Any of these occurrences may harm our business, prospects, financial condition and results of operations significantly.</w:t>
      </w:r>
    </w:p>
    <w:p>
      <w:pPr>
        <w:spacing w:after="0" w:line="205" w:lineRule="exact"/>
        <w:rPr>
          <w:sz w:val="20"/>
          <w:szCs w:val="20"/>
          <w:color w:val="auto"/>
        </w:rPr>
      </w:pPr>
    </w:p>
    <w:p>
      <w:pPr>
        <w:ind w:right="40" w:firstLine="416"/>
        <w:spacing w:after="0" w:line="272" w:lineRule="auto"/>
        <w:rPr>
          <w:sz w:val="20"/>
          <w:szCs w:val="20"/>
          <w:color w:val="auto"/>
        </w:rPr>
      </w:pPr>
      <w:r>
        <w:rPr>
          <w:rFonts w:ascii="Arial" w:cs="Arial" w:eastAsia="Arial" w:hAnsi="Arial"/>
          <w:sz w:val="17"/>
          <w:szCs w:val="17"/>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 stage testing have later been found to cause side effects that prevented further development. In addition, regulatory authorities may draw different conclusions, require additional testing to confirm these determinations, require more restrictive labeling, or deny regulatory approval of the product candidate.</w:t>
      </w:r>
    </w:p>
    <w:p>
      <w:pPr>
        <w:spacing w:after="0" w:line="177"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0" w:name="page31"/>
    <w:bookmarkEnd w:id="30"/>
    <w:p>
      <w:pPr>
        <w:ind w:right="120" w:firstLine="416"/>
        <w:spacing w:after="0" w:line="277" w:lineRule="auto"/>
        <w:rPr>
          <w:sz w:val="20"/>
          <w:szCs w:val="20"/>
          <w:color w:val="auto"/>
        </w:rPr>
      </w:pPr>
      <w:r>
        <w:rPr>
          <w:rFonts w:ascii="Arial" w:cs="Arial" w:eastAsia="Arial" w:hAnsi="Arial"/>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62" w:lineRule="exact"/>
        <w:rPr>
          <w:sz w:val="20"/>
          <w:szCs w:val="20"/>
          <w:color w:val="auto"/>
        </w:rPr>
      </w:pPr>
    </w:p>
    <w:p>
      <w:pPr>
        <w:ind w:left="840" w:hanging="427"/>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approval of the drug;</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the drug is administered to patients;</w:t>
      </w:r>
    </w:p>
    <w:p>
      <w:pPr>
        <w:spacing w:after="0" w:line="117" w:lineRule="exact"/>
        <w:rPr>
          <w:rFonts w:ascii="Arial" w:cs="Arial" w:eastAsia="Arial" w:hAnsi="Arial"/>
          <w:sz w:val="18"/>
          <w:szCs w:val="18"/>
          <w:color w:val="auto"/>
        </w:rPr>
      </w:pPr>
    </w:p>
    <w:p>
      <w:pPr>
        <w:ind w:left="840" w:right="180" w:hanging="427"/>
        <w:spacing w:after="0" w:line="342" w:lineRule="auto"/>
        <w:tabs>
          <w:tab w:leader="none" w:pos="8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15" w:lineRule="exact"/>
        <w:rPr>
          <w:rFonts w:ascii="Arial" w:cs="Arial" w:eastAsia="Arial" w:hAnsi="Arial"/>
          <w:sz w:val="16"/>
          <w:szCs w:val="16"/>
          <w:color w:val="auto"/>
        </w:rPr>
      </w:pPr>
    </w:p>
    <w:p>
      <w:pPr>
        <w:ind w:left="840" w:right="80" w:hanging="427"/>
        <w:spacing w:after="0" w:line="277" w:lineRule="auto"/>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62" w:lineRule="exact"/>
        <w:rPr>
          <w:rFonts w:ascii="Arial" w:cs="Arial" w:eastAsia="Arial" w:hAnsi="Arial"/>
          <w:sz w:val="18"/>
          <w:szCs w:val="18"/>
          <w:color w:val="auto"/>
        </w:rPr>
      </w:pPr>
    </w:p>
    <w:p>
      <w:pPr>
        <w:ind w:left="840" w:right="560" w:hanging="427"/>
        <w:spacing w:after="0" w:line="277" w:lineRule="auto"/>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promotion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drug could become less competitive; and</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920" w:firstLine="41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spacing w:after="0" w:line="265" w:lineRule="exact"/>
        <w:rPr>
          <w:sz w:val="20"/>
          <w:szCs w:val="20"/>
          <w:color w:val="auto"/>
        </w:rPr>
      </w:pPr>
    </w:p>
    <w:p>
      <w:pPr>
        <w:ind w:left="420" w:right="320"/>
        <w:spacing w:after="0" w:line="342" w:lineRule="auto"/>
        <w:rPr>
          <w:sz w:val="20"/>
          <w:szCs w:val="20"/>
          <w:color w:val="auto"/>
        </w:rPr>
      </w:pPr>
      <w:r>
        <w:rPr>
          <w:rFonts w:ascii="Arial" w:cs="Arial" w:eastAsia="Arial" w:hAnsi="Arial"/>
          <w:sz w:val="16"/>
          <w:szCs w:val="16"/>
          <w:b w:val="1"/>
          <w:bCs w:val="1"/>
          <w:i w:val="1"/>
          <w:iCs w:val="1"/>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such as the preliminary data analysis for the Phase 1 dose expansion portions of our PRT543 and PRT811 trials. These updates are based on a preliminary analysis of then-available data, and the results and related findings and conclusions are subject to 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Adverse changes between preliminary or interim data and final data could significantly harm our business and prospects. Further, additional disclosure of interim data by us or by our competitors in the future could result in volatility in the price of our common stock. See the description of risks under the heading “Risks Related to our Common Stock” for more disclosure related to the risk of volatility in our stock price.</w:t>
      </w:r>
    </w:p>
    <w:p>
      <w:pPr>
        <w:spacing w:after="0" w:line="130" w:lineRule="exact"/>
        <w:rPr>
          <w:sz w:val="20"/>
          <w:szCs w:val="20"/>
          <w:color w:val="auto"/>
        </w:rPr>
      </w:pPr>
    </w:p>
    <w:p>
      <w:pPr>
        <w:ind w:right="40" w:firstLine="416"/>
        <w:spacing w:after="0" w:line="270"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PRT543, PRT811 or PRT1419, or any other product candidates may be harmed, which could harm our business, financial condition, results of operations and prospects.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1" w:name="page32"/>
    <w:bookmarkEnd w:id="31"/>
    <w:p>
      <w:pPr>
        <w:ind w:left="420" w:right="54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2" w:lineRule="exact"/>
        <w:rPr>
          <w:sz w:val="20"/>
          <w:szCs w:val="20"/>
          <w:color w:val="auto"/>
        </w:rPr>
      </w:pPr>
    </w:p>
    <w:p>
      <w:pPr>
        <w:ind w:firstLine="416"/>
        <w:spacing w:after="0" w:line="272"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be successful in our efforts to design additional potential product candidates.</w:t>
      </w:r>
    </w:p>
    <w:p>
      <w:pPr>
        <w:spacing w:after="0" w:line="90" w:lineRule="exact"/>
        <w:rPr>
          <w:sz w:val="20"/>
          <w:szCs w:val="20"/>
          <w:color w:val="auto"/>
        </w:rPr>
      </w:pPr>
    </w:p>
    <w:p>
      <w:pPr>
        <w:ind w:right="20" w:firstLine="416"/>
        <w:spacing w:after="0" w:line="296" w:lineRule="auto"/>
        <w:rPr>
          <w:sz w:val="20"/>
          <w:szCs w:val="20"/>
          <w:color w:val="auto"/>
        </w:rPr>
      </w:pPr>
      <w:r>
        <w:rPr>
          <w:rFonts w:ascii="Arial" w:cs="Arial" w:eastAsia="Arial" w:hAnsi="Arial"/>
          <w:sz w:val="16"/>
          <w:szCs w:val="16"/>
          <w:color w:val="auto"/>
        </w:rPr>
        <w:t>A key element of our strategy is to identify molecular targets and intervention points leading to treatment failure, and then apply our expertise of cancer biology and medicinal chemistry, as well as our in-depth understanding of the current landscape of oncology treatments, to design solutions that can be precisely tailored in a target class agnostic fashion. The therapeutic design and development activities that we are conducting may not be successful in developing product candidates that are safe and effective in treating cancer or other diseases. Our research programs may initially show promise in identifying potential product candidates, yet fail to yield product candidates for clinical development for a number of reasons, including:</w:t>
      </w:r>
    </w:p>
    <w:p>
      <w:pPr>
        <w:spacing w:after="0" w:line="26" w:lineRule="exact"/>
        <w:rPr>
          <w:sz w:val="20"/>
          <w:szCs w:val="20"/>
          <w:color w:val="auto"/>
        </w:rPr>
      </w:pPr>
    </w:p>
    <w:p>
      <w:pPr>
        <w:ind w:left="820" w:hanging="407"/>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target selection methodology used may not be successful in identifying potential product candidates;</w:t>
      </w:r>
    </w:p>
    <w:p>
      <w:pPr>
        <w:spacing w:after="0" w:line="76" w:lineRule="exact"/>
        <w:rPr>
          <w:rFonts w:ascii="Arial" w:cs="Arial" w:eastAsia="Arial" w:hAnsi="Arial"/>
          <w:sz w:val="18"/>
          <w:szCs w:val="18"/>
          <w:color w:val="auto"/>
        </w:rPr>
      </w:pPr>
    </w:p>
    <w:p>
      <w:pPr>
        <w:ind w:left="820" w:hanging="407"/>
        <w:spacing w:after="0"/>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potential product candidates may, on further study, be shown to have harmful side effects or other characteristics that indicate that they</w:t>
      </w:r>
    </w:p>
    <w:p>
      <w:pPr>
        <w:spacing w:after="0" w:line="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are unlikely to be drugs that will obtain marketing approval or achieve market acceptance; or</w:t>
      </w:r>
    </w:p>
    <w:p>
      <w:pPr>
        <w:spacing w:after="0" w:line="62" w:lineRule="exact"/>
        <w:rPr>
          <w:sz w:val="20"/>
          <w:szCs w:val="20"/>
          <w:color w:val="auto"/>
        </w:rPr>
      </w:pPr>
    </w:p>
    <w:p>
      <w:pPr>
        <w:ind w:left="820" w:hanging="407"/>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w:t>
      </w:r>
    </w:p>
    <w:p>
      <w:pPr>
        <w:spacing w:after="0" w:line="212" w:lineRule="exact"/>
        <w:rPr>
          <w:sz w:val="20"/>
          <w:szCs w:val="20"/>
          <w:color w:val="auto"/>
        </w:rPr>
      </w:pPr>
    </w:p>
    <w:p>
      <w:pPr>
        <w:ind w:right="40" w:firstLine="416"/>
        <w:spacing w:after="0" w:line="259" w:lineRule="auto"/>
        <w:rPr>
          <w:sz w:val="20"/>
          <w:szCs w:val="20"/>
          <w:color w:val="auto"/>
        </w:rPr>
      </w:pPr>
      <w:r>
        <w:rPr>
          <w:rFonts w:ascii="Arial" w:cs="Arial" w:eastAsia="Arial" w:hAnsi="Arial"/>
          <w:sz w:val="18"/>
          <w:szCs w:val="18"/>
          <w:color w:val="auto"/>
        </w:rPr>
        <w:t>Research programs to identify and design new product candidates require substantial technical, financial and human resources. We may choose to focus our efforts and resources on a potential product candidate that ultimately proves to be unsuccessful. If we are unable to identify and design suitable product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420" w:right="540"/>
        <w:spacing w:after="0" w:line="342" w:lineRule="auto"/>
        <w:rPr>
          <w:sz w:val="20"/>
          <w:szCs w:val="20"/>
          <w:color w:val="auto"/>
        </w:rPr>
      </w:pPr>
      <w:r>
        <w:rPr>
          <w:rFonts w:ascii="Arial" w:cs="Arial" w:eastAsia="Arial" w:hAnsi="Arial"/>
          <w:sz w:val="16"/>
          <w:szCs w:val="16"/>
          <w:b w:val="1"/>
          <w:bCs w:val="1"/>
          <w:i w:val="1"/>
          <w:iCs w:val="1"/>
          <w:color w:val="auto"/>
        </w:rPr>
        <w:t>The development and commercialization of pharmaceutical products are subject to extensive regulation, and we may not obtain regulatory approvals for PRT543, PRT811, PRT1419, PRT2527 or any other product candidates, on a timely basis or at all.</w:t>
      </w:r>
    </w:p>
    <w:p>
      <w:pPr>
        <w:spacing w:after="0" w:line="16" w:lineRule="exact"/>
        <w:rPr>
          <w:sz w:val="20"/>
          <w:szCs w:val="20"/>
          <w:color w:val="auto"/>
        </w:rPr>
      </w:pPr>
    </w:p>
    <w:p>
      <w:pPr>
        <w:ind w:right="120" w:firstLine="416"/>
        <w:spacing w:after="0" w:line="254"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PRT543, PRT811 and PRT1419, currently our only product candidates in planned or ongoing clinical trials, as well as any other product candidate that we may develop in the future,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192"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p>
    <w:p>
      <w:pPr>
        <w:spacing w:after="0" w:line="187"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For example, if successful, we believe that the expansion portions of the Phase 1 clinical trials of PRT543 or PRT811 may be sufficient to support FDA approval of an NDA for PRT543 or PRT811, respectively, but the FDA may disagree with the sufficiency of our data and require additional clinical trials.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2" w:name="page33"/>
    <w:bookmarkEnd w:id="32"/>
    <w:p>
      <w:pPr>
        <w:ind w:right="20"/>
        <w:spacing w:after="0" w:line="301" w:lineRule="auto"/>
        <w:rPr>
          <w:sz w:val="20"/>
          <w:szCs w:val="20"/>
          <w:color w:val="auto"/>
        </w:rPr>
      </w:pPr>
      <w:r>
        <w:rPr>
          <w:rFonts w:ascii="Arial" w:cs="Arial" w:eastAsia="Arial" w:hAnsi="Arial"/>
          <w:sz w:val="16"/>
          <w:szCs w:val="16"/>
          <w:color w:val="auto"/>
        </w:rPr>
        <w:t>Additionally, depending upon the results of the expansion portions of the Phase 1 clinical trials of PRT543 or PRT811, we may choose to seek Subpart H accelerated approval for PRT543 or PRT811, respectively, which would require completion of a confirmatory trial to validate the clinical benefit of the drug. Despite the time and expense associated with preclinical studies and clinical trials, failure can occur at any stage. The results of preclinical and early clinical trials of PRT543, PRT811, PRT1419, PRT2527 or any other product candidate may not be predictive of the results of our later-stage clinical trials.</w:t>
      </w:r>
    </w:p>
    <w:p>
      <w:pPr>
        <w:spacing w:after="0" w:line="157" w:lineRule="exact"/>
        <w:rPr>
          <w:sz w:val="20"/>
          <w:szCs w:val="20"/>
          <w:color w:val="auto"/>
        </w:rPr>
      </w:pPr>
    </w:p>
    <w:p>
      <w:pPr>
        <w:ind w:firstLine="416"/>
        <w:spacing w:after="0" w:line="273" w:lineRule="auto"/>
        <w:rPr>
          <w:sz w:val="20"/>
          <w:szCs w:val="20"/>
          <w:color w:val="auto"/>
        </w:rPr>
      </w:pPr>
      <w:r>
        <w:rPr>
          <w:rFonts w:ascii="Arial" w:cs="Arial" w:eastAsia="Arial" w:hAnsi="Arial"/>
          <w:sz w:val="17"/>
          <w:szCs w:val="17"/>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FDA could delay, limit or deny approval of a product candidate for many reasons, including because the FDA:</w:t>
      </w:r>
    </w:p>
    <w:p>
      <w:pPr>
        <w:spacing w:after="0" w:line="117" w:lineRule="exact"/>
        <w:rPr>
          <w:sz w:val="20"/>
          <w:szCs w:val="20"/>
          <w:color w:val="auto"/>
        </w:rPr>
      </w:pPr>
    </w:p>
    <w:p>
      <w:pPr>
        <w:ind w:left="840" w:hanging="427"/>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may not deem our product candidate to be safe and effective;</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determines that the product candidate does not have an acceptable benefit-risk profile;</w:t>
      </w:r>
    </w:p>
    <w:p>
      <w:pPr>
        <w:spacing w:after="0" w:line="117" w:lineRule="exact"/>
        <w:rPr>
          <w:rFonts w:ascii="Arial" w:cs="Arial" w:eastAsia="Arial" w:hAnsi="Arial"/>
          <w:sz w:val="18"/>
          <w:szCs w:val="18"/>
          <w:color w:val="auto"/>
        </w:rPr>
      </w:pPr>
    </w:p>
    <w:p>
      <w:pPr>
        <w:ind w:left="840" w:right="540" w:hanging="427"/>
        <w:spacing w:after="0" w:line="277" w:lineRule="auto"/>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determines in the case of an NDA seeking accelerated approval that the NDA does not provide evidence that the product candidate represents a meaningful advantage over available therapies;</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determines that the objective response rate, or ORR, and duration of response are not clinically meaningful;</w:t>
      </w:r>
    </w:p>
    <w:p>
      <w:pPr>
        <w:sectPr>
          <w:pgSz w:w="11900" w:h="16838" w:orient="portrait"/>
          <w:cols w:equalWidth="0" w:num="1">
            <w:col w:w="11220"/>
          </w:cols>
          <w:pgMar w:left="320" w:top="341" w:right="359" w:bottom="1440" w:gutter="0" w:footer="0" w:header="0"/>
        </w:sectPr>
      </w:pP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16" w:lineRule="exact"/>
        <w:rPr>
          <w:sz w:val="20"/>
          <w:szCs w:val="20"/>
          <w:color w:val="auto"/>
        </w:rPr>
      </w:pPr>
    </w:p>
    <w:p>
      <w:pPr>
        <w:sectPr>
          <w:pgSz w:w="11900" w:h="16838" w:orient="portrait"/>
          <w:cols w:equalWidth="0" w:num="2">
            <w:col w:w="480" w:space="360"/>
            <w:col w:w="10380"/>
          </w:cols>
          <w:pgMar w:left="320" w:top="341" w:right="359" w:bottom="1440" w:gutter="0" w:footer="0" w:header="0"/>
          <w:type w:val="continuous"/>
        </w:sectPr>
      </w:pPr>
    </w:p>
    <w:p>
      <w:pPr>
        <w:ind w:left="840" w:hanging="427"/>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determine that adverse events experienced by participants in our clinical trials represent an unacceptable level of risk;</w:t>
      </w:r>
    </w:p>
    <w:p>
      <w:pPr>
        <w:spacing w:after="0" w:line="117" w:lineRule="exact"/>
        <w:rPr>
          <w:rFonts w:ascii="Arial" w:cs="Arial" w:eastAsia="Arial" w:hAnsi="Arial"/>
          <w:sz w:val="18"/>
          <w:szCs w:val="18"/>
          <w:color w:val="auto"/>
        </w:rPr>
      </w:pPr>
    </w:p>
    <w:p>
      <w:pPr>
        <w:ind w:left="840" w:right="140" w:hanging="427"/>
        <w:spacing w:after="0" w:line="277"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determine that population studied in the clinical trial may not be sufficiently broad or representative to assure safety in the full population for which we seek approval;</w:t>
      </w:r>
    </w:p>
    <w:p>
      <w:pPr>
        <w:spacing w:after="0" w:line="62" w:lineRule="exact"/>
        <w:rPr>
          <w:rFonts w:ascii="Arial" w:cs="Arial" w:eastAsia="Arial" w:hAnsi="Arial"/>
          <w:sz w:val="18"/>
          <w:szCs w:val="18"/>
          <w:color w:val="auto"/>
        </w:rPr>
      </w:pPr>
    </w:p>
    <w:p>
      <w:pPr>
        <w:ind w:left="840" w:right="460" w:hanging="427"/>
        <w:spacing w:after="0" w:line="277"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not accept clinical data from trials, which are conducted at clinical facilities or in countries where the standard of care is potentially different from that of the United States;</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disagree regarding the formulation, labeling and/or the specifications;</w:t>
      </w:r>
    </w:p>
    <w:p>
      <w:pPr>
        <w:spacing w:after="0" w:line="117" w:lineRule="exact"/>
        <w:rPr>
          <w:rFonts w:ascii="Arial" w:cs="Arial" w:eastAsia="Arial" w:hAnsi="Arial"/>
          <w:sz w:val="18"/>
          <w:szCs w:val="18"/>
          <w:color w:val="auto"/>
        </w:rPr>
      </w:pPr>
    </w:p>
    <w:p>
      <w:pPr>
        <w:ind w:left="840" w:right="160" w:hanging="427"/>
        <w:spacing w:after="0" w:line="277"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not approve the manufacturing processes associated with our product candidate or may determine that a manufacturing facility does not have an acceptable compliance status;</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change approval policies or adopt new regulations; or</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may not file a submission due to, among other reasons, the content or formatting of the submission.</w:t>
      </w:r>
    </w:p>
    <w:p>
      <w:pPr>
        <w:spacing w:after="0" w:line="225" w:lineRule="exact"/>
        <w:rPr>
          <w:sz w:val="20"/>
          <w:szCs w:val="20"/>
          <w:color w:val="auto"/>
        </w:rPr>
      </w:pPr>
    </w:p>
    <w:p>
      <w:pPr>
        <w:ind w:right="580" w:firstLine="416"/>
        <w:spacing w:after="0" w:line="277" w:lineRule="auto"/>
        <w:rPr>
          <w:sz w:val="20"/>
          <w:szCs w:val="20"/>
          <w:color w:val="auto"/>
        </w:rPr>
      </w:pPr>
      <w:r>
        <w:rPr>
          <w:rFonts w:ascii="Arial" w:cs="Arial" w:eastAsia="Arial" w:hAnsi="Arial"/>
          <w:sz w:val="18"/>
          <w:szCs w:val="18"/>
          <w:color w:val="auto"/>
        </w:rPr>
        <w:t>We have not obtained FDA approval for any product. This lack of experience may impede our ability to obtain FDA approval in a timely manner, if at all, for our clinical product candidates.</w:t>
      </w:r>
    </w:p>
    <w:p>
      <w:pPr>
        <w:spacing w:after="0" w:line="170" w:lineRule="exact"/>
        <w:rPr>
          <w:sz w:val="20"/>
          <w:szCs w:val="20"/>
          <w:color w:val="auto"/>
        </w:rPr>
      </w:pPr>
    </w:p>
    <w:p>
      <w:pPr>
        <w:ind w:right="320" w:firstLine="416"/>
        <w:spacing w:after="0" w:line="263" w:lineRule="auto"/>
        <w:rPr>
          <w:sz w:val="20"/>
          <w:szCs w:val="20"/>
          <w:color w:val="auto"/>
        </w:rPr>
      </w:pPr>
      <w:r>
        <w:rPr>
          <w:rFonts w:ascii="Arial" w:cs="Arial" w:eastAsia="Arial" w:hAnsi="Arial"/>
          <w:sz w:val="18"/>
          <w:szCs w:val="18"/>
          <w:color w:val="auto"/>
        </w:rPr>
        <w:t>If we experience delays in obtaining approval or if we fail to obtain approval of PRT543, PRT811 or PRT1419, our commercial prospects will be harmed and our ability to generate revenues will be materially impaired which would adversely affect our business, prospects, financial condition and results of operations.</w:t>
      </w:r>
    </w:p>
    <w:p>
      <w:pPr>
        <w:spacing w:after="0" w:line="278"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62" w:lineRule="exact"/>
        <w:rPr>
          <w:sz w:val="20"/>
          <w:szCs w:val="20"/>
          <w:color w:val="auto"/>
        </w:rPr>
      </w:pPr>
    </w:p>
    <w:p>
      <w:pPr>
        <w:ind w:right="140" w:firstLine="416"/>
        <w:spacing w:after="0" w:line="273" w:lineRule="auto"/>
        <w:rPr>
          <w:sz w:val="20"/>
          <w:szCs w:val="20"/>
          <w:color w:val="auto"/>
        </w:rPr>
      </w:pPr>
      <w:r>
        <w:rPr>
          <w:rFonts w:ascii="Arial" w:cs="Arial" w:eastAsia="Arial" w:hAnsi="Arial"/>
          <w:sz w:val="17"/>
          <w:szCs w:val="17"/>
          <w:color w:val="auto"/>
        </w:rPr>
        <w:t>Under the FDA’s accelerated approval program,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with an acceptable duration of response, a surrogate endpoint that we believe is reasonably likely to predict clinical benefit.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33" w:name="page34"/>
    <w:bookmarkEnd w:id="33"/>
    <w:p>
      <w:pPr>
        <w:ind w:right="20" w:firstLine="416"/>
        <w:spacing w:after="0" w:line="293" w:lineRule="auto"/>
        <w:rPr>
          <w:sz w:val="20"/>
          <w:szCs w:val="20"/>
          <w:color w:val="auto"/>
        </w:rPr>
      </w:pPr>
      <w:r>
        <w:rPr>
          <w:rFonts w:ascii="Arial" w:cs="Arial" w:eastAsia="Arial" w:hAnsi="Arial"/>
          <w:sz w:val="16"/>
          <w:szCs w:val="16"/>
          <w:color w:val="auto"/>
        </w:rPr>
        <w:t>For drugs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designed, initiated, and/or fully enrolled prior to approval.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Moreover, the FDA may withdraw approval of our product candidate approved under the accelerated approval pathway if, for example:</w:t>
      </w:r>
    </w:p>
    <w:p>
      <w:pPr>
        <w:spacing w:after="0" w:line="29" w:lineRule="exact"/>
        <w:rPr>
          <w:sz w:val="20"/>
          <w:szCs w:val="20"/>
          <w:color w:val="auto"/>
        </w:rPr>
      </w:pPr>
    </w:p>
    <w:p>
      <w:pPr>
        <w:ind w:left="820" w:hanging="407"/>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trial or trials required to verify the predicted clinical benefit of our product candidate fail to verify such benefit or do not demonstrate</w:t>
      </w:r>
    </w:p>
    <w:p>
      <w:pPr>
        <w:spacing w:after="0" w:line="3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sufficient clinical benefit to justify the risks associated with the drug;</w:t>
      </w:r>
    </w:p>
    <w:p>
      <w:pPr>
        <w:spacing w:after="0" w:line="76" w:lineRule="exact"/>
        <w:rPr>
          <w:sz w:val="20"/>
          <w:szCs w:val="20"/>
          <w:color w:val="auto"/>
        </w:rPr>
      </w:pPr>
    </w:p>
    <w:p>
      <w:pPr>
        <w:ind w:left="820" w:hanging="407"/>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evidence demonstrates that our product candidate is not shown to be safe or effective under the conditions of use;</w:t>
      </w:r>
    </w:p>
    <w:p>
      <w:pPr>
        <w:spacing w:after="0" w:line="90" w:lineRule="exact"/>
        <w:rPr>
          <w:rFonts w:ascii="Arial" w:cs="Arial" w:eastAsia="Arial" w:hAnsi="Arial"/>
          <w:sz w:val="18"/>
          <w:szCs w:val="18"/>
          <w:color w:val="auto"/>
        </w:rPr>
      </w:pPr>
    </w:p>
    <w:p>
      <w:pPr>
        <w:ind w:left="820" w:hanging="407"/>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fail to conduct any required post-approval trial of our product candidate with due diligence; or</w:t>
      </w:r>
    </w:p>
    <w:p>
      <w:pPr>
        <w:spacing w:after="0" w:line="90" w:lineRule="exact"/>
        <w:rPr>
          <w:rFonts w:ascii="Arial" w:cs="Arial" w:eastAsia="Arial" w:hAnsi="Arial"/>
          <w:sz w:val="18"/>
          <w:szCs w:val="18"/>
          <w:color w:val="auto"/>
        </w:rPr>
      </w:pPr>
    </w:p>
    <w:p>
      <w:pPr>
        <w:ind w:left="820" w:hanging="407"/>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disseminate false or misleading promotional materials relating to the relevant product candidate.</w:t>
      </w:r>
    </w:p>
    <w:p>
      <w:pPr>
        <w:spacing w:after="0" w:line="266" w:lineRule="exact"/>
        <w:rPr>
          <w:sz w:val="20"/>
          <w:szCs w:val="20"/>
          <w:color w:val="auto"/>
        </w:rPr>
      </w:pPr>
    </w:p>
    <w:p>
      <w:pPr>
        <w:ind w:left="420"/>
        <w:spacing w:after="0" w:line="263" w:lineRule="auto"/>
        <w:rPr>
          <w:sz w:val="20"/>
          <w:szCs w:val="20"/>
          <w:color w:val="auto"/>
        </w:rPr>
      </w:pPr>
      <w:r>
        <w:rPr>
          <w:rFonts w:ascii="Arial" w:cs="Arial" w:eastAsia="Arial" w:hAnsi="Arial"/>
          <w:sz w:val="18"/>
          <w:szCs w:val="18"/>
          <w:b w:val="1"/>
          <w:bCs w:val="1"/>
          <w:i w:val="1"/>
          <w:iCs w:val="1"/>
          <w:color w:val="auto"/>
        </w:rPr>
        <w:t>Our failure to obtain marketing approval in foreign jurisdictions would prevent our product candidates from being marketed in those jurisdictions, and any approval we are granted for our product candidates in the United States would not assure approval of product candidates in foreign jurisdictions.</w:t>
      </w:r>
    </w:p>
    <w:p>
      <w:pPr>
        <w:spacing w:after="0" w:line="49" w:lineRule="exact"/>
        <w:rPr>
          <w:sz w:val="20"/>
          <w:szCs w:val="20"/>
          <w:color w:val="auto"/>
        </w:rPr>
      </w:pPr>
    </w:p>
    <w:p>
      <w:pPr>
        <w:ind w:right="140" w:firstLine="416"/>
        <w:spacing w:after="0" w:line="253" w:lineRule="auto"/>
        <w:rPr>
          <w:sz w:val="20"/>
          <w:szCs w:val="20"/>
          <w:color w:val="auto"/>
        </w:rPr>
      </w:pPr>
      <w:r>
        <w:rPr>
          <w:rFonts w:ascii="Arial" w:cs="Arial" w:eastAsia="Arial" w:hAnsi="Arial"/>
          <w:sz w:val="18"/>
          <w:szCs w:val="18"/>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w:t>
      </w:r>
    </w:p>
    <w:p>
      <w:pPr>
        <w:spacing w:after="0" w:line="90" w:lineRule="exact"/>
        <w:rPr>
          <w:sz w:val="20"/>
          <w:szCs w:val="20"/>
          <w:color w:val="auto"/>
        </w:rPr>
      </w:pPr>
    </w:p>
    <w:p>
      <w:pPr>
        <w:ind w:right="300" w:firstLine="416"/>
        <w:spacing w:after="0" w:line="257" w:lineRule="auto"/>
        <w:rPr>
          <w:sz w:val="20"/>
          <w:szCs w:val="20"/>
          <w:color w:val="auto"/>
        </w:rPr>
      </w:pPr>
      <w:r>
        <w:rPr>
          <w:rFonts w:ascii="Arial" w:cs="Arial" w:eastAsia="Arial" w:hAnsi="Arial"/>
          <w:sz w:val="18"/>
          <w:szCs w:val="18"/>
          <w:color w:val="auto"/>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spacing w:after="0" w:line="147" w:lineRule="exact"/>
        <w:rPr>
          <w:sz w:val="20"/>
          <w:szCs w:val="20"/>
          <w:color w:val="auto"/>
        </w:rPr>
      </w:pPr>
    </w:p>
    <w:p>
      <w:pPr>
        <w:ind w:right="20" w:firstLine="416"/>
        <w:spacing w:after="0" w:line="291" w:lineRule="auto"/>
        <w:rPr>
          <w:sz w:val="20"/>
          <w:szCs w:val="20"/>
          <w:color w:val="auto"/>
        </w:rPr>
      </w:pPr>
      <w:r>
        <w:rPr>
          <w:rFonts w:ascii="Arial" w:cs="Arial" w:eastAsia="Arial" w:hAnsi="Arial"/>
          <w:sz w:val="16"/>
          <w:szCs w:val="16"/>
          <w:color w:val="auto"/>
        </w:rPr>
        <w:t>Orphan drug designation entitles a party to financial incentives, such as opportunities for grant funding towards clinical trial costs, tax advantages and user-fee waivers. Additionally,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except in certain circumstances, such as a showing of clinical superiority (i.e., another product is safer, more effective or makes a major contribution to patient care) over the product with orphan exclusivity or where the manufacturer is unable to assure sufficient product quantity. Competitors, however, may receive approval of different products for the same indication for which the orphan product has exclusivity, or obtain approval for the same product but for a different indication than that for which the orphan product has exclusivity.</w:t>
      </w:r>
    </w:p>
    <w:p>
      <w:pPr>
        <w:spacing w:after="0" w:line="166" w:lineRule="exact"/>
        <w:rPr>
          <w:sz w:val="20"/>
          <w:szCs w:val="20"/>
          <w:color w:val="auto"/>
        </w:rPr>
      </w:pPr>
    </w:p>
    <w:p>
      <w:pPr>
        <w:ind w:right="120" w:firstLine="416"/>
        <w:spacing w:after="0" w:line="290" w:lineRule="auto"/>
        <w:rPr>
          <w:sz w:val="20"/>
          <w:szCs w:val="20"/>
          <w:color w:val="auto"/>
        </w:rPr>
      </w:pPr>
      <w:r>
        <w:rPr>
          <w:rFonts w:ascii="Arial" w:cs="Arial" w:eastAsia="Arial" w:hAnsi="Arial"/>
          <w:sz w:val="16"/>
          <w:szCs w:val="16"/>
          <w:color w:val="auto"/>
        </w:rPr>
        <w:t>We may apply for an orphan drug designation in the United States or other geographies for our product candidates in the future. However, obtaining an orphan drug designation can be difficult, and we may not be successful in doing so. Even if we obtain orphan drug designation for our product candidates in specific indications, we may not be the first to obtain regulatory approval of these product candidates for the orphan- 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orphan designation was materially defective or if the manufacturer is unable to assure sufficient quantities of the product to meet the needs of patients with the rare disease or condition. Orphan drug designation does not ensure that we will receive marketing exclusivity in a particular market, and we cannot assure you that any future application for orphan drug designation in any other geography or with respect to any other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ind w:right="140"/>
        <w:spacing w:after="0" w:line="277" w:lineRule="auto"/>
        <w:rPr>
          <w:sz w:val="20"/>
          <w:szCs w:val="20"/>
          <w:color w:val="auto"/>
        </w:rPr>
      </w:pPr>
      <w:r>
        <w:rPr>
          <w:rFonts w:ascii="Arial" w:cs="Arial" w:eastAsia="Arial" w:hAnsi="Arial"/>
          <w:sz w:val="18"/>
          <w:szCs w:val="18"/>
          <w:color w:val="auto"/>
        </w:rPr>
        <w:t>product candidate will be granted. Orphan drug designation neither shortens the development time or regulatory review time of a drug, nor gives the drug any advantage in the regulatory review or approval process.</w:t>
      </w:r>
    </w:p>
    <w:p>
      <w:pPr>
        <w:spacing w:after="0" w:line="265" w:lineRule="exact"/>
        <w:rPr>
          <w:sz w:val="20"/>
          <w:szCs w:val="20"/>
          <w:color w:val="auto"/>
        </w:rPr>
      </w:pPr>
    </w:p>
    <w:p>
      <w:pPr>
        <w:ind w:left="420" w:right="240"/>
        <w:spacing w:after="0" w:line="375" w:lineRule="auto"/>
        <w:rPr>
          <w:sz w:val="20"/>
          <w:szCs w:val="20"/>
          <w:color w:val="auto"/>
        </w:rPr>
      </w:pPr>
      <w:r>
        <w:rPr>
          <w:rFonts w:ascii="Arial" w:cs="Arial" w:eastAsia="Arial" w:hAnsi="Arial"/>
          <w:sz w:val="15"/>
          <w:szCs w:val="15"/>
          <w:b w:val="1"/>
          <w:bCs w:val="1"/>
          <w:i w:val="1"/>
          <w:iCs w:val="1"/>
          <w:color w:val="auto"/>
        </w:rPr>
        <w:t>A Breakthrough Therapy Designation by the FDA for any of our current or future product candidates may not lead to a faster development or regulatory review or approval process, and it would not increase the likelihood that the product candidate will receive marketing approval.</w:t>
      </w:r>
    </w:p>
    <w:p>
      <w:pPr>
        <w:spacing w:after="0" w:line="1" w:lineRule="exact"/>
        <w:rPr>
          <w:sz w:val="20"/>
          <w:szCs w:val="20"/>
          <w:color w:val="auto"/>
        </w:rPr>
      </w:pPr>
    </w:p>
    <w:p>
      <w:pPr>
        <w:ind w:firstLine="416"/>
        <w:spacing w:after="0" w:line="272" w:lineRule="auto"/>
        <w:rPr>
          <w:sz w:val="20"/>
          <w:szCs w:val="20"/>
          <w:color w:val="auto"/>
        </w:rPr>
      </w:pPr>
      <w:r>
        <w:rPr>
          <w:rFonts w:ascii="Arial" w:cs="Arial" w:eastAsia="Arial" w:hAnsi="Arial"/>
          <w:sz w:val="17"/>
          <w:szCs w:val="17"/>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177" w:lineRule="exact"/>
        <w:rPr>
          <w:sz w:val="20"/>
          <w:szCs w:val="20"/>
          <w:color w:val="auto"/>
        </w:rPr>
      </w:pPr>
    </w:p>
    <w:p>
      <w:pPr>
        <w:ind w:firstLine="416"/>
        <w:spacing w:after="0" w:line="273" w:lineRule="auto"/>
        <w:rPr>
          <w:sz w:val="20"/>
          <w:szCs w:val="20"/>
          <w:color w:val="auto"/>
        </w:rPr>
      </w:pPr>
      <w:r>
        <w:rPr>
          <w:rFonts w:ascii="Arial" w:cs="Arial" w:eastAsia="Arial" w:hAnsi="Arial"/>
          <w:sz w:val="17"/>
          <w:szCs w:val="17"/>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that the time period for FDA review or approval will not be shortened.</w:t>
      </w:r>
    </w:p>
    <w:p>
      <w:pPr>
        <w:spacing w:after="0" w:line="272" w:lineRule="exact"/>
        <w:rPr>
          <w:sz w:val="20"/>
          <w:szCs w:val="20"/>
          <w:color w:val="auto"/>
        </w:rPr>
      </w:pPr>
    </w:p>
    <w:p>
      <w:pPr>
        <w:ind w:left="420" w:right="100"/>
        <w:spacing w:after="0" w:line="263" w:lineRule="auto"/>
        <w:rPr>
          <w:sz w:val="20"/>
          <w:szCs w:val="20"/>
          <w:color w:val="auto"/>
        </w:rPr>
      </w:pPr>
      <w:r>
        <w:rPr>
          <w:rFonts w:ascii="Arial" w:cs="Arial" w:eastAsia="Arial" w:hAnsi="Arial"/>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76" w:lineRule="exact"/>
        <w:rPr>
          <w:sz w:val="20"/>
          <w:szCs w:val="20"/>
          <w:color w:val="auto"/>
        </w:rPr>
      </w:pPr>
    </w:p>
    <w:p>
      <w:pPr>
        <w:ind w:right="160" w:firstLine="416"/>
        <w:spacing w:after="0" w:line="259" w:lineRule="auto"/>
        <w:rPr>
          <w:sz w:val="20"/>
          <w:szCs w:val="20"/>
          <w:color w:val="auto"/>
        </w:rPr>
      </w:pPr>
      <w:r>
        <w:rPr>
          <w:rFonts w:ascii="Arial" w:cs="Arial" w:eastAsia="Arial" w:hAnsi="Arial"/>
          <w:sz w:val="18"/>
          <w:szCs w:val="18"/>
          <w:color w:val="auto"/>
        </w:rPr>
        <w:t xml:space="preserve">A companion diagnostic is a medical device, often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we may evaluate opportunities to develop, either by ourselves or with collaborators, companion diagnostic tests for our product candidates for certain indications.</w:t>
      </w:r>
    </w:p>
    <w:p>
      <w:pPr>
        <w:spacing w:after="0" w:line="187" w:lineRule="exact"/>
        <w:rPr>
          <w:sz w:val="20"/>
          <w:szCs w:val="20"/>
          <w:color w:val="auto"/>
        </w:rPr>
      </w:pPr>
    </w:p>
    <w:p>
      <w:pPr>
        <w:jc w:val="both"/>
        <w:ind w:firstLine="416"/>
        <w:spacing w:after="0" w:line="296" w:lineRule="auto"/>
        <w:rPr>
          <w:sz w:val="20"/>
          <w:szCs w:val="20"/>
          <w:color w:val="auto"/>
        </w:rPr>
      </w:pPr>
      <w:r>
        <w:rPr>
          <w:rFonts w:ascii="Arial" w:cs="Arial" w:eastAsia="Arial" w:hAnsi="Arial"/>
          <w:sz w:val="16"/>
          <w:szCs w:val="16"/>
          <w:color w:val="auto"/>
        </w:rPr>
        <w:t>A companion diagnostic is generally developed in conjunction with the clinical program for an associated therapeutic product. To date, the FDA has required premarket approval of the vast majority of companion diagnostics for cancer therapies. Generally, when a companion diagnostic is essential to the safe and effective use of a drug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61" w:lineRule="exact"/>
        <w:rPr>
          <w:sz w:val="20"/>
          <w:szCs w:val="20"/>
          <w:color w:val="auto"/>
        </w:rPr>
      </w:pPr>
    </w:p>
    <w:p>
      <w:pPr>
        <w:ind w:right="220" w:firstLine="416"/>
        <w:spacing w:after="0" w:line="259" w:lineRule="auto"/>
        <w:rPr>
          <w:sz w:val="20"/>
          <w:szCs w:val="20"/>
          <w:color w:val="auto"/>
        </w:rPr>
      </w:pPr>
      <w:r>
        <w:rPr>
          <w:rFonts w:ascii="Arial" w:cs="Arial" w:eastAsia="Arial" w:hAnsi="Arial"/>
          <w:sz w:val="18"/>
          <w:szCs w:val="18"/>
          <w:color w:val="auto"/>
        </w:rPr>
        <w:t>Development of a companion diagnostic could include additional meetings with regulatory authorities, such as a pre-submission meeting and the requirement to submit an investigational device exemption application. In the case of a companion diagnostic that is designated as “significant risk device,” approval of an investigational device exemption by the FDA and IRB is required before such diagnostic is used in conjunction with the clinical trials for a corresponding product candidate.</w:t>
      </w:r>
    </w:p>
    <w:p>
      <w:pPr>
        <w:spacing w:after="0" w:line="187"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5" w:name="page36"/>
    <w:bookmarkEnd w:id="35"/>
    <w:p>
      <w:pPr>
        <w:spacing w:after="0" w:line="259" w:lineRule="auto"/>
        <w:rPr>
          <w:sz w:val="20"/>
          <w:szCs w:val="20"/>
          <w:color w:val="auto"/>
        </w:rPr>
      </w:pPr>
      <w:r>
        <w:rPr>
          <w:rFonts w:ascii="Arial" w:cs="Arial" w:eastAsia="Arial" w:hAnsi="Arial"/>
          <w:sz w:val="18"/>
          <w:szCs w:val="18"/>
          <w:color w:val="auto"/>
        </w:rPr>
        <w:t>from initiating a pivotal trial. In addition, the commercial success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Any failure to do so could materially harm our business, results of operations and financial condition.</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If we decide to pursue a Fast Track Designation by the FDA, it may not lead to a faster development or regulatory review or approval process.</w:t>
      </w:r>
    </w:p>
    <w:p>
      <w:pPr>
        <w:spacing w:after="0" w:line="140" w:lineRule="exact"/>
        <w:rPr>
          <w:sz w:val="20"/>
          <w:szCs w:val="20"/>
          <w:color w:val="auto"/>
        </w:rPr>
      </w:pPr>
    </w:p>
    <w:p>
      <w:pPr>
        <w:ind w:right="40" w:firstLine="416"/>
        <w:spacing w:after="0" w:line="273" w:lineRule="auto"/>
        <w:rPr>
          <w:sz w:val="20"/>
          <w:szCs w:val="20"/>
          <w:color w:val="auto"/>
        </w:rPr>
      </w:pPr>
      <w:r>
        <w:rPr>
          <w:rFonts w:ascii="Arial" w:cs="Arial" w:eastAsia="Arial" w:hAnsi="Arial"/>
          <w:sz w:val="17"/>
          <w:szCs w:val="17"/>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72" w:lineRule="exact"/>
        <w:rPr>
          <w:sz w:val="20"/>
          <w:szCs w:val="20"/>
          <w:color w:val="auto"/>
        </w:rPr>
      </w:pPr>
    </w:p>
    <w:p>
      <w:pPr>
        <w:ind w:left="420" w:right="240"/>
        <w:spacing w:after="0" w:line="263" w:lineRule="auto"/>
        <w:rPr>
          <w:sz w:val="20"/>
          <w:szCs w:val="20"/>
          <w:color w:val="auto"/>
        </w:rPr>
      </w:pPr>
      <w:r>
        <w:rPr>
          <w:rFonts w:ascii="Arial" w:cs="Arial" w:eastAsia="Arial" w:hAnsi="Arial"/>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76" w:lineRule="exact"/>
        <w:rPr>
          <w:sz w:val="20"/>
          <w:szCs w:val="20"/>
          <w:color w:val="auto"/>
        </w:rPr>
      </w:pPr>
    </w:p>
    <w:p>
      <w:pPr>
        <w:ind w:right="20" w:firstLine="416"/>
        <w:spacing w:after="0" w:line="279" w:lineRule="auto"/>
        <w:rPr>
          <w:sz w:val="20"/>
          <w:szCs w:val="20"/>
          <w:color w:val="auto"/>
        </w:rPr>
      </w:pPr>
      <w:r>
        <w:rPr>
          <w:rFonts w:ascii="Arial" w:cs="Arial" w:eastAsia="Arial" w:hAnsi="Arial"/>
          <w:sz w:val="17"/>
          <w:szCs w:val="17"/>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such approval may be withdrawn at a later date.</w:t>
      </w:r>
    </w:p>
    <w:p>
      <w:pPr>
        <w:spacing w:after="0" w:line="171" w:lineRule="exact"/>
        <w:rPr>
          <w:sz w:val="20"/>
          <w:szCs w:val="20"/>
          <w:color w:val="auto"/>
        </w:rPr>
      </w:pPr>
    </w:p>
    <w:p>
      <w:pPr>
        <w:ind w:right="160" w:firstLine="416"/>
        <w:spacing w:after="0" w:line="263" w:lineRule="auto"/>
        <w:rPr>
          <w:sz w:val="20"/>
          <w:szCs w:val="20"/>
          <w:color w:val="auto"/>
        </w:rPr>
      </w:pPr>
      <w:r>
        <w:rPr>
          <w:rFonts w:ascii="Arial" w:cs="Arial" w:eastAsia="Arial" w:hAnsi="Arial"/>
          <w:sz w:val="18"/>
          <w:szCs w:val="18"/>
          <w:color w:val="auto"/>
        </w:rPr>
        <w:t>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157" w:lineRule="exact"/>
        <w:rPr>
          <w:sz w:val="20"/>
          <w:szCs w:val="20"/>
          <w:color w:val="auto"/>
        </w:rPr>
      </w:pPr>
    </w:p>
    <w:p>
      <w:pPr>
        <w:ind w:right="200" w:firstLine="416"/>
        <w:spacing w:after="0" w:line="259" w:lineRule="auto"/>
        <w:rPr>
          <w:sz w:val="20"/>
          <w:szCs w:val="20"/>
          <w:color w:val="auto"/>
        </w:rPr>
      </w:pPr>
      <w:r>
        <w:rPr>
          <w:rFonts w:ascii="Arial" w:cs="Arial" w:eastAsia="Arial" w:hAnsi="Arial"/>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60" w:lineRule="exact"/>
        <w:rPr>
          <w:sz w:val="20"/>
          <w:szCs w:val="20"/>
          <w:color w:val="auto"/>
        </w:rPr>
      </w:pPr>
    </w:p>
    <w:p>
      <w:pPr>
        <w:ind w:right="240" w:firstLine="416"/>
        <w:spacing w:after="0" w:line="301" w:lineRule="auto"/>
        <w:rPr>
          <w:sz w:val="20"/>
          <w:szCs w:val="20"/>
          <w:color w:val="auto"/>
        </w:rPr>
      </w:pPr>
      <w:r>
        <w:rPr>
          <w:rFonts w:ascii="Arial" w:cs="Arial" w:eastAsia="Arial" w:hAnsi="Arial"/>
          <w:sz w:val="16"/>
          <w:szCs w:val="16"/>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contract manufacturing organizations, or CMOs, could be subject to periodic unannounced inspections by the FDA to monitor and ensure compliance with cGMPs.</w:t>
      </w:r>
    </w:p>
    <w:p>
      <w:pPr>
        <w:spacing w:after="0" w:line="130" w:lineRule="exact"/>
        <w:rPr>
          <w:sz w:val="20"/>
          <w:szCs w:val="20"/>
          <w:color w:val="auto"/>
        </w:rPr>
      </w:pPr>
    </w:p>
    <w:p>
      <w:pPr>
        <w:ind w:right="20" w:firstLine="416"/>
        <w:spacing w:after="0" w:line="275" w:lineRule="auto"/>
        <w:rPr>
          <w:sz w:val="20"/>
          <w:szCs w:val="20"/>
          <w:color w:val="auto"/>
        </w:rPr>
      </w:pPr>
      <w:r>
        <w:rPr>
          <w:rFonts w:ascii="Arial" w:cs="Arial" w:eastAsia="Arial" w:hAnsi="Arial"/>
          <w:sz w:val="17"/>
          <w:szCs w:val="17"/>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 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244" w:lineRule="exact"/>
        <w:rPr>
          <w:sz w:val="20"/>
          <w:szCs w:val="20"/>
          <w:color w:val="auto"/>
        </w:rPr>
      </w:pPr>
    </w:p>
    <w:p>
      <w:pPr>
        <w:ind w:left="420" w:right="200"/>
        <w:spacing w:after="0" w:line="338" w:lineRule="auto"/>
        <w:rPr>
          <w:sz w:val="20"/>
          <w:szCs w:val="20"/>
          <w:color w:val="auto"/>
        </w:rPr>
      </w:pPr>
      <w:r>
        <w:rPr>
          <w:rFonts w:ascii="Arial" w:cs="Arial" w:eastAsia="Arial" w:hAnsi="Arial"/>
          <w:sz w:val="15"/>
          <w:szCs w:val="15"/>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ind w:right="200" w:firstLine="416"/>
        <w:spacing w:after="0" w:line="259"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6" w:name="page37"/>
    <w:bookmarkEnd w:id="36"/>
    <w:p>
      <w:pPr>
        <w:ind w:right="780"/>
        <w:spacing w:after="0" w:line="277" w:lineRule="auto"/>
        <w:rPr>
          <w:sz w:val="20"/>
          <w:szCs w:val="20"/>
          <w:color w:val="auto"/>
        </w:rPr>
      </w:pPr>
      <w:r>
        <w:rPr>
          <w:rFonts w:ascii="Arial" w:cs="Arial" w:eastAsia="Arial" w:hAnsi="Arial"/>
          <w:sz w:val="18"/>
          <w:szCs w:val="18"/>
          <w:color w:val="auto"/>
        </w:rPr>
        <w:t>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143"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43" w:lineRule="exact"/>
        <w:rPr>
          <w:sz w:val="20"/>
          <w:szCs w:val="20"/>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63"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90" w:lineRule="exact"/>
        <w:rPr>
          <w:rFonts w:ascii="Arial" w:cs="Arial" w:eastAsia="Arial" w:hAnsi="Arial"/>
          <w:sz w:val="18"/>
          <w:szCs w:val="18"/>
          <w:color w:val="auto"/>
        </w:rPr>
      </w:pPr>
    </w:p>
    <w:p>
      <w:pPr>
        <w:ind w:left="1300" w:hanging="876"/>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right="700" w:firstLine="416"/>
        <w:spacing w:after="0" w:line="308" w:lineRule="auto"/>
        <w:rPr>
          <w:sz w:val="20"/>
          <w:szCs w:val="20"/>
          <w:color w:val="auto"/>
        </w:rPr>
      </w:pPr>
      <w:r>
        <w:rPr>
          <w:rFonts w:ascii="Arial" w:cs="Arial" w:eastAsia="Arial" w:hAnsi="Arial"/>
          <w:sz w:val="17"/>
          <w:szCs w:val="17"/>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187" w:lineRule="exact"/>
        <w:rPr>
          <w:sz w:val="20"/>
          <w:szCs w:val="20"/>
          <w:color w:val="auto"/>
        </w:rPr>
      </w:pPr>
    </w:p>
    <w:p>
      <w:pPr>
        <w:ind w:left="420" w:right="40"/>
        <w:spacing w:after="0" w:line="311" w:lineRule="auto"/>
        <w:rPr>
          <w:sz w:val="20"/>
          <w:szCs w:val="20"/>
          <w:color w:val="auto"/>
        </w:rPr>
      </w:pPr>
      <w:r>
        <w:rPr>
          <w:rFonts w:ascii="Arial" w:cs="Arial" w:eastAsia="Arial" w:hAnsi="Arial"/>
          <w:sz w:val="16"/>
          <w:szCs w:val="16"/>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14" w:lineRule="exact"/>
        <w:rPr>
          <w:sz w:val="20"/>
          <w:szCs w:val="20"/>
          <w:color w:val="auto"/>
        </w:rPr>
      </w:pPr>
    </w:p>
    <w:p>
      <w:pPr>
        <w:ind w:firstLine="416"/>
        <w:spacing w:after="0" w:line="296" w:lineRule="auto"/>
        <w:rPr>
          <w:sz w:val="20"/>
          <w:szCs w:val="20"/>
          <w:color w:val="auto"/>
        </w:rPr>
      </w:pPr>
      <w:r>
        <w:rPr>
          <w:rFonts w:ascii="Arial" w:cs="Arial" w:eastAsia="Arial" w:hAnsi="Arial"/>
          <w:sz w:val="16"/>
          <w:szCs w:val="16"/>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26" w:lineRule="exact"/>
        <w:rPr>
          <w:sz w:val="20"/>
          <w:szCs w:val="20"/>
          <w:color w:val="auto"/>
        </w:rPr>
      </w:pPr>
    </w:p>
    <w:p>
      <w:pPr>
        <w:ind w:left="820" w:right="60" w:hanging="407"/>
        <w:spacing w:after="0" w:line="259"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51" w:lineRule="exact"/>
        <w:rPr>
          <w:rFonts w:ascii="Arial" w:cs="Arial" w:eastAsia="Arial" w:hAnsi="Arial"/>
          <w:sz w:val="18"/>
          <w:szCs w:val="18"/>
          <w:color w:val="auto"/>
        </w:rPr>
      </w:pPr>
    </w:p>
    <w:p>
      <w:pPr>
        <w:ind w:left="820" w:right="360" w:hanging="407"/>
        <w:spacing w:after="0" w:line="277"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False Claims Act, which can be enforced by civil whistleblower or qui tam actions on behalf of the government, and criminal false claims laws and the civil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7" w:name="page38"/>
    <w:bookmarkEnd w:id="37"/>
    <w:p>
      <w:pPr>
        <w:ind w:left="820" w:right="180"/>
        <w:spacing w:after="0" w:line="263" w:lineRule="auto"/>
        <w:rPr>
          <w:sz w:val="20"/>
          <w:szCs w:val="20"/>
          <w:color w:val="auto"/>
        </w:rPr>
      </w:pPr>
      <w:r>
        <w:rPr>
          <w:rFonts w:ascii="Arial" w:cs="Arial" w:eastAsia="Arial" w:hAnsi="Arial"/>
          <w:sz w:val="18"/>
          <w:szCs w:val="18"/>
          <w:color w:val="auto"/>
        </w:rPr>
        <w:t>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49" w:lineRule="exact"/>
        <w:rPr>
          <w:sz w:val="20"/>
          <w:szCs w:val="20"/>
          <w:color w:val="auto"/>
        </w:rPr>
      </w:pPr>
    </w:p>
    <w:p>
      <w:pPr>
        <w:jc w:val="both"/>
        <w:ind w:left="820" w:right="60" w:hanging="407"/>
        <w:spacing w:after="0" w:line="301"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49" w:lineRule="exact"/>
        <w:rPr>
          <w:rFonts w:ascii="Arial" w:cs="Arial" w:eastAsia="Arial" w:hAnsi="Arial"/>
          <w:sz w:val="16"/>
          <w:szCs w:val="16"/>
          <w:color w:val="auto"/>
        </w:rPr>
      </w:pPr>
    </w:p>
    <w:p>
      <w:pPr>
        <w:ind w:left="820" w:right="500" w:hanging="407"/>
        <w:spacing w:after="0" w:line="301"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49" w:lineRule="exact"/>
        <w:rPr>
          <w:rFonts w:ascii="Arial" w:cs="Arial" w:eastAsia="Arial" w:hAnsi="Arial"/>
          <w:sz w:val="16"/>
          <w:szCs w:val="16"/>
          <w:color w:val="auto"/>
        </w:rPr>
      </w:pPr>
    </w:p>
    <w:p>
      <w:pPr>
        <w:ind w:left="820" w:right="120" w:hanging="407"/>
        <w:spacing w:after="0" w:line="254"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as amended by the Health Care and Education Reconciliation Act of 2010, collectively referred to as the ACA, requires certain manufacturers of drugs, devices, biologics and medical supplies to annually report to the Centers for Medicare &amp; Medicaid Services, or CMS, information related to payments and other transfers of value provided to, and ownership and investment interests held by, physicians, defined to include doctors, dentists, optometrists, podiatrists and chiropractors,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anesthesiologist assistants, certified nurse anesthetists and certified nurse-midwives; and</w:t>
      </w:r>
    </w:p>
    <w:p>
      <w:pPr>
        <w:spacing w:after="0" w:line="83" w:lineRule="exact"/>
        <w:rPr>
          <w:rFonts w:ascii="Arial" w:cs="Arial" w:eastAsia="Arial" w:hAnsi="Arial"/>
          <w:sz w:val="18"/>
          <w:szCs w:val="18"/>
          <w:color w:val="auto"/>
        </w:rPr>
      </w:pPr>
    </w:p>
    <w:p>
      <w:pPr>
        <w:ind w:left="820" w:right="80" w:hanging="407"/>
        <w:spacing w:after="0" w:line="290"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State and local laws require the registration of pharmaceutical sales representatives. State and non-U.S. laws that also govern the privacy and security of health information in some circumstances, many of which differ from each other in significant ways and often are not preempted by HIPAA, thus complicating compliance efforts.</w:t>
      </w:r>
    </w:p>
    <w:p>
      <w:pPr>
        <w:spacing w:after="0" w:line="165" w:lineRule="exact"/>
        <w:rPr>
          <w:sz w:val="20"/>
          <w:szCs w:val="20"/>
          <w:color w:val="auto"/>
        </w:rPr>
      </w:pPr>
    </w:p>
    <w:p>
      <w:pPr>
        <w:ind w:right="40" w:firstLine="416"/>
        <w:spacing w:after="0" w:line="288"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276"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decrease the prices we may obtain.</w:t>
      </w:r>
    </w:p>
    <w:p>
      <w:pPr>
        <w:spacing w:after="0" w:line="62" w:lineRule="exact"/>
        <w:rPr>
          <w:sz w:val="20"/>
          <w:szCs w:val="20"/>
          <w:color w:val="auto"/>
        </w:rPr>
      </w:pPr>
    </w:p>
    <w:p>
      <w:pPr>
        <w:ind w:right="140" w:firstLine="416"/>
        <w:spacing w:after="0" w:line="263"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ind w:right="220" w:firstLine="416"/>
        <w:spacing w:after="0" w:line="263" w:lineRule="auto"/>
        <w:rPr>
          <w:sz w:val="20"/>
          <w:szCs w:val="20"/>
          <w:color w:val="auto"/>
        </w:rPr>
      </w:pPr>
      <w:r>
        <w:rPr>
          <w:rFonts w:ascii="Arial" w:cs="Arial" w:eastAsia="Arial" w:hAnsi="Arial"/>
          <w:sz w:val="18"/>
          <w:szCs w:val="18"/>
          <w:color w:val="auto"/>
        </w:rPr>
        <w:t>For example, he ACA was enacted,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17" w:lineRule="exact"/>
        <w:rPr>
          <w:sz w:val="20"/>
          <w:szCs w:val="20"/>
          <w:color w:val="auto"/>
        </w:rPr>
      </w:pPr>
    </w:p>
    <w:p>
      <w:pPr>
        <w:ind w:left="840" w:hanging="427"/>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annual fees and taxes on manufacturers of certain branded prescription drugs;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products;</w:t>
      </w:r>
    </w:p>
    <w:p>
      <w:pPr>
        <w:spacing w:after="0" w:line="128" w:lineRule="exact"/>
        <w:rPr>
          <w:rFonts w:ascii="Arial" w:cs="Arial" w:eastAsia="Arial" w:hAnsi="Arial"/>
          <w:sz w:val="17"/>
          <w:szCs w:val="17"/>
          <w:color w:val="auto"/>
        </w:rPr>
      </w:pPr>
    </w:p>
    <w:p>
      <w:pPr>
        <w:ind w:left="840" w:right="160" w:hanging="427"/>
        <w:spacing w:after="0" w:line="263" w:lineRule="auto"/>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75" w:lineRule="exact"/>
        <w:rPr>
          <w:rFonts w:ascii="Arial" w:cs="Arial" w:eastAsia="Arial" w:hAnsi="Arial"/>
          <w:sz w:val="18"/>
          <w:szCs w:val="18"/>
          <w:color w:val="auto"/>
        </w:rPr>
      </w:pPr>
    </w:p>
    <w:p>
      <w:pPr>
        <w:ind w:left="840" w:right="540" w:hanging="427"/>
        <w:spacing w:after="0" w:line="277" w:lineRule="auto"/>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840" w:right="440" w:hanging="427"/>
        <w:spacing w:after="0" w:line="277" w:lineRule="auto"/>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and extended the rebate program to individuals enrolled in Medicaid managed care organizations;</w:t>
      </w:r>
    </w:p>
    <w:p>
      <w:pPr>
        <w:spacing w:after="0" w:line="62" w:lineRule="exact"/>
        <w:rPr>
          <w:rFonts w:ascii="Arial" w:cs="Arial" w:eastAsia="Arial" w:hAnsi="Arial"/>
          <w:sz w:val="18"/>
          <w:szCs w:val="18"/>
          <w:color w:val="auto"/>
        </w:rPr>
      </w:pPr>
    </w:p>
    <w:p>
      <w:pPr>
        <w:ind w:left="840" w:right="300" w:hanging="427"/>
        <w:spacing w:after="0" w:line="277" w:lineRule="auto"/>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 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requirements to report financial arrangements with physicians, as defined by such law, and teaching hospitals;</w:t>
      </w:r>
    </w:p>
    <w:p>
      <w:pPr>
        <w:spacing w:after="0" w:line="117" w:lineRule="exact"/>
        <w:rPr>
          <w:sz w:val="20"/>
          <w:szCs w:val="20"/>
          <w:color w:val="auto"/>
        </w:rPr>
      </w:pPr>
    </w:p>
    <w:p>
      <w:pPr>
        <w:ind w:left="840" w:hanging="427"/>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840" w:hanging="427"/>
        <w:spacing w:after="0" w:line="277"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40" w:firstLine="416"/>
        <w:spacing w:after="0" w:line="254" w:lineRule="auto"/>
        <w:rPr>
          <w:sz w:val="20"/>
          <w:szCs w:val="20"/>
          <w:color w:val="auto"/>
        </w:rPr>
      </w:pPr>
      <w:r>
        <w:rPr>
          <w:rFonts w:ascii="Arial" w:cs="Arial" w:eastAsia="Arial" w:hAnsi="Arial"/>
          <w:sz w:val="18"/>
          <w:szCs w:val="18"/>
          <w:color w:val="auto"/>
        </w:rPr>
        <w:t>There have been legislative and judicial efforts to repeal or replace certain aspects of the ACA, including measures taken during the Trump administration. While Congress has not passed comprehensive repeal legislation, it has enacted laws that modify certain provisions of the ACA such as removing penalties, starting January 1, 2019, for not complying with the ACA’s individual mandate to carry health insurance, eliminating the implementation of certain ACA-mandated fees, and increasing the point-of-sale discount that is owed by pharmaceutical manufacturers who participate in Medicare Part D. In November 2020, the United States Supreme Court held oral arguments on the U.S. Court of Appeals for the Fifth Circuit’s decision that held that the individual mandate is unconstitutional. It is unclear how such litigation and other efforts to repeal and replace the ACA will impact the ACA and our business.</w:t>
      </w:r>
    </w:p>
    <w:p>
      <w:pPr>
        <w:spacing w:after="0" w:line="195" w:lineRule="exact"/>
        <w:rPr>
          <w:sz w:val="20"/>
          <w:szCs w:val="20"/>
          <w:color w:val="auto"/>
        </w:rPr>
      </w:pPr>
    </w:p>
    <w:p>
      <w:pPr>
        <w:ind w:right="20" w:firstLine="416"/>
        <w:spacing w:after="0" w:line="287"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unless additional Congressional action is taken. The Coronavirus Aid, Relief, and Economic Security Act, or the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The Consolidated Appropriations Act, 2021 extended the suspension of the 2% Medicare sequester through March 31, 2021.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w:t>
      </w:r>
    </w:p>
    <w:p>
      <w:pPr>
        <w:spacing w:after="0" w:line="172" w:lineRule="exact"/>
        <w:rPr>
          <w:sz w:val="20"/>
          <w:szCs w:val="20"/>
          <w:color w:val="auto"/>
        </w:rPr>
      </w:pPr>
    </w:p>
    <w:p>
      <w:pPr>
        <w:ind w:right="300" w:firstLine="416"/>
        <w:spacing w:after="0" w:line="263" w:lineRule="auto"/>
        <w:rPr>
          <w:sz w:val="20"/>
          <w:szCs w:val="20"/>
          <w:color w:val="auto"/>
        </w:rPr>
      </w:pPr>
      <w:r>
        <w:rPr>
          <w:rFonts w:ascii="Arial" w:cs="Arial" w:eastAsia="Arial" w:hAnsi="Arial"/>
          <w:sz w:val="18"/>
          <w:szCs w:val="18"/>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39" w:name="page40"/>
    <w:bookmarkEnd w:id="39"/>
    <w:p>
      <w:pPr>
        <w:ind w:right="500"/>
        <w:spacing w:after="0" w:line="311" w:lineRule="auto"/>
        <w:rPr>
          <w:sz w:val="20"/>
          <w:szCs w:val="20"/>
          <w:color w:val="auto"/>
        </w:rPr>
      </w:pPr>
      <w:r>
        <w:rPr>
          <w:rFonts w:ascii="Arial" w:cs="Arial" w:eastAsia="Arial" w:hAnsi="Arial"/>
          <w:sz w:val="16"/>
          <w:szCs w:val="16"/>
          <w:color w:val="auto"/>
        </w:rPr>
        <w:t>manufacturer patient programs, and reform government program reimbursement methodologies for drug products. At the federal level, the Trump administration issued budget proposals for fiscal year 2021 includes a $135 billion allowance to support legislative proposals seeking to reduce drug prices, increase competition, lower out-of-pocket drug costs for patients, and increase patient access to lower-cost generic and biosimilar drugs.</w:t>
      </w:r>
    </w:p>
    <w:p>
      <w:pPr>
        <w:spacing w:after="0" w:line="149" w:lineRule="exact"/>
        <w:rPr>
          <w:sz w:val="20"/>
          <w:szCs w:val="20"/>
          <w:color w:val="auto"/>
        </w:rPr>
      </w:pPr>
    </w:p>
    <w:p>
      <w:pPr>
        <w:ind w:right="220" w:firstLine="416"/>
        <w:spacing w:after="0" w:line="272" w:lineRule="auto"/>
        <w:rPr>
          <w:sz w:val="20"/>
          <w:szCs w:val="20"/>
          <w:color w:val="auto"/>
        </w:rPr>
      </w:pPr>
      <w:r>
        <w:rPr>
          <w:rFonts w:ascii="Arial" w:cs="Arial" w:eastAsia="Arial" w:hAnsi="Arial"/>
          <w:sz w:val="17"/>
          <w:szCs w:val="17"/>
          <w:color w:val="auto"/>
        </w:rPr>
        <w:t>In particular, on July 24, 2020 and September 13, 2020, the Trump administration announced several executive orders related to prescription drug pricing that seek to implement several of the administration’s proposals. As a result, the FDA also released a final rule on September 24, 2020 providing guidance for states to build and submit importation plans for drugs from Canada. The Trump and Biden administrations both issued executive orders intended to favor government procurement from domestic manufacturers. In addition, the Trump administration issued an executive order specifically aimed at the procurement of pharmaceutical products, which instructed the federal government to develop a list of “essential” medicines and then buy those and other medical supplies that are manufactured, including the manufacture of the API, in the United States. It is unclear whether this executive order or something similar will be implemented by the Biden Administration.</w:t>
      </w:r>
    </w:p>
    <w:p>
      <w:pPr>
        <w:spacing w:after="0" w:line="2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Centers for Medicare and Medicaid Services, or CMS also published an interim final rule that establishes a Most Favored Nation, or MFN, Model for Medicare Part B drug payment. This regulation would substantially change the drug reimbursement landscape as it bases Medicare Part B payment for 50 selected drugs on prices in foreign countries instead of average sales price, or ASP, and establishes a fixed add-on payment in place of the current 6 percent (4.3 percent after sequestration) of ASP. The MFN drug payment amount is expected to be lower than the current ASP-based payment limit because U.S. drug prices are generally the highest in the world. On December 28, 2020, the United States District Court in Northern California issued a nationwide preliminary injunction against implementation of the interim final rule, and it faces uncertain prospects for implementation.</w:t>
      </w:r>
    </w:p>
    <w:p>
      <w:pPr>
        <w:spacing w:after="0" w:line="185" w:lineRule="exact"/>
        <w:rPr>
          <w:sz w:val="20"/>
          <w:szCs w:val="20"/>
          <w:color w:val="auto"/>
        </w:rPr>
      </w:pPr>
    </w:p>
    <w:p>
      <w:pPr>
        <w:ind w:right="540" w:firstLine="416"/>
        <w:spacing w:after="0" w:line="311" w:lineRule="auto"/>
        <w:rPr>
          <w:sz w:val="20"/>
          <w:szCs w:val="20"/>
          <w:color w:val="auto"/>
        </w:rPr>
      </w:pPr>
      <w:r>
        <w:rPr>
          <w:rFonts w:ascii="Arial" w:cs="Arial" w:eastAsia="Arial" w:hAnsi="Arial"/>
          <w:sz w:val="16"/>
          <w:szCs w:val="16"/>
          <w:color w:val="auto"/>
        </w:rPr>
        <w:t>At the state level,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9" w:lineRule="exact"/>
        <w:rPr>
          <w:sz w:val="20"/>
          <w:szCs w:val="20"/>
          <w:color w:val="auto"/>
        </w:rPr>
      </w:pPr>
    </w:p>
    <w:p>
      <w:pPr>
        <w:ind w:right="20" w:firstLine="416"/>
        <w:spacing w:after="0" w:line="286"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165" w:lineRule="exact"/>
        <w:rPr>
          <w:sz w:val="20"/>
          <w:szCs w:val="20"/>
          <w:color w:val="auto"/>
        </w:rPr>
      </w:pPr>
    </w:p>
    <w:p>
      <w:pPr>
        <w:ind w:right="300" w:firstLine="416"/>
        <w:spacing w:after="0" w:line="255"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It is also possible that additional governmental action is taken to address the COVID-19 pandemic.</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Governments outside of the United States tend to impose strict price controls, which may adversely affect our revenues, if any.</w:t>
      </w:r>
    </w:p>
    <w:p>
      <w:pPr>
        <w:spacing w:after="0" w:line="129" w:lineRule="exact"/>
        <w:rPr>
          <w:sz w:val="20"/>
          <w:szCs w:val="20"/>
          <w:color w:val="auto"/>
        </w:rPr>
      </w:pPr>
    </w:p>
    <w:p>
      <w:pPr>
        <w:ind w:right="80" w:firstLine="416"/>
        <w:spacing w:after="0" w:line="270" w:lineRule="auto"/>
        <w:rPr>
          <w:sz w:val="20"/>
          <w:szCs w:val="20"/>
          <w:color w:val="auto"/>
        </w:rPr>
      </w:pPr>
      <w:r>
        <w:rPr>
          <w:rFonts w:ascii="Arial" w:cs="Arial" w:eastAsia="Arial" w:hAnsi="Arial"/>
          <w:sz w:val="17"/>
          <w:szCs w:val="17"/>
          <w:color w:val="auto"/>
        </w:rPr>
        <w:t>In some countries, particularly the countries of the European Union, or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In addition, the recent withdrawal of the United Kingdom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0" w:name="page41"/>
    <w:bookmarkEnd w:id="40"/>
    <w:p>
      <w:pPr>
        <w:ind w:right="40"/>
        <w:spacing w:after="0" w:line="257" w:lineRule="auto"/>
        <w:rPr>
          <w:sz w:val="20"/>
          <w:szCs w:val="20"/>
          <w:color w:val="auto"/>
        </w:rPr>
      </w:pPr>
      <w:r>
        <w:rPr>
          <w:rFonts w:ascii="Arial" w:cs="Arial" w:eastAsia="Arial" w:hAnsi="Arial"/>
          <w:sz w:val="18"/>
          <w:szCs w:val="18"/>
          <w:color w:val="auto"/>
        </w:rPr>
        <w:t>from its membership in the EU, often referred to as “Brexit”, could lead to legal and regulatory uncertainty in the United Kingdom and may lead to the United Kingdom and EU adopting divergent laws and regulations, including those related to the pricing of prescription pharmaceuticals, as the United Kingdom determines which EU laws to replicate or replace. If the United Kingdom were to significantly alter its regulations affecting the pricing of prescription pharmaceuticals, we could face significant new costs. As a result, Brexit could impair our ability to transact business in the EU and the United Kingdom.</w:t>
      </w:r>
    </w:p>
    <w:p>
      <w:pPr>
        <w:spacing w:after="0" w:line="228" w:lineRule="exact"/>
        <w:rPr>
          <w:sz w:val="20"/>
          <w:szCs w:val="20"/>
          <w:color w:val="auto"/>
        </w:rPr>
      </w:pPr>
    </w:p>
    <w:p>
      <w:pPr>
        <w:ind w:left="420" w:right="240"/>
        <w:spacing w:after="0" w:line="263" w:lineRule="auto"/>
        <w:rPr>
          <w:sz w:val="20"/>
          <w:szCs w:val="20"/>
          <w:color w:val="auto"/>
        </w:rPr>
      </w:pPr>
      <w:r>
        <w:rPr>
          <w:rFonts w:ascii="Arial" w:cs="Arial" w:eastAsia="Arial" w:hAnsi="Arial"/>
          <w:sz w:val="18"/>
          <w:szCs w:val="18"/>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49"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54" w:lineRule="exact"/>
        <w:rPr>
          <w:sz w:val="20"/>
          <w:szCs w:val="20"/>
          <w:color w:val="auto"/>
        </w:rPr>
      </w:pPr>
    </w:p>
    <w:p>
      <w:pPr>
        <w:ind w:right="20" w:firstLine="416"/>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31" w:lineRule="exact"/>
        <w:rPr>
          <w:sz w:val="20"/>
          <w:szCs w:val="20"/>
          <w:color w:val="auto"/>
        </w:rPr>
      </w:pPr>
    </w:p>
    <w:p>
      <w:pPr>
        <w:ind w:right="140" w:firstLine="416"/>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147" w:lineRule="exact"/>
        <w:rPr>
          <w:sz w:val="20"/>
          <w:szCs w:val="20"/>
          <w:color w:val="auto"/>
        </w:rPr>
      </w:pPr>
    </w:p>
    <w:p>
      <w:pPr>
        <w:ind w:right="40" w:firstLine="416"/>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the SEC, also may suspend or bar issuers from trading securities on U.S. exchanges for violations of the FCPA’s accounting provisions.</w:t>
      </w:r>
    </w:p>
    <w:p>
      <w:pPr>
        <w:spacing w:after="0" w:line="224"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35" w:lineRule="exact"/>
        <w:rPr>
          <w:sz w:val="20"/>
          <w:szCs w:val="20"/>
          <w:color w:val="auto"/>
        </w:rPr>
      </w:pPr>
    </w:p>
    <w:p>
      <w:pPr>
        <w:ind w:right="140" w:firstLine="416"/>
        <w:spacing w:after="0" w:line="273" w:lineRule="auto"/>
        <w:rPr>
          <w:sz w:val="20"/>
          <w:szCs w:val="20"/>
          <w:color w:val="auto"/>
        </w:rPr>
      </w:pPr>
      <w:r>
        <w:rPr>
          <w:rFonts w:ascii="Arial" w:cs="Arial" w:eastAsia="Arial" w:hAnsi="Arial"/>
          <w:sz w:val="17"/>
          <w:szCs w:val="17"/>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w:t>
      </w:r>
    </w:p>
    <w:p>
      <w:pPr>
        <w:spacing w:after="0" w:line="137" w:lineRule="exact"/>
        <w:rPr>
          <w:sz w:val="20"/>
          <w:szCs w:val="20"/>
          <w:color w:val="auto"/>
        </w:rPr>
      </w:pPr>
    </w:p>
    <w:p>
      <w:pPr>
        <w:ind w:right="320" w:firstLine="416"/>
        <w:spacing w:after="0" w:line="279" w:lineRule="auto"/>
        <w:rPr>
          <w:sz w:val="20"/>
          <w:szCs w:val="20"/>
          <w:color w:val="auto"/>
        </w:rPr>
      </w:pPr>
      <w:r>
        <w:rPr>
          <w:rFonts w:ascii="Arial" w:cs="Arial" w:eastAsia="Arial" w:hAnsi="Arial"/>
          <w:sz w:val="17"/>
          <w:szCs w:val="17"/>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71" w:lineRule="exact"/>
        <w:rPr>
          <w:sz w:val="20"/>
          <w:szCs w:val="20"/>
          <w:color w:val="auto"/>
        </w:rPr>
      </w:pPr>
    </w:p>
    <w:p>
      <w:pPr>
        <w:ind w:right="160" w:firstLine="416"/>
        <w:spacing w:after="0" w:line="286" w:lineRule="auto"/>
        <w:rPr>
          <w:sz w:val="20"/>
          <w:szCs w:val="20"/>
          <w:color w:val="auto"/>
        </w:rPr>
      </w:pPr>
      <w:r>
        <w:rPr>
          <w:rFonts w:ascii="Arial" w:cs="Arial" w:eastAsia="Arial" w:hAnsi="Arial"/>
          <w:sz w:val="17"/>
          <w:szCs w:val="17"/>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1" w:name="page42"/>
    <w:bookmarkEnd w:id="41"/>
    <w:p>
      <w:pPr>
        <w:jc w:val="both"/>
        <w:ind w:right="220" w:firstLine="416"/>
        <w:spacing w:after="0" w:line="263" w:lineRule="auto"/>
        <w:rPr>
          <w:sz w:val="20"/>
          <w:szCs w:val="20"/>
          <w:color w:val="auto"/>
        </w:rPr>
      </w:pPr>
      <w:r>
        <w:rPr>
          <w:rFonts w:ascii="Arial" w:cs="Arial" w:eastAsia="Arial" w:hAnsi="Arial"/>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4" w:lineRule="exact"/>
        <w:rPr>
          <w:sz w:val="20"/>
          <w:szCs w:val="20"/>
          <w:color w:val="auto"/>
        </w:rPr>
      </w:pPr>
    </w:p>
    <w:p>
      <w:pPr>
        <w:jc w:val="both"/>
        <w:ind w:right="300" w:firstLine="416"/>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60" w:lineRule="exact"/>
        <w:rPr>
          <w:sz w:val="20"/>
          <w:szCs w:val="20"/>
          <w:color w:val="auto"/>
        </w:rPr>
      </w:pPr>
    </w:p>
    <w:p>
      <w:pPr>
        <w:ind w:left="420" w:right="3000"/>
        <w:spacing w:after="0" w:line="375" w:lineRule="auto"/>
        <w:rPr>
          <w:sz w:val="20"/>
          <w:szCs w:val="20"/>
          <w:color w:val="auto"/>
        </w:rPr>
      </w:pPr>
      <w:r>
        <w:rPr>
          <w:rFonts w:ascii="Arial" w:cs="Arial" w:eastAsia="Arial" w:hAnsi="Arial"/>
          <w:sz w:val="15"/>
          <w:szCs w:val="15"/>
          <w:b w:val="1"/>
          <w:bCs w:val="1"/>
          <w:i w:val="1"/>
          <w:iCs w:val="1"/>
          <w:color w:val="auto"/>
        </w:rPr>
        <w:t>We are subject to certain U.S. and certain foreign anti-corruption, anti-money laundering, export control, sanctions and other trade laws and regulations. We can face serious consequences for violations.</w:t>
      </w:r>
    </w:p>
    <w:p>
      <w:pPr>
        <w:spacing w:after="0" w:line="1"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81" w:lineRule="exact"/>
        <w:rPr>
          <w:sz w:val="20"/>
          <w:szCs w:val="20"/>
          <w:color w:val="auto"/>
        </w:rPr>
      </w:pPr>
    </w:p>
    <w:p>
      <w:pPr>
        <w:ind w:right="100" w:firstLine="416"/>
        <w:spacing w:after="0" w:line="342" w:lineRule="auto"/>
        <w:rPr>
          <w:sz w:val="20"/>
          <w:szCs w:val="20"/>
          <w:color w:val="auto"/>
        </w:rPr>
      </w:pPr>
      <w:r>
        <w:rPr>
          <w:rFonts w:ascii="Arial" w:cs="Arial" w:eastAsia="Arial" w:hAnsi="Arial"/>
          <w:sz w:val="16"/>
          <w:szCs w:val="16"/>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420" w:right="80"/>
        <w:spacing w:after="0" w:line="301" w:lineRule="auto"/>
        <w:rPr>
          <w:sz w:val="20"/>
          <w:szCs w:val="20"/>
          <w:color w:val="auto"/>
        </w:rPr>
      </w:pPr>
      <w:r>
        <w:rPr>
          <w:rFonts w:ascii="Arial" w:cs="Arial" w:eastAsia="Arial" w:hAnsi="Arial"/>
          <w:sz w:val="16"/>
          <w:szCs w:val="16"/>
          <w:b w:val="1"/>
          <w:bCs w:val="1"/>
          <w:i w:val="1"/>
          <w:iCs w:val="1"/>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49" w:lineRule="exact"/>
        <w:rPr>
          <w:sz w:val="20"/>
          <w:szCs w:val="20"/>
          <w:color w:val="auto"/>
        </w:rPr>
      </w:pPr>
    </w:p>
    <w:p>
      <w:pPr>
        <w:ind w:right="20" w:firstLine="416"/>
        <w:spacing w:after="0" w:line="286" w:lineRule="auto"/>
        <w:rPr>
          <w:sz w:val="20"/>
          <w:szCs w:val="20"/>
          <w:color w:val="auto"/>
        </w:rPr>
      </w:pPr>
      <w:r>
        <w:rPr>
          <w:rFonts w:ascii="Arial" w:cs="Arial" w:eastAsia="Arial" w:hAnsi="Arial"/>
          <w:sz w:val="16"/>
          <w:szCs w:val="16"/>
          <w:color w:val="auto"/>
        </w:rPr>
        <w:t>We do not have the ability to independently conduct all aspects of our preclinical testing or clinical trials ourselves. As a result, we are dependent on third parties to conduct our ongoing and planned clinical trials of PRT543, PRT811 and PRT1419, and any preclinical studies and clinical trials of any other product candidates. The timing of the initiation and completion of these trials will therefore be partially controlled by such third parties and may result in delays to our development programs. Specifically, we expect CROs, clinical investigators and consultants to play a significant role in the conduct of these trials and the subsequent collection and analysis of data. However, these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CROs and other third parties does not relieve us of our regulatory responsibilities. We and our CROs are required to comply with good clinical practices, or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Our failure or the failure of third parties on whom we rely to comply with these regulations may require us to stop and/or repeat clinical trials, which would delay the marketing approval process.</w:t>
      </w:r>
    </w:p>
    <w:p>
      <w:pPr>
        <w:spacing w:after="0" w:line="171" w:lineRule="exact"/>
        <w:rPr>
          <w:sz w:val="20"/>
          <w:szCs w:val="20"/>
          <w:color w:val="auto"/>
        </w:rPr>
      </w:pPr>
    </w:p>
    <w:p>
      <w:pPr>
        <w:ind w:right="80" w:firstLine="416"/>
        <w:spacing w:after="0" w:line="263" w:lineRule="auto"/>
        <w:rPr>
          <w:sz w:val="20"/>
          <w:szCs w:val="20"/>
          <w:color w:val="auto"/>
        </w:rPr>
      </w:pPr>
      <w:r>
        <w:rPr>
          <w:rFonts w:ascii="Arial" w:cs="Arial" w:eastAsia="Arial" w:hAnsi="Arial"/>
          <w:sz w:val="18"/>
          <w:szCs w:val="18"/>
          <w:color w:val="auto"/>
        </w:rPr>
        <w:t>There is no guarantee that any such CROs, clinical trial investigators or other third parties on which we rely will devote adequate time and resources to our development activities or perform as contractually required. If any of these third parties fail to meet expected deadlines, adhere to our clinical protocols or meet regulatory requirements, otherwise perform in a substandard manner,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2" w:name="page43"/>
    <w:bookmarkEnd w:id="42"/>
    <w:p>
      <w:pPr>
        <w:ind w:right="300"/>
        <w:spacing w:after="0" w:line="311" w:lineRule="auto"/>
        <w:rPr>
          <w:sz w:val="20"/>
          <w:szCs w:val="20"/>
          <w:color w:val="auto"/>
        </w:rPr>
      </w:pPr>
      <w:r>
        <w:rPr>
          <w:rFonts w:ascii="Arial" w:cs="Arial" w:eastAsia="Arial" w:hAnsi="Arial"/>
          <w:sz w:val="16"/>
          <w:szCs w:val="16"/>
          <w:color w:val="auto"/>
        </w:rPr>
        <w:t>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149" w:lineRule="exact"/>
        <w:rPr>
          <w:sz w:val="20"/>
          <w:szCs w:val="20"/>
          <w:color w:val="auto"/>
        </w:rPr>
      </w:pPr>
    </w:p>
    <w:p>
      <w:pPr>
        <w:ind w:right="200" w:firstLine="416"/>
        <w:spacing w:after="0" w:line="275" w:lineRule="auto"/>
        <w:rPr>
          <w:sz w:val="20"/>
          <w:szCs w:val="20"/>
          <w:color w:val="auto"/>
        </w:rPr>
      </w:pPr>
      <w:r>
        <w:rPr>
          <w:rFonts w:ascii="Arial" w:cs="Arial" w:eastAsia="Arial" w:hAnsi="Arial"/>
          <w:sz w:val="17"/>
          <w:szCs w:val="17"/>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PRT543, PRT811, PRT1419 or any other product candidates and will not be able to, or may be delayed in our efforts to, successfully commercialize our products.</w:t>
      </w:r>
    </w:p>
    <w:p>
      <w:pPr>
        <w:spacing w:after="0" w:line="271" w:lineRule="exact"/>
        <w:rPr>
          <w:sz w:val="20"/>
          <w:szCs w:val="20"/>
          <w:color w:val="auto"/>
        </w:rPr>
      </w:pPr>
    </w:p>
    <w:p>
      <w:pPr>
        <w:ind w:left="420" w:right="120"/>
        <w:spacing w:after="0" w:line="275" w:lineRule="auto"/>
        <w:rPr>
          <w:sz w:val="20"/>
          <w:szCs w:val="20"/>
          <w:color w:val="auto"/>
        </w:rPr>
      </w:pPr>
      <w:r>
        <w:rPr>
          <w:rFonts w:ascii="Arial" w:cs="Arial" w:eastAsia="Arial" w:hAnsi="Arial"/>
          <w:sz w:val="17"/>
          <w:szCs w:val="17"/>
          <w:b w:val="1"/>
          <w:bCs w:val="1"/>
          <w:i w:val="1"/>
          <w:iCs w:val="1"/>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 candidate.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68"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We do not have any manufacturing facilities. We rely, and expect to continue to rely, on third parties for the manufacture of our product candidates for preclinical and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In addition, the ongoing COVID-19 pandemic may result in disruptions to the operations or an extended shutdown of certain businesses, which could include certain of our contract manufacturers.</w:t>
      </w:r>
    </w:p>
    <w:p>
      <w:pPr>
        <w:spacing w:after="0" w:line="195" w:lineRule="exact"/>
        <w:rPr>
          <w:sz w:val="20"/>
          <w:szCs w:val="20"/>
          <w:color w:val="auto"/>
        </w:rPr>
      </w:pPr>
    </w:p>
    <w:p>
      <w:pPr>
        <w:ind w:right="800" w:firstLine="416"/>
        <w:spacing w:after="0" w:line="308" w:lineRule="auto"/>
        <w:rPr>
          <w:sz w:val="20"/>
          <w:szCs w:val="20"/>
          <w:color w:val="auto"/>
        </w:rPr>
      </w:pPr>
      <w:r>
        <w:rPr>
          <w:rFonts w:ascii="Arial" w:cs="Arial" w:eastAsia="Arial" w:hAnsi="Arial"/>
          <w:sz w:val="17"/>
          <w:szCs w:val="17"/>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38" w:lineRule="exact"/>
        <w:rPr>
          <w:sz w:val="20"/>
          <w:szCs w:val="20"/>
          <w:color w:val="auto"/>
        </w:rPr>
      </w:pPr>
    </w:p>
    <w:p>
      <w:pPr>
        <w:ind w:left="840" w:hanging="427"/>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reliance on the third party for product development, analytical testing, and data generation to support regulatory applications;</w:t>
      </w:r>
    </w:p>
    <w:p>
      <w:pPr>
        <w:spacing w:after="0" w:line="117" w:lineRule="exact"/>
        <w:rPr>
          <w:rFonts w:ascii="Arial" w:cs="Arial" w:eastAsia="Arial" w:hAnsi="Arial"/>
          <w:sz w:val="18"/>
          <w:szCs w:val="18"/>
          <w:color w:val="auto"/>
        </w:rPr>
      </w:pPr>
    </w:p>
    <w:p>
      <w:pPr>
        <w:ind w:left="840" w:right="40" w:hanging="427"/>
        <w:spacing w:after="0" w:line="263"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75" w:lineRule="exact"/>
        <w:rPr>
          <w:rFonts w:ascii="Arial" w:cs="Arial" w:eastAsia="Arial" w:hAnsi="Arial"/>
          <w:sz w:val="18"/>
          <w:szCs w:val="18"/>
          <w:color w:val="auto"/>
        </w:rPr>
      </w:pPr>
    </w:p>
    <w:p>
      <w:pPr>
        <w:ind w:left="840" w:hanging="427"/>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117"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ind w:left="840" w:hanging="427"/>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deliver our drugs under specified storage conditions and in a timely manner.</w:t>
      </w:r>
    </w:p>
    <w:p>
      <w:pPr>
        <w:spacing w:after="0" w:line="225" w:lineRule="exact"/>
        <w:rPr>
          <w:sz w:val="20"/>
          <w:szCs w:val="20"/>
          <w:color w:val="auto"/>
        </w:rPr>
      </w:pPr>
    </w:p>
    <w:p>
      <w:pPr>
        <w:ind w:firstLine="416"/>
        <w:spacing w:after="0" w:line="275" w:lineRule="auto"/>
        <w:rPr>
          <w:sz w:val="20"/>
          <w:szCs w:val="20"/>
          <w:color w:val="auto"/>
        </w:rPr>
      </w:pPr>
      <w:r>
        <w:rPr>
          <w:rFonts w:ascii="Arial" w:cs="Arial" w:eastAsia="Arial" w:hAnsi="Arial"/>
          <w:sz w:val="17"/>
          <w:szCs w:val="17"/>
          <w:color w:val="auto"/>
        </w:rPr>
        <w:t>We have only limited supply arrangements in place with respect to our product candidates, and these arrangements do not extend to commercial supply. We acquire many key materials on a purchase order basis. As a result, we do not have long-term committed arrangements with respect to our product candidates and other materials.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 party.</w:t>
      </w:r>
    </w:p>
    <w:p>
      <w:pPr>
        <w:spacing w:after="0" w:line="176" w:lineRule="exact"/>
        <w:rPr>
          <w:sz w:val="20"/>
          <w:szCs w:val="20"/>
          <w:color w:val="auto"/>
        </w:rPr>
      </w:pPr>
    </w:p>
    <w:p>
      <w:pPr>
        <w:ind w:right="380" w:firstLine="416"/>
        <w:spacing w:after="0" w:line="263" w:lineRule="auto"/>
        <w:rPr>
          <w:sz w:val="20"/>
          <w:szCs w:val="20"/>
          <w:color w:val="auto"/>
        </w:rPr>
      </w:pPr>
      <w:r>
        <w:rPr>
          <w:rFonts w:ascii="Arial" w:cs="Arial" w:eastAsia="Arial" w:hAnsi="Arial"/>
          <w:sz w:val="18"/>
          <w:szCs w:val="18"/>
          <w:color w:val="auto"/>
        </w:rPr>
        <w:t>In addition, we are dependent on a sole supplier for certain components of our manufacturing process. Even if we are able to replace any raw materials or other materials with an alternative, such alternatives may cost more, result in lower yields or not be as suitable for our purposes. In addition, some of the materials that we use to manufacture our product candidates are complex</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 w:name="page44"/>
    <w:bookmarkEnd w:id="43"/>
    <w:p>
      <w:pPr>
        <w:ind w:right="620"/>
        <w:spacing w:after="0" w:line="277" w:lineRule="auto"/>
        <w:rPr>
          <w:sz w:val="20"/>
          <w:szCs w:val="20"/>
          <w:color w:val="auto"/>
        </w:rPr>
      </w:pPr>
      <w:r>
        <w:rPr>
          <w:rFonts w:ascii="Arial" w:cs="Arial" w:eastAsia="Arial" w:hAnsi="Arial"/>
          <w:sz w:val="18"/>
          <w:szCs w:val="18"/>
          <w:color w:val="auto"/>
        </w:rPr>
        <w:t>materials, which may be more difficult to substitute. Therefore, any disruptions arising from our sole suppliers could result in delays and additional regulatory submissions.</w:t>
      </w:r>
    </w:p>
    <w:p>
      <w:pPr>
        <w:spacing w:after="0" w:line="170" w:lineRule="exact"/>
        <w:rPr>
          <w:sz w:val="20"/>
          <w:szCs w:val="20"/>
          <w:color w:val="auto"/>
        </w:rPr>
      </w:pPr>
    </w:p>
    <w:p>
      <w:pPr>
        <w:ind w:firstLine="416"/>
        <w:spacing w:after="0" w:line="288" w:lineRule="auto"/>
        <w:rPr>
          <w:sz w:val="20"/>
          <w:szCs w:val="20"/>
          <w:color w:val="auto"/>
        </w:rPr>
      </w:pPr>
      <w:r>
        <w:rPr>
          <w:rFonts w:ascii="Arial" w:cs="Arial" w:eastAsia="Arial" w:hAnsi="Arial"/>
          <w:sz w:val="16"/>
          <w:szCs w:val="16"/>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deny a new drug application, or NDA, approval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68"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188" w:lineRule="exact"/>
        <w:rPr>
          <w:sz w:val="20"/>
          <w:szCs w:val="20"/>
          <w:color w:val="auto"/>
        </w:rPr>
      </w:pPr>
    </w:p>
    <w:p>
      <w:pPr>
        <w:ind w:right="120" w:firstLine="416"/>
        <w:spacing w:after="0" w:line="263"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84" w:lineRule="exact"/>
        <w:rPr>
          <w:sz w:val="20"/>
          <w:szCs w:val="20"/>
          <w:color w:val="auto"/>
        </w:rPr>
      </w:pPr>
    </w:p>
    <w:p>
      <w:pPr>
        <w:ind w:right="20" w:firstLine="416"/>
        <w:spacing w:after="0" w:line="255" w:lineRule="auto"/>
        <w:rPr>
          <w:sz w:val="20"/>
          <w:szCs w:val="20"/>
          <w:color w:val="auto"/>
        </w:rPr>
      </w:pPr>
      <w:r>
        <w:rPr>
          <w:rFonts w:ascii="Arial" w:cs="Arial" w:eastAsia="Arial" w:hAnsi="Arial"/>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Third 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92" w:lineRule="exact"/>
        <w:rPr>
          <w:sz w:val="20"/>
          <w:szCs w:val="20"/>
          <w:color w:val="auto"/>
        </w:rPr>
      </w:pPr>
    </w:p>
    <w:p>
      <w:pPr>
        <w:ind w:right="20" w:firstLine="416"/>
        <w:spacing w:after="0" w:line="271"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preclinical and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such as the recent COVID-19 pandemic. If our current third-party manufacturers cannot perform as agreed, we may be required to replace such manufacturers and we may be unable to replace them on a timely basis or at all.</w:t>
      </w:r>
    </w:p>
    <w:p>
      <w:pPr>
        <w:spacing w:after="0" w:line="178" w:lineRule="exact"/>
        <w:rPr>
          <w:sz w:val="20"/>
          <w:szCs w:val="20"/>
          <w:color w:val="auto"/>
        </w:rPr>
      </w:pPr>
    </w:p>
    <w:p>
      <w:pPr>
        <w:ind w:right="60" w:firstLine="416"/>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spacing w:after="0" w:line="241" w:lineRule="exact"/>
        <w:rPr>
          <w:sz w:val="20"/>
          <w:szCs w:val="20"/>
          <w:color w:val="auto"/>
        </w:rPr>
      </w:pPr>
    </w:p>
    <w:p>
      <w:pPr>
        <w:ind w:left="420" w:right="80"/>
        <w:spacing w:after="0" w:line="308" w:lineRule="auto"/>
        <w:rPr>
          <w:sz w:val="20"/>
          <w:szCs w:val="20"/>
          <w:color w:val="auto"/>
        </w:rPr>
      </w:pPr>
      <w:r>
        <w:rPr>
          <w:rFonts w:ascii="Arial" w:cs="Arial" w:eastAsia="Arial" w:hAnsi="Arial"/>
          <w:sz w:val="17"/>
          <w:szCs w:val="17"/>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38" w:lineRule="exact"/>
        <w:rPr>
          <w:sz w:val="20"/>
          <w:szCs w:val="20"/>
          <w:color w:val="auto"/>
        </w:rPr>
      </w:pPr>
    </w:p>
    <w:p>
      <w:pPr>
        <w:ind w:right="160" w:firstLine="416"/>
        <w:spacing w:after="0" w:line="255" w:lineRule="auto"/>
        <w:rPr>
          <w:sz w:val="20"/>
          <w:szCs w:val="20"/>
          <w:color w:val="auto"/>
        </w:rPr>
      </w:pPr>
      <w:r>
        <w:rPr>
          <w:rFonts w:ascii="Arial" w:cs="Arial" w:eastAsia="Arial" w:hAnsi="Arial"/>
          <w:sz w:val="18"/>
          <w:szCs w:val="18"/>
          <w:color w:val="auto"/>
        </w:rPr>
        <w:t>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ind w:right="40" w:firstLine="416"/>
        <w:spacing w:after="0" w:line="279" w:lineRule="auto"/>
        <w:rPr>
          <w:sz w:val="20"/>
          <w:szCs w:val="20"/>
          <w:color w:val="auto"/>
        </w:rPr>
      </w:pPr>
      <w:r>
        <w:rPr>
          <w:rFonts w:ascii="Arial" w:cs="Arial" w:eastAsia="Arial" w:hAnsi="Arial"/>
          <w:sz w:val="17"/>
          <w:szCs w:val="17"/>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36" w:lineRule="exact"/>
        <w:rPr>
          <w:sz w:val="20"/>
          <w:szCs w:val="20"/>
          <w:color w:val="auto"/>
        </w:rPr>
      </w:pPr>
    </w:p>
    <w:p>
      <w:pPr>
        <w:ind w:left="820" w:right="500" w:hanging="407"/>
        <w:spacing w:after="0" w:line="277"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ectPr>
          <w:pgSz w:w="11900" w:h="16838" w:orient="portrait"/>
          <w:cols w:equalWidth="0" w:num="1">
            <w:col w:w="11220"/>
          </w:cols>
          <w:pgMar w:left="320" w:top="557" w:right="359" w:bottom="1440" w:gutter="0" w:footer="0" w:header="0"/>
        </w:sectPr>
      </w:pPr>
    </w:p>
    <w:p>
      <w:pPr>
        <w:spacing w:after="0" w:line="3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52" w:lineRule="exact"/>
        <w:rPr>
          <w:sz w:val="20"/>
          <w:szCs w:val="20"/>
          <w:color w:val="auto"/>
        </w:rPr>
      </w:pPr>
    </w:p>
    <w:p>
      <w:pPr>
        <w:sectPr>
          <w:pgSz w:w="11900" w:h="16838" w:orient="portrait"/>
          <w:cols w:equalWidth="0" w:num="2">
            <w:col w:w="480" w:space="340"/>
            <w:col w:w="10400"/>
          </w:cols>
          <w:pgMar w:left="320" w:top="557" w:right="359" w:bottom="1440" w:gutter="0" w:footer="0" w:header="0"/>
          <w:type w:val="continuous"/>
        </w:sectPr>
      </w:pPr>
    </w:p>
    <w:p>
      <w:pPr>
        <w:ind w:left="820" w:right="440" w:hanging="407"/>
        <w:spacing w:after="0" w:line="277"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5" w:lineRule="exact"/>
        <w:rPr>
          <w:rFonts w:ascii="Arial" w:cs="Arial" w:eastAsia="Arial" w:hAnsi="Arial"/>
          <w:sz w:val="18"/>
          <w:szCs w:val="18"/>
          <w:color w:val="auto"/>
        </w:rPr>
      </w:pPr>
    </w:p>
    <w:p>
      <w:pPr>
        <w:ind w:left="820" w:right="60" w:hanging="407"/>
        <w:spacing w:after="0" w:line="263"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48" w:lineRule="exact"/>
        <w:rPr>
          <w:rFonts w:ascii="Arial" w:cs="Arial" w:eastAsia="Arial" w:hAnsi="Arial"/>
          <w:sz w:val="18"/>
          <w:szCs w:val="18"/>
          <w:color w:val="auto"/>
        </w:rPr>
      </w:pPr>
    </w:p>
    <w:p>
      <w:pPr>
        <w:ind w:left="820" w:right="660" w:hanging="407"/>
        <w:spacing w:after="0" w:line="277"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35" w:lineRule="exact"/>
        <w:rPr>
          <w:rFonts w:ascii="Arial" w:cs="Arial" w:eastAsia="Arial" w:hAnsi="Arial"/>
          <w:sz w:val="18"/>
          <w:szCs w:val="18"/>
          <w:color w:val="auto"/>
        </w:rPr>
      </w:pPr>
    </w:p>
    <w:p>
      <w:pPr>
        <w:ind w:left="820" w:hanging="407"/>
        <w:spacing w:after="0" w:line="311" w:lineRule="auto"/>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13" w:lineRule="exact"/>
        <w:rPr>
          <w:rFonts w:ascii="Arial" w:cs="Arial" w:eastAsia="Arial" w:hAnsi="Arial"/>
          <w:sz w:val="16"/>
          <w:szCs w:val="16"/>
          <w:color w:val="auto"/>
        </w:rPr>
      </w:pPr>
    </w:p>
    <w:p>
      <w:pPr>
        <w:ind w:left="820" w:right="220" w:hanging="407"/>
        <w:spacing w:after="0" w:line="263"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48" w:lineRule="exact"/>
        <w:rPr>
          <w:rFonts w:ascii="Arial" w:cs="Arial" w:eastAsia="Arial" w:hAnsi="Arial"/>
          <w:sz w:val="18"/>
          <w:szCs w:val="18"/>
          <w:color w:val="auto"/>
        </w:rPr>
      </w:pPr>
    </w:p>
    <w:p>
      <w:pPr>
        <w:ind w:left="820" w:right="680" w:hanging="407"/>
        <w:spacing w:after="0" w:line="277"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35" w:lineRule="exact"/>
        <w:rPr>
          <w:rFonts w:ascii="Arial" w:cs="Arial" w:eastAsia="Arial" w:hAnsi="Arial"/>
          <w:sz w:val="18"/>
          <w:szCs w:val="18"/>
          <w:color w:val="auto"/>
        </w:rPr>
      </w:pPr>
    </w:p>
    <w:p>
      <w:pPr>
        <w:ind w:left="820" w:hanging="407"/>
        <w:spacing w:after="0"/>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product candidates in the most efficient manner or at all; and</w:t>
      </w:r>
    </w:p>
    <w:p>
      <w:pPr>
        <w:spacing w:after="0" w:line="113" w:lineRule="exact"/>
        <w:rPr>
          <w:rFonts w:ascii="Arial" w:cs="Arial" w:eastAsia="Arial" w:hAnsi="Arial"/>
          <w:sz w:val="16"/>
          <w:szCs w:val="16"/>
          <w:color w:val="auto"/>
        </w:rPr>
      </w:pPr>
    </w:p>
    <w:p>
      <w:pPr>
        <w:ind w:left="820" w:right="120" w:hanging="407"/>
        <w:spacing w:after="0" w:line="277"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143" w:lineRule="exact"/>
        <w:rPr>
          <w:sz w:val="20"/>
          <w:szCs w:val="20"/>
          <w:color w:val="auto"/>
        </w:rPr>
      </w:pPr>
    </w:p>
    <w:p>
      <w:pPr>
        <w:ind w:right="360" w:firstLine="416"/>
        <w:spacing w:after="0" w:line="277" w:lineRule="auto"/>
        <w:rPr>
          <w:sz w:val="20"/>
          <w:szCs w:val="20"/>
          <w:color w:val="auto"/>
        </w:rPr>
      </w:pPr>
      <w:r>
        <w:rPr>
          <w:rFonts w:ascii="Arial" w:cs="Arial" w:eastAsia="Arial" w:hAnsi="Arial"/>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left="420" w:right="180"/>
        <w:spacing w:after="0" w:line="286"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30" w:lineRule="exact"/>
        <w:rPr>
          <w:sz w:val="20"/>
          <w:szCs w:val="20"/>
          <w:color w:val="auto"/>
        </w:rPr>
      </w:pPr>
    </w:p>
    <w:p>
      <w:pPr>
        <w:ind w:right="40" w:firstLine="416"/>
        <w:spacing w:after="0" w:line="254" w:lineRule="auto"/>
        <w:rPr>
          <w:sz w:val="20"/>
          <w:szCs w:val="20"/>
          <w:color w:val="auto"/>
        </w:rPr>
      </w:pPr>
      <w:r>
        <w:rPr>
          <w:rFonts w:ascii="Arial" w:cs="Arial" w:eastAsia="Arial" w:hAnsi="Arial"/>
          <w:sz w:val="18"/>
          <w:szCs w:val="18"/>
          <w:color w:val="auto"/>
        </w:rPr>
        <w:t>The total addressable market opportunity for PRT543, PRT811, PRT1419 and any other product candidates we may develop will ultimately depend upon, among other things, the diagnosis criteria included in the final labeling for each such product candidate if our product candidates are approved for sale for these indications, acceptance by the medical community, patient access, drug and any related companion diagnostic pricing and their reimbursement. We may initially seek regulatory approval of some of our product candidates as therapies for relapsed or refractory patients. The number of patients in our targeted commercial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type w:val="continuous"/>
        </w:sectPr>
      </w:pPr>
    </w:p>
    <w:bookmarkStart w:id="45" w:name="page46"/>
    <w:bookmarkEnd w:id="45"/>
    <w:p>
      <w:pPr>
        <w:ind w:left="420"/>
        <w:spacing w:after="0" w:line="277"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35" w:lineRule="exact"/>
        <w:rPr>
          <w:sz w:val="20"/>
          <w:szCs w:val="20"/>
          <w:color w:val="auto"/>
        </w:rPr>
      </w:pPr>
    </w:p>
    <w:p>
      <w:pPr>
        <w:ind w:right="140" w:firstLine="416"/>
        <w:spacing w:after="0" w:line="296" w:lineRule="auto"/>
        <w:rPr>
          <w:sz w:val="20"/>
          <w:szCs w:val="20"/>
          <w:color w:val="auto"/>
        </w:rPr>
      </w:pPr>
      <w:r>
        <w:rPr>
          <w:rFonts w:ascii="Arial" w:cs="Arial" w:eastAsia="Arial" w:hAnsi="Arial"/>
          <w:sz w:val="16"/>
          <w:szCs w:val="16"/>
          <w:color w:val="auto"/>
        </w:rPr>
        <w:t>If any of our product candidates receives marketing approval, it may nonetheless fail to gain sufficient market acceptance by physicians, patients, third-party payors and others in the medical community. For example, current cancer treatments, such as existing targeted therapies, chemotherapy, and radiation therapy, are well established in the medical community, and doctors may continue to rely on these treatments.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26" w:lineRule="exact"/>
        <w:rPr>
          <w:sz w:val="20"/>
          <w:szCs w:val="20"/>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acceptance of our product candidates as front-line treatment for various indications;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 particular compared to alternative treatments;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the FDA;</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0"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publicity for our product candidates and competing products and treatments;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existence of distribution and/or use restrictions, such as through a REMS;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of third-party payor coverage and adequate reimbursement;</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any marketing approval in relation to other product approvals;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support from patient advocacy groups; and</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306" w:lineRule="exact"/>
        <w:rPr>
          <w:sz w:val="20"/>
          <w:szCs w:val="20"/>
          <w:color w:val="auto"/>
        </w:rPr>
      </w:pPr>
    </w:p>
    <w:p>
      <w:pPr>
        <w:jc w:val="both"/>
        <w:ind w:left="420" w:right="140"/>
        <w:spacing w:after="0" w:line="286"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sales and marketing capabilities or enter into agreements with third parties to market and sell our products, we may not be able to generate revenue.</w:t>
      </w:r>
    </w:p>
    <w:p>
      <w:pPr>
        <w:spacing w:after="0" w:line="30" w:lineRule="exact"/>
        <w:rPr>
          <w:sz w:val="20"/>
          <w:szCs w:val="20"/>
          <w:color w:val="auto"/>
        </w:rPr>
      </w:pPr>
    </w:p>
    <w:p>
      <w:pPr>
        <w:ind w:right="120" w:firstLine="416"/>
        <w:spacing w:after="0" w:line="263" w:lineRule="auto"/>
        <w:rPr>
          <w:sz w:val="20"/>
          <w:szCs w:val="20"/>
          <w:color w:val="auto"/>
        </w:rPr>
      </w:pPr>
      <w:r>
        <w:rPr>
          <w:rFonts w:ascii="Arial" w:cs="Arial" w:eastAsia="Arial" w:hAnsi="Arial"/>
          <w:sz w:val="18"/>
          <w:szCs w:val="18"/>
          <w:color w:val="auto"/>
        </w:rPr>
        <w:t>We currently have no sales or marketing infrastructure and have no experience in the sale, marketing or distribution of pharmaceutical products. To achieve commercial success for any product for which we obtain marketing approval, we will need to establish sales, marketing and distribution capabilities, either ourselves or through collaboration or other arrangements with third parties.</w:t>
      </w:r>
    </w:p>
    <w:p>
      <w:pPr>
        <w:spacing w:after="0" w:line="184" w:lineRule="exact"/>
        <w:rPr>
          <w:sz w:val="20"/>
          <w:szCs w:val="20"/>
          <w:color w:val="auto"/>
        </w:rPr>
      </w:pPr>
    </w:p>
    <w:p>
      <w:pPr>
        <w:ind w:right="20" w:firstLine="416"/>
        <w:spacing w:after="0" w:line="301" w:lineRule="auto"/>
        <w:rPr>
          <w:sz w:val="20"/>
          <w:szCs w:val="20"/>
          <w:color w:val="auto"/>
        </w:rPr>
      </w:pPr>
      <w:r>
        <w:rPr>
          <w:rFonts w:ascii="Arial" w:cs="Arial" w:eastAsia="Arial" w:hAnsi="Arial"/>
          <w:sz w:val="16"/>
          <w:szCs w:val="16"/>
          <w:color w:val="auto"/>
        </w:rPr>
        <w:t>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are expected to be costly, and our investment would be lost if we cannot retain or reposition our sales and marketing personnel.</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840" w:hanging="427"/>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raise financing necessary to build our commercialization infrastructure;</w:t>
      </w:r>
    </w:p>
    <w:p>
      <w:pPr>
        <w:spacing w:after="0" w:line="117" w:lineRule="exact"/>
        <w:rPr>
          <w:rFonts w:ascii="Arial" w:cs="Arial" w:eastAsia="Arial" w:hAnsi="Arial"/>
          <w:sz w:val="18"/>
          <w:szCs w:val="18"/>
          <w:color w:val="auto"/>
        </w:rPr>
      </w:pPr>
    </w:p>
    <w:p>
      <w:pPr>
        <w:ind w:left="840" w:right="320" w:hanging="427"/>
        <w:spacing w:after="0" w:line="277" w:lineRule="auto"/>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an adequate number of physicians as to the benefits of our products;</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unfavorable third-party payor coverage and reimbursement in any geography;</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733" w:right="399" w:bottom="1440" w:gutter="0" w:footer="0" w:header="0"/>
        </w:sectPr>
      </w:pPr>
    </w:p>
    <w:bookmarkStart w:id="46" w:name="page47"/>
    <w:bookmarkEnd w:id="46"/>
    <w:p>
      <w:pPr>
        <w:ind w:left="840" w:right="340" w:hanging="427"/>
        <w:spacing w:after="0" w:line="277" w:lineRule="auto"/>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40" w:firstLine="416"/>
        <w:spacing w:after="0" w:line="273" w:lineRule="auto"/>
        <w:rPr>
          <w:sz w:val="20"/>
          <w:szCs w:val="20"/>
          <w:color w:val="auto"/>
        </w:rPr>
      </w:pPr>
      <w:r>
        <w:rPr>
          <w:rFonts w:ascii="Arial" w:cs="Arial" w:eastAsia="Arial" w:hAnsi="Arial"/>
          <w:sz w:val="17"/>
          <w:szCs w:val="17"/>
          <w:color w:val="auto"/>
        </w:rPr>
        <w:t>If we enter into arrangements with third parties to perform sales and marketing services, our product revenues and our profitability, if any, are likely to be lower than if we were to market and sell any products that we develop ourselves. In addition, we may not be successful in entering into arrangements with third parties to market and sell our product candidates or may be unable to do so on terms that are acceptable to us. We likely will have little control over such third parties, and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any of our product candidates for which we receive marketing approval.</w:t>
      </w:r>
    </w:p>
    <w:p>
      <w:pPr>
        <w:spacing w:after="0" w:line="272" w:lineRule="exact"/>
        <w:rPr>
          <w:sz w:val="20"/>
          <w:szCs w:val="20"/>
          <w:color w:val="auto"/>
        </w:rPr>
      </w:pPr>
    </w:p>
    <w:p>
      <w:pPr>
        <w:ind w:left="420" w:right="3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60" w:firstLine="416"/>
        <w:spacing w:after="0" w:line="269" w:lineRule="auto"/>
        <w:rPr>
          <w:sz w:val="20"/>
          <w:szCs w:val="20"/>
          <w:color w:val="auto"/>
        </w:rPr>
      </w:pPr>
      <w:r>
        <w:rPr>
          <w:rFonts w:ascii="Arial" w:cs="Arial" w:eastAsia="Arial" w:hAnsi="Arial"/>
          <w:sz w:val="17"/>
          <w:szCs w:val="17"/>
          <w:color w:val="auto"/>
        </w:rPr>
        <w:t>The development and commercialization of pharmaceutical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existing or emerging biotechnology companies, academic research institutions and governmental agencies and public and private research institutions worldwide. There are a number of pharmaceutical and biotechnology companies that currently are pursuing the development of precision oncology therapies optimized to effectively target the key driver mechanisms in cancers with high unmet need, including Black Diamond Therapeutics, Inc., Constellation Pharmaceuticals, Inc., Kronos Bio, Inc., Repare Therapeutics Inc., Revolution Medicines, Inc., Relay Therapeutics, Inc., and Zentalis Pharmaceuticals, LLC. In addition, we may face competition from companies pursuing the development of product candidates that are based on targeting pathways of adaptive resistance, including Amgen Inc., or Amgen, AbbVie Inc., or AbbVie, AstraZeneca PLC, or AstraZeneca, GlaxoSmithKline plc, or GlaxoSmithKline, Johnson &amp; Johnson, Pfizer Inc., or Pfizer, Bayer AG, or Bayer, and Novartis International AG, or Novartis.</w:t>
      </w:r>
    </w:p>
    <w:p>
      <w:pPr>
        <w:spacing w:after="0" w:line="185" w:lineRule="exact"/>
        <w:rPr>
          <w:sz w:val="20"/>
          <w:szCs w:val="20"/>
          <w:color w:val="auto"/>
        </w:rPr>
      </w:pPr>
    </w:p>
    <w:p>
      <w:pPr>
        <w:ind w:right="120" w:firstLine="416"/>
        <w:spacing w:after="0" w:line="272" w:lineRule="auto"/>
        <w:rPr>
          <w:sz w:val="20"/>
          <w:szCs w:val="20"/>
          <w:color w:val="auto"/>
        </w:rPr>
      </w:pPr>
      <w:r>
        <w:rPr>
          <w:rFonts w:ascii="Arial" w:cs="Arial" w:eastAsia="Arial" w:hAnsi="Arial"/>
          <w:sz w:val="17"/>
          <w:szCs w:val="17"/>
          <w:color w:val="auto"/>
        </w:rPr>
        <w:t>Specifically, with respect to our lead product candidates, we expect that our current product candidates PRT543 and PRT811 will compete against other PRMT5 inhibitors which are currently in clinical development, including those of GlaxoSmithKline (GSK3326595), Johnson &amp; Johnson (JNJ-64619178) and Pfizer (PF-06939999). Development efforts and clinical results of these other product candidates may be unsuccessful, which could result in a negative perception of PRMT5 inhibitors, for instance, and negatively impact the regulatory approval process of our product candidates, which would have a material and adverse effect on our business. For our product candidate PRT1419, other companies are developing MCL1 inhibitors with monotherapy and/or combination trials ongoing, including Amgen (AMG176), AstraZeneca (AZD5991) and Novartis (MIK665). For our preclinical CDK9 program, AstraZeneca, Bayer and Kronos Bio have CDK9 programs in Phase 1 clinical trials.</w:t>
      </w:r>
    </w:p>
    <w:p>
      <w:pPr>
        <w:spacing w:after="0" w:line="177" w:lineRule="exact"/>
        <w:rPr>
          <w:sz w:val="20"/>
          <w:szCs w:val="20"/>
          <w:color w:val="auto"/>
        </w:rPr>
      </w:pPr>
    </w:p>
    <w:p>
      <w:pPr>
        <w:ind w:right="40" w:firstLine="416"/>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sales and marketing personnel, establishing clinical trial sites and patient registration for clinical trials, as well as in acquiring technologies complementary to, or necessary for, our programs.</w:t>
      </w:r>
    </w:p>
    <w:p>
      <w:pPr>
        <w:spacing w:after="0" w:line="177"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Furthermore, we also face competition more broadly across the oncology market for cost-effective and reimbursable cancer treatments.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7" w:name="page48"/>
    <w:bookmarkEnd w:id="47"/>
    <w:p>
      <w:pPr>
        <w:ind w:firstLine="416"/>
        <w:spacing w:after="0" w:line="29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to administer, are less expensive or with a more favorable labeling than our current or future product candidates. Our competitors also may obtain FDA, foreign regulatory authority, or other marketing or regulatory approval for their products more rapidly than any approval we may obtain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59" w:lineRule="exact"/>
        <w:rPr>
          <w:sz w:val="20"/>
          <w:szCs w:val="20"/>
          <w:color w:val="auto"/>
        </w:rPr>
      </w:pPr>
    </w:p>
    <w:p>
      <w:pPr>
        <w:ind w:left="420" w:right="3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right="20" w:firstLine="416"/>
        <w:spacing w:after="0" w:line="253" w:lineRule="auto"/>
        <w:rPr>
          <w:sz w:val="20"/>
          <w:szCs w:val="20"/>
          <w:color w:val="auto"/>
        </w:rPr>
      </w:pPr>
      <w:r>
        <w:rPr>
          <w:rFonts w:ascii="Arial" w:cs="Arial" w:eastAsia="Arial" w:hAnsi="Arial"/>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 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194" w:lineRule="exact"/>
        <w:rPr>
          <w:sz w:val="20"/>
          <w:szCs w:val="20"/>
          <w:color w:val="auto"/>
        </w:rPr>
      </w:pPr>
    </w:p>
    <w:p>
      <w:pPr>
        <w:ind w:right="120" w:firstLine="416"/>
        <w:spacing w:after="0" w:line="255" w:lineRule="auto"/>
        <w:rPr>
          <w:sz w:val="20"/>
          <w:szCs w:val="20"/>
          <w:color w:val="auto"/>
        </w:rPr>
      </w:pPr>
      <w:r>
        <w:rPr>
          <w:rFonts w:ascii="Arial" w:cs="Arial" w:eastAsia="Arial" w:hAnsi="Arial"/>
          <w:sz w:val="18"/>
          <w:szCs w:val="18"/>
          <w:color w:val="auto"/>
        </w:rPr>
        <w:t>Our ability to commercialize any product candidates successfully also will depend in part on the extent to which coverage and adequate reimbursement for these products and related treatments will be available from third-party payors, including government healthcare programs, private health insurers and other organizations. Third-party payors decide which medications they will pay for and establish reimbursement levels. In the United States, the principal decisions about reimbursement for new medicines are typically made by the CMS, which decides whether and to what extent a new medicine will be covered and reimbursed under Medicare. Private payors often, but not always, follow CMS’s decisions regarding coverage and reimbursement.</w:t>
      </w:r>
    </w:p>
    <w:p>
      <w:pPr>
        <w:spacing w:after="0" w:line="192" w:lineRule="exact"/>
        <w:rPr>
          <w:sz w:val="20"/>
          <w:szCs w:val="20"/>
          <w:color w:val="auto"/>
        </w:rPr>
      </w:pPr>
    </w:p>
    <w:p>
      <w:pPr>
        <w:ind w:right="80" w:firstLine="416"/>
        <w:spacing w:after="0" w:line="290" w:lineRule="auto"/>
        <w:rPr>
          <w:sz w:val="20"/>
          <w:szCs w:val="20"/>
          <w:color w:val="auto"/>
        </w:rPr>
      </w:pPr>
      <w:r>
        <w:rPr>
          <w:rFonts w:ascii="Arial" w:cs="Arial" w:eastAsia="Arial" w:hAnsi="Arial"/>
          <w:sz w:val="16"/>
          <w:szCs w:val="16"/>
          <w:color w:val="auto"/>
        </w:rPr>
        <w:t>A primary trend in the U.S. healthcare industry and elsewhere is cost containment.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coverage and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65"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 While we have not yet developed any companion diagnostic test for our product candidates, if we do, there is significant uncertainty regarding our ability to obtain coverage and adequate reimbursement for the same reasons applicable to our product candidates.</w:t>
      </w:r>
    </w:p>
    <w:p>
      <w:pPr>
        <w:spacing w:after="0" w:line="188" w:lineRule="exact"/>
        <w:rPr>
          <w:sz w:val="20"/>
          <w:szCs w:val="20"/>
          <w:color w:val="auto"/>
        </w:rPr>
      </w:pPr>
    </w:p>
    <w:p>
      <w:pPr>
        <w:ind w:right="20" w:firstLine="416"/>
        <w:spacing w:after="0" w:line="271" w:lineRule="auto"/>
        <w:rPr>
          <w:sz w:val="20"/>
          <w:szCs w:val="20"/>
          <w:color w:val="auto"/>
        </w:rPr>
      </w:pPr>
      <w:r>
        <w:rPr>
          <w:rFonts w:ascii="Arial" w:cs="Arial" w:eastAsia="Arial" w:hAnsi="Arial"/>
          <w:sz w:val="17"/>
          <w:szCs w:val="17"/>
          <w:color w:val="auto"/>
        </w:rPr>
        <w:t>There may also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8" w:name="page49"/>
    <w:bookmarkEnd w:id="48"/>
    <w:p>
      <w:pPr>
        <w:ind w:right="120"/>
        <w:spacing w:after="0" w:line="259" w:lineRule="auto"/>
        <w:rPr>
          <w:sz w:val="20"/>
          <w:szCs w:val="20"/>
          <w:color w:val="auto"/>
        </w:rPr>
      </w:pPr>
      <w:r>
        <w:rPr>
          <w:rFonts w:ascii="Arial" w:cs="Arial" w:eastAsia="Arial" w:hAnsi="Arial"/>
          <w:sz w:val="18"/>
          <w:szCs w:val="18"/>
          <w:color w:val="auto"/>
        </w:rPr>
        <w:t>the United States. Third-party payors often rely upon Medicare coverage policy and payment limitations in setting their own reimbursement policies, but also have their own methods and approval process apart from Medicare determinations. Our inability to promptly obtain coverage and adequate reimbursement rates from third-party payors for any approved products that we develop could have a material adverse effect on our operating results, our ability to raise capital needed to commercialize products and our overall financial condition.</w:t>
      </w:r>
    </w:p>
    <w:p>
      <w:pPr>
        <w:spacing w:after="0" w:line="187" w:lineRule="exact"/>
        <w:rPr>
          <w:sz w:val="20"/>
          <w:szCs w:val="20"/>
          <w:color w:val="auto"/>
        </w:rPr>
      </w:pPr>
    </w:p>
    <w:p>
      <w:pPr>
        <w:ind w:left="420" w:right="3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2" w:lineRule="exact"/>
        <w:rPr>
          <w:sz w:val="20"/>
          <w:szCs w:val="20"/>
          <w:color w:val="auto"/>
        </w:rPr>
      </w:pPr>
    </w:p>
    <w:p>
      <w:pPr>
        <w:ind w:right="240" w:firstLine="416"/>
        <w:spacing w:after="0" w:line="311"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if we commercialize any products that we may develop. If we cannot successfully defend ourselves against any claims that our product candidates or products caused injuries, we will incur substantial liabilities. Regardless of merit or eventual outcome, liability claims may result in:</w:t>
      </w:r>
    </w:p>
    <w:p>
      <w:pPr>
        <w:spacing w:after="0" w:line="41" w:lineRule="exact"/>
        <w:rPr>
          <w:sz w:val="20"/>
          <w:szCs w:val="20"/>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40" w:firstLine="416"/>
        <w:spacing w:after="0" w:line="257" w:lineRule="auto"/>
        <w:rPr>
          <w:sz w:val="20"/>
          <w:szCs w:val="20"/>
          <w:color w:val="auto"/>
        </w:rPr>
      </w:pPr>
      <w:r>
        <w:rPr>
          <w:rFonts w:ascii="Arial" w:cs="Arial" w:eastAsia="Arial" w:hAnsi="Arial"/>
          <w:sz w:val="18"/>
          <w:szCs w:val="18"/>
          <w:color w:val="auto"/>
        </w:rPr>
        <w:t>Our current product liability insurance coverage for the United States and certain other jurisdictions may not be adequate to cover all liabilities that we may incur. We likely will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successful product liability claim or series of claims brought against us could decrease our cash and adversely affect our business and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Our Operations</w:t>
      </w:r>
    </w:p>
    <w:p>
      <w:pPr>
        <w:spacing w:after="0" w:line="121"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and to attract, retain and motivate qualified personnel and manage our human capital.</w:t>
      </w:r>
    </w:p>
    <w:p>
      <w:pPr>
        <w:spacing w:after="0" w:line="62"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Kris Vaddi, Ph.D., our founder and Chief Executive Officer, as well as the other principal members of our management, scientific and clinical team. We currently do not maintain key person insurance on these individuals. Although we have entered into employment agreements with our executive officers, each of them may terminate their employment with us at any time.</w:t>
      </w:r>
    </w:p>
    <w:p>
      <w:pPr>
        <w:spacing w:after="0" w:line="188" w:lineRule="exact"/>
        <w:rPr>
          <w:sz w:val="20"/>
          <w:szCs w:val="20"/>
          <w:color w:val="auto"/>
        </w:rPr>
      </w:pPr>
    </w:p>
    <w:p>
      <w:pPr>
        <w:ind w:right="80" w:firstLine="416"/>
        <w:spacing w:after="0" w:line="289" w:lineRule="auto"/>
        <w:rPr>
          <w:sz w:val="20"/>
          <w:szCs w:val="20"/>
          <w:color w:val="auto"/>
        </w:rPr>
      </w:pPr>
      <w:r>
        <w:rPr>
          <w:rFonts w:ascii="Arial" w:cs="Arial" w:eastAsia="Arial" w:hAnsi="Arial"/>
          <w:sz w:val="16"/>
          <w:szCs w:val="16"/>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 We conduct our operations in the greater Delaware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w:t>
      </w: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9" w:name="page50"/>
    <w:bookmarkEnd w:id="49"/>
    <w:p>
      <w:pPr>
        <w:ind w:left="420" w:right="60"/>
        <w:spacing w:after="0" w:line="308" w:lineRule="auto"/>
        <w:rPr>
          <w:sz w:val="20"/>
          <w:szCs w:val="20"/>
          <w:color w:val="auto"/>
        </w:rPr>
      </w:pPr>
      <w:r>
        <w:rPr>
          <w:rFonts w:ascii="Arial" w:cs="Arial" w:eastAsia="Arial" w:hAnsi="Arial"/>
          <w:sz w:val="17"/>
          <w:szCs w:val="17"/>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1" w:lineRule="exact"/>
        <w:rPr>
          <w:sz w:val="20"/>
          <w:szCs w:val="20"/>
          <w:color w:val="auto"/>
        </w:rPr>
      </w:pPr>
    </w:p>
    <w:p>
      <w:pPr>
        <w:ind w:right="100" w:firstLine="416"/>
        <w:spacing w:after="0" w:line="254" w:lineRule="auto"/>
        <w:rPr>
          <w:sz w:val="20"/>
          <w:szCs w:val="20"/>
          <w:color w:val="auto"/>
        </w:rPr>
      </w:pPr>
      <w:r>
        <w:rPr>
          <w:rFonts w:ascii="Arial" w:cs="Arial" w:eastAsia="Arial" w:hAnsi="Arial"/>
          <w:sz w:val="18"/>
          <w:szCs w:val="18"/>
          <w:color w:val="auto"/>
        </w:rPr>
        <w:t>As of March 31, 2021, we had 105 full-time employees.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151" w:lineRule="exact"/>
        <w:rPr>
          <w:sz w:val="20"/>
          <w:szCs w:val="20"/>
          <w:color w:val="auto"/>
        </w:rPr>
      </w:pPr>
    </w:p>
    <w:p>
      <w:pPr>
        <w:ind w:right="120" w:firstLine="416"/>
        <w:spacing w:after="0" w:line="290" w:lineRule="auto"/>
        <w:rPr>
          <w:sz w:val="20"/>
          <w:szCs w:val="20"/>
          <w:color w:val="auto"/>
        </w:rPr>
      </w:pPr>
      <w:r>
        <w:rPr>
          <w:rFonts w:ascii="Arial" w:cs="Arial" w:eastAsia="Arial" w:hAnsi="Arial"/>
          <w:sz w:val="16"/>
          <w:szCs w:val="16"/>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PRT543, PRT811 and PRT1419,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PRT543, PRT811, PRT1419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25" w:lineRule="exact"/>
        <w:rPr>
          <w:sz w:val="20"/>
          <w:szCs w:val="20"/>
          <w:color w:val="auto"/>
        </w:rPr>
      </w:pPr>
    </w:p>
    <w:p>
      <w:pPr>
        <w:ind w:right="40" w:firstLine="416"/>
        <w:spacing w:after="0" w:line="263" w:lineRule="auto"/>
        <w:rPr>
          <w:sz w:val="20"/>
          <w:szCs w:val="20"/>
          <w:color w:val="auto"/>
        </w:rPr>
      </w:pPr>
      <w:r>
        <w:rPr>
          <w:rFonts w:ascii="Arial" w:cs="Arial" w:eastAsia="Arial" w:hAnsi="Arial"/>
          <w:sz w:val="18"/>
          <w:szCs w:val="18"/>
          <w:color w:val="auto"/>
        </w:rPr>
        <w:t>If we are not able to effectively manage growth and expand our organization, we may not be able to successfully implement the tasks necessary to further develop and commercialize PRT543, PRT811 or PRT1419, our other pipeline product candidates or any future product candidates and, accordingly, may not achieve our research, development and commercialization goals.</w:t>
      </w:r>
    </w:p>
    <w:p>
      <w:pPr>
        <w:spacing w:after="0" w:line="224" w:lineRule="exact"/>
        <w:rPr>
          <w:sz w:val="20"/>
          <w:szCs w:val="20"/>
          <w:color w:val="auto"/>
        </w:rPr>
      </w:pPr>
    </w:p>
    <w:p>
      <w:pPr>
        <w:ind w:left="420" w:right="60"/>
        <w:spacing w:after="0" w:line="308" w:lineRule="auto"/>
        <w:rPr>
          <w:sz w:val="20"/>
          <w:szCs w:val="20"/>
          <w:color w:val="auto"/>
        </w:rPr>
      </w:pPr>
      <w:r>
        <w:rPr>
          <w:rFonts w:ascii="Arial" w:cs="Arial" w:eastAsia="Arial" w:hAnsi="Arial"/>
          <w:sz w:val="17"/>
          <w:szCs w:val="17"/>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11"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51" w:lineRule="exact"/>
        <w:rPr>
          <w:sz w:val="20"/>
          <w:szCs w:val="20"/>
          <w:color w:val="auto"/>
        </w:rPr>
      </w:pPr>
    </w:p>
    <w:p>
      <w:pPr>
        <w:ind w:firstLine="416"/>
        <w:spacing w:after="0" w:line="253" w:lineRule="auto"/>
        <w:rPr>
          <w:sz w:val="20"/>
          <w:szCs w:val="20"/>
          <w:color w:val="auto"/>
        </w:rPr>
      </w:pPr>
      <w:r>
        <w:rPr>
          <w:rFonts w:ascii="Arial" w:cs="Arial" w:eastAsia="Arial" w:hAnsi="Arial"/>
          <w:sz w:val="18"/>
          <w:szCs w:val="18"/>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291" w:lineRule="exact"/>
        <w:rPr>
          <w:sz w:val="20"/>
          <w:szCs w:val="20"/>
          <w:color w:val="auto"/>
        </w:rPr>
      </w:pPr>
    </w:p>
    <w:p>
      <w:pPr>
        <w:ind w:left="420" w:right="140"/>
        <w:spacing w:after="0" w:line="263"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CROs, CMOs, or other vendors, contractors or consultants, may fail or suffer security breaches, cyber-attacks, loss or leakage of data and other disruptions, which could result in a material disruption of our development programs, compromise sensitive information related to our business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50" w:name="page51"/>
    <w:bookmarkEnd w:id="50"/>
    <w:p>
      <w:pPr>
        <w:ind w:left="420"/>
        <w:spacing w:after="0"/>
        <w:rPr>
          <w:sz w:val="20"/>
          <w:szCs w:val="20"/>
          <w:color w:val="auto"/>
        </w:rPr>
      </w:pPr>
      <w:r>
        <w:rPr>
          <w:rFonts w:ascii="Arial" w:cs="Arial" w:eastAsia="Arial" w:hAnsi="Arial"/>
          <w:sz w:val="17"/>
          <w:szCs w:val="17"/>
          <w:b w:val="1"/>
          <w:bCs w:val="1"/>
          <w:i w:val="1"/>
          <w:iCs w:val="1"/>
          <w:color w:val="auto"/>
        </w:rPr>
        <w:t>prevent us from accessing critical information, potentially exposing us to liability or otherwise adversely affecting our business.</w:t>
      </w:r>
    </w:p>
    <w:p>
      <w:pPr>
        <w:spacing w:after="0" w:line="129" w:lineRule="exact"/>
        <w:rPr>
          <w:sz w:val="20"/>
          <w:szCs w:val="20"/>
          <w:color w:val="auto"/>
        </w:rPr>
      </w:pPr>
    </w:p>
    <w:p>
      <w:pPr>
        <w:ind w:right="40" w:firstLine="416"/>
        <w:spacing w:after="0" w:line="270" w:lineRule="auto"/>
        <w:rPr>
          <w:sz w:val="20"/>
          <w:szCs w:val="20"/>
          <w:color w:val="auto"/>
        </w:rPr>
      </w:pPr>
      <w:r>
        <w:rPr>
          <w:rFonts w:ascii="Arial" w:cs="Arial" w:eastAsia="Arial" w:hAnsi="Arial"/>
          <w:sz w:val="17"/>
          <w:szCs w:val="17"/>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CROs, CMOs, vendors, and other contractors and consultants who have access to our confidential information. Our 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during the COVID-19 situation, could compromise our ability to perform these functions in a timely manner, which could harm our ability to conduct business or delay our financial reporting. Such failures could materially adversely affect our operating results and financial condition.</w:t>
      </w:r>
    </w:p>
    <w:p>
      <w:pPr>
        <w:spacing w:after="0" w:line="181" w:lineRule="exact"/>
        <w:rPr>
          <w:sz w:val="20"/>
          <w:szCs w:val="20"/>
          <w:color w:val="auto"/>
        </w:rPr>
      </w:pPr>
    </w:p>
    <w:p>
      <w:pPr>
        <w:ind w:firstLine="416"/>
        <w:spacing w:after="0" w:line="284" w:lineRule="auto"/>
        <w:rPr>
          <w:sz w:val="20"/>
          <w:szCs w:val="20"/>
          <w:color w:val="auto"/>
        </w:rPr>
      </w:pPr>
      <w:r>
        <w:rPr>
          <w:rFonts w:ascii="Arial" w:cs="Arial" w:eastAsia="Arial" w:hAnsi="Arial"/>
          <w:sz w:val="16"/>
          <w:szCs w:val="16"/>
          <w:color w:val="auto"/>
        </w:rPr>
        <w:t>Despite the implementation of security measures, given their size and complexity and the increasing amounts of confidential information that they maintain, our internal information technology systems and those of our third-party CROs, CMOs, vendors and other contractors and consultants are potentially vulnerable to breakdown or other damage or interruption from service interruptions, system malfunction, accidents by our employees or third party service providers, natural disasters, terrorism, war and telecommunication and electrical failures, as well as security breaches from inadvertent or intentional actions by our employees, third-party CROs, CMOs,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CROs, CMOs, vendors and other contractors and consultants, or lead to data leakage.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The COVID-19 pandemic is generally increasing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recent COVID-19 pandemic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third-party CROs, CMOs, vendors and other contractors and consultants, or inappropriate disclosure of confidential or proprietary information, we could incur liability and reputational damage and the further development and commercialization of PRT543, PRT811, PRT1419 or any future product candidates could be delayed. Any breach, loss or compromise of clinical trial participant personal data may also subject us to civil fines and penalties, including under HIPAA, and other relevant state and federal privacy laws in the United States. The costs related to significant security breaches or disruptions could be material and exceed the limits of the cybersecurity insurance we maintain against such risks. If the information technology systems of our third-party CROs, CMOs,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337" w:lineRule="exact"/>
        <w:rPr>
          <w:sz w:val="20"/>
          <w:szCs w:val="20"/>
          <w:color w:val="auto"/>
        </w:rPr>
      </w:pPr>
    </w:p>
    <w:p>
      <w:pPr>
        <w:ind w:right="100" w:firstLine="416"/>
        <w:spacing w:after="0" w:line="269" w:lineRule="auto"/>
        <w:rPr>
          <w:sz w:val="20"/>
          <w:szCs w:val="20"/>
          <w:color w:val="auto"/>
        </w:rPr>
      </w:pPr>
      <w:r>
        <w:rPr>
          <w:rFonts w:ascii="Arial" w:cs="Arial" w:eastAsia="Arial" w:hAnsi="Arial"/>
          <w:sz w:val="17"/>
          <w:szCs w:val="17"/>
          <w:color w:val="auto"/>
        </w:rPr>
        <w:t>While we have not experienced any such system failure, accident or security breach to date, and believe that our data protection efforts and our investment in information technology reduce the likelihood of such incidents in the future, we cannot assure you that our data protection efforts and our investment in information technology will prevent significant breakdowns, data leakages, breaches in our systems, or those of our third-party CROs, CMOs,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PRT543, PRT811, PRT1419 or any other product candidates could result in delays in our marketing approval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1" w:name="page52"/>
    <w:bookmarkEnd w:id="51"/>
    <w:p>
      <w:pPr>
        <w:ind w:right="20"/>
        <w:spacing w:after="0" w:line="257" w:lineRule="auto"/>
        <w:rPr>
          <w:sz w:val="20"/>
          <w:szCs w:val="20"/>
          <w:color w:val="auto"/>
        </w:rPr>
      </w:pPr>
      <w:r>
        <w:rPr>
          <w:rFonts w:ascii="Arial" w:cs="Arial" w:eastAsia="Arial" w:hAnsi="Arial"/>
          <w:sz w:val="18"/>
          <w:szCs w:val="18"/>
          <w:color w:val="auto"/>
        </w:rPr>
        <w:t>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201" w:lineRule="exact"/>
        <w:rPr>
          <w:sz w:val="20"/>
          <w:szCs w:val="20"/>
          <w:color w:val="auto"/>
        </w:rPr>
      </w:pPr>
    </w:p>
    <w:p>
      <w:pPr>
        <w:ind w:left="420" w:right="80"/>
        <w:spacing w:after="0" w:line="325"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 w:lineRule="exact"/>
        <w:rPr>
          <w:sz w:val="20"/>
          <w:szCs w:val="20"/>
          <w:color w:val="auto"/>
        </w:rPr>
      </w:pPr>
    </w:p>
    <w:p>
      <w:pPr>
        <w:ind w:right="60" w:firstLine="416"/>
        <w:spacing w:after="0" w:line="271" w:lineRule="auto"/>
        <w:rPr>
          <w:sz w:val="20"/>
          <w:szCs w:val="20"/>
          <w:color w:val="auto"/>
        </w:rPr>
      </w:pPr>
      <w:r>
        <w:rPr>
          <w:rFonts w:ascii="Arial" w:cs="Arial" w:eastAsia="Arial" w:hAnsi="Arial"/>
          <w:sz w:val="17"/>
          <w:szCs w:val="17"/>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24" w:lineRule="exact"/>
        <w:rPr>
          <w:sz w:val="20"/>
          <w:szCs w:val="20"/>
          <w:color w:val="auto"/>
        </w:rPr>
      </w:pPr>
    </w:p>
    <w:p>
      <w:pPr>
        <w:ind w:firstLine="416"/>
        <w:spacing w:after="0" w:line="284" w:lineRule="auto"/>
        <w:rPr>
          <w:sz w:val="20"/>
          <w:szCs w:val="20"/>
          <w:color w:val="auto"/>
        </w:rPr>
      </w:pPr>
      <w:r>
        <w:rPr>
          <w:rFonts w:ascii="Arial" w:cs="Arial" w:eastAsia="Arial" w:hAnsi="Arial"/>
          <w:sz w:val="16"/>
          <w:szCs w:val="16"/>
          <w:color w:val="auto"/>
        </w:rPr>
        <w:t>International data protection laws, including Regulation 2016/679, known as the General Data Protection Regulation, or GDPR, may also apply to health-related and other personal information obtained outside of the United States. The GDPR went into effect on May 25, 2018. The GDPR introduced new data protection requirements in the EU, as well as potential fines for noncompliant companies of up to the greater of €20 million or 4% of annual global revenue. The regulation imposes numerous new requirements for the collection, use and disclosure of personal information, including more stringent requirements relating to consent and the information that must be shared with data subjects about how their personal information is used, the obligation to notify regulators and affected individuals of personal data breaches, extensive new internal privacy governance obligations and obligations to honor expanded rights of individuals in relation to their personal information (e.g., the right to access, correct and delete their data). In addition, the GDPR includes restrictions on cross-border data transfer. The GDPR will increase our responsibility and liability in relation to personal data that we process, and we may be required to put in place additional mechanisms to ensure compliance with the new EU data protection rules. In addition, the GDPR prohibits the transfer of personal data to countries outside of the European Economic Area, or EEA, such as the United States, which are not considered by the European Commission to provide an adequate level of data protection. Switzerland has adopted similar restrictions. Although there are legal mechanisms to allow for the transfer of personal data from the EEA and Switzerland to the United States, they are subject to pending legal challenges that, if successful, could invalidate these mechanisms, restrict our ability to process personal data of Europeans outside of Europe and adversely impact our business. For example, in July 2020, the European Courts of Justice invalidated the EU-U.S. Privacy Shield, which enabled the transfer of personal data from EU to the U.S. for companies that had self-certified to the Privacy Shield. On August 10, 2020, the U.S. Department of Commerce and the European Commission announced new discussions to evaluate the potential for an enhanced EU-U.S. Privacy Shield framework to comply with the July 16 judgment of the Court of Justice. While the Court of Justice upheld the use of other data transfer mechanisms, such as the Binding Corporate Rules, the decision has led to some uncertainty regarding the use of such mechanisms for data transfers to the United States, and the court made clear that reliance on Binding Corporate Rules alone may not necessarily be sufficient in all circumstances.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the Court of Justice’s decision on November 11, 2020 which imposes higher burdens on the use of data transfer mechanisms, such as the Binding Corporate Rules, for cross-border data transfers. To comply with this guidance, we may need to implement additional safeguards to further enhance the security of data transferred out of the European Economic Area, which could increase our compliance costs, expose us to further regulatory scrutiny and liability, and adversely affect our business. To the extent that we were to rely on Privacy Shield, we will not be able to do so in the future, which could increase our costs and our ability to efficiently process personal data from the EU.</w:t>
      </w:r>
    </w:p>
    <w:p>
      <w:pPr>
        <w:spacing w:after="0" w:line="389" w:lineRule="exact"/>
        <w:rPr>
          <w:sz w:val="20"/>
          <w:szCs w:val="20"/>
          <w:color w:val="auto"/>
        </w:rPr>
      </w:pPr>
    </w:p>
    <w:p>
      <w:pPr>
        <w:ind w:right="120" w:firstLine="416"/>
        <w:spacing w:after="0" w:line="254" w:lineRule="auto"/>
        <w:rPr>
          <w:sz w:val="20"/>
          <w:szCs w:val="20"/>
          <w:color w:val="auto"/>
        </w:rPr>
      </w:pPr>
      <w:r>
        <w:rPr>
          <w:rFonts w:ascii="Arial" w:cs="Arial" w:eastAsia="Arial" w:hAnsi="Arial"/>
          <w:sz w:val="18"/>
          <w:szCs w:val="18"/>
          <w:color w:val="auto"/>
        </w:rPr>
        <w:t>Further, Brexit has created uncertainty with regard to data protection regulation in the United Kingdom. In particular, while the Data Protection Act of 2018, that “implements” and complements the GDPR achieved Royal Assent on May 23, 2018 and is now effective in the United Kingdom, it is still unclear whether transfer of data from the EEA to the United Kingdom will remain lawful under GDPR. During the period of “transition” (i.e., until December 31, 2020), EU law will continue to apply in the United Kingdom, including the GDPR, after which the GDPR will be converted into United Kingdom law. Beginning in 2021, the United Kingdom will be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2" w:name="page53"/>
    <w:bookmarkEnd w:id="52"/>
    <w:p>
      <w:pPr>
        <w:ind w:right="40" w:firstLine="416"/>
        <w:spacing w:after="0" w:line="286" w:lineRule="auto"/>
        <w:rPr>
          <w:sz w:val="20"/>
          <w:szCs w:val="20"/>
          <w:color w:val="auto"/>
        </w:rPr>
      </w:pPr>
      <w:r>
        <w:rPr>
          <w:rFonts w:ascii="Arial" w:cs="Arial" w:eastAsia="Arial" w:hAnsi="Arial"/>
          <w:sz w:val="16"/>
          <w:szCs w:val="16"/>
          <w:color w:val="auto"/>
        </w:rPr>
        <w:t>In addition, the state of California recently enacted the California Consumer Privacy Act, or CCPA, which creates new individual privacy rights for California consumers (as defined in the CCPA)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became enforceable by the California Attorney General on July 1, 2020, along with related regulations which came into force on August 14, 2020 and may impact our business activities and exemplifies the vulnerability of our business to the evolving regulatory environment related to personal data and protected health information. Additionally, although not effective until January 1, 2023, the California Privacy Rights Act (the “CPRA”), which expands upon the CCPA, was passed in the recent election on November 3, 2020.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The CCPA and CPRA provide for unlimited civil penalties for violations, as well as a private right of action for data breaches that is expected to increase data breach litigation. The CCPA and CPRA may increase our compliance costs and potential liability, particularly in the event of a data breach. Additionally, the CCPA has prompted a number of proposals in the U.S. for new federal and state-level privacy legislation that, if passed, could increase our potential liability, increase our compliance costs, and adversely affect our business.</w:t>
      </w:r>
    </w:p>
    <w:p>
      <w:pPr>
        <w:spacing w:after="0" w:line="171"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86" w:lineRule="exact"/>
        <w:rPr>
          <w:sz w:val="20"/>
          <w:szCs w:val="20"/>
          <w:color w:val="auto"/>
        </w:rPr>
      </w:pPr>
    </w:p>
    <w:p>
      <w:pPr>
        <w:ind w:left="420" w:right="24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62" w:lineRule="exact"/>
        <w:rPr>
          <w:sz w:val="20"/>
          <w:szCs w:val="20"/>
          <w:color w:val="auto"/>
        </w:rPr>
      </w:pPr>
    </w:p>
    <w:p>
      <w:pPr>
        <w:ind w:right="40" w:firstLine="416"/>
        <w:spacing w:after="0" w:line="285" w:lineRule="auto"/>
        <w:rPr>
          <w:sz w:val="20"/>
          <w:szCs w:val="20"/>
          <w:color w:val="auto"/>
        </w:rPr>
      </w:pPr>
      <w:r>
        <w:rPr>
          <w:rFonts w:ascii="Arial" w:cs="Arial" w:eastAsia="Arial" w:hAnsi="Arial"/>
          <w:sz w:val="16"/>
          <w:szCs w:val="16"/>
          <w:color w:val="auto"/>
        </w:rPr>
        <w:t>Our company is located in Delaware. Any unplanned event, such as flood, fire, explosion, earthquake, extreme weather condition, medical epidemic, including the COVID-19 pandemic, power shortage, telecommunication failure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For example, our operations are concentrated primarily on the east coast of the United States, and any adverse weather event or natural disaster, such as a hurricane or heavy snowstorm, could have a material adverse effect on a substantial portion of our operations. Extreme weather conditions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3" w:name="page54"/>
    <w:bookmarkEnd w:id="53"/>
    <w:p>
      <w:pPr>
        <w:ind w:left="420" w:right="50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35" w:lineRule="exact"/>
        <w:rPr>
          <w:sz w:val="20"/>
          <w:szCs w:val="20"/>
          <w:color w:val="auto"/>
        </w:rPr>
      </w:pPr>
    </w:p>
    <w:p>
      <w:pPr>
        <w:ind w:right="20" w:firstLine="416"/>
        <w:spacing w:after="0" w:line="289"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90" w:lineRule="exact"/>
        <w:rPr>
          <w:sz w:val="20"/>
          <w:szCs w:val="20"/>
          <w:color w:val="auto"/>
        </w:rPr>
      </w:pPr>
    </w:p>
    <w:p>
      <w:pPr>
        <w:ind w:firstLine="416"/>
        <w:spacing w:after="0" w:line="285" w:lineRule="auto"/>
        <w:rPr>
          <w:sz w:val="20"/>
          <w:szCs w:val="20"/>
          <w:color w:val="auto"/>
        </w:rPr>
      </w:pPr>
      <w:r>
        <w:rPr>
          <w:rFonts w:ascii="Arial" w:cs="Arial" w:eastAsia="Arial" w:hAnsi="Arial"/>
          <w:sz w:val="16"/>
          <w:szCs w:val="16"/>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(particularly those generated in taxable years beginning after December 31, 2020)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in taxable years beginning after December 31, 2020,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320" w:lineRule="exact"/>
        <w:rPr>
          <w:sz w:val="20"/>
          <w:szCs w:val="20"/>
          <w:color w:val="auto"/>
        </w:rPr>
      </w:pPr>
    </w:p>
    <w:p>
      <w:pPr>
        <w:ind w:left="420" w:right="66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35"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From time to time, we may consider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84" w:lineRule="exact"/>
        <w:rPr>
          <w:sz w:val="20"/>
          <w:szCs w:val="20"/>
          <w:color w:val="auto"/>
        </w:rPr>
      </w:pPr>
    </w:p>
    <w:p>
      <w:pPr>
        <w:ind w:left="840" w:hanging="427"/>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17" w:lineRule="exact"/>
        <w:rPr>
          <w:rFonts w:ascii="Arial" w:cs="Arial" w:eastAsia="Arial" w:hAnsi="Arial"/>
          <w:sz w:val="18"/>
          <w:szCs w:val="18"/>
          <w:color w:val="auto"/>
        </w:rPr>
      </w:pPr>
    </w:p>
    <w:p>
      <w:pPr>
        <w:ind w:left="840" w:right="140" w:hanging="427"/>
        <w:spacing w:after="0" w:line="277" w:lineRule="auto"/>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62" w:lineRule="exact"/>
        <w:rPr>
          <w:rFonts w:ascii="Arial" w:cs="Arial" w:eastAsia="Arial" w:hAnsi="Arial"/>
          <w:sz w:val="18"/>
          <w:szCs w:val="18"/>
          <w:color w:val="auto"/>
        </w:rPr>
      </w:pPr>
    </w:p>
    <w:p>
      <w:pPr>
        <w:ind w:left="840" w:hanging="427"/>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54" w:name="page55"/>
    <w:bookmarkEnd w:id="54"/>
    <w:p>
      <w:pPr>
        <w:ind w:left="840" w:hanging="427"/>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17" w:lineRule="exact"/>
        <w:rPr>
          <w:rFonts w:ascii="Arial" w:cs="Arial" w:eastAsia="Arial" w:hAnsi="Arial"/>
          <w:sz w:val="18"/>
          <w:szCs w:val="18"/>
          <w:color w:val="auto"/>
        </w:rPr>
      </w:pPr>
    </w:p>
    <w:p>
      <w:pPr>
        <w:ind w:left="840" w:hanging="427"/>
        <w:spacing w:after="0"/>
        <w:tabs>
          <w:tab w:leader="none" w:pos="8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difficulty and cost in combining the operations, systems and personnel of any acquired businesses with our operations, systems and personnel;</w:t>
      </w:r>
    </w:p>
    <w:p>
      <w:pPr>
        <w:spacing w:after="0" w:line="140" w:lineRule="exact"/>
        <w:rPr>
          <w:rFonts w:ascii="Arial" w:cs="Arial" w:eastAsia="Arial" w:hAnsi="Arial"/>
          <w:sz w:val="16"/>
          <w:szCs w:val="16"/>
          <w:color w:val="auto"/>
        </w:rPr>
      </w:pPr>
    </w:p>
    <w:p>
      <w:pPr>
        <w:ind w:left="840" w:hanging="427"/>
        <w:spacing w:after="0"/>
        <w:tabs>
          <w:tab w:leader="none" w:pos="8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impairment of relationships with key suppliers or customers of any acquired businesses due to changes in management and ownership; and</w:t>
      </w:r>
    </w:p>
    <w:p>
      <w:pPr>
        <w:spacing w:after="0" w:line="140" w:lineRule="exact"/>
        <w:rPr>
          <w:rFonts w:ascii="Arial" w:cs="Arial" w:eastAsia="Arial" w:hAnsi="Arial"/>
          <w:sz w:val="16"/>
          <w:szCs w:val="16"/>
          <w:color w:val="auto"/>
        </w:rPr>
      </w:pPr>
    </w:p>
    <w:p>
      <w:pPr>
        <w:ind w:left="840" w:hanging="427"/>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32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portfolio of investments may be subject to market, interest and credit risk that may reduce its value.</w:t>
      </w:r>
    </w:p>
    <w:p>
      <w:pPr>
        <w:spacing w:after="0" w:line="117"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The value of our investments may decline due to increases in interest rates, downgrades of the bonds and other securities included in our commercial money market account portfolio and instability in the global financial markets that reduces the liquidity of securities included in our portfolio. In addition, the COVID-19 pandemic has and may continue to adversely affect the financial markets in some or all countries worldwide.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420" w:right="6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76" w:lineRule="exact"/>
        <w:rPr>
          <w:sz w:val="20"/>
          <w:szCs w:val="20"/>
          <w:color w:val="auto"/>
        </w:rPr>
      </w:pPr>
    </w:p>
    <w:p>
      <w:pPr>
        <w:ind w:right="120" w:firstLine="416"/>
        <w:spacing w:after="0" w:line="254" w:lineRule="auto"/>
        <w:rPr>
          <w:sz w:val="20"/>
          <w:szCs w:val="20"/>
          <w:color w:val="auto"/>
        </w:rPr>
      </w:pPr>
      <w:r>
        <w:rPr>
          <w:rFonts w:ascii="Arial" w:cs="Arial" w:eastAsia="Arial" w:hAnsi="Arial"/>
          <w:sz w:val="18"/>
          <w:szCs w:val="18"/>
          <w:color w:val="auto"/>
        </w:rPr>
        <w:t>Our success depends in large part on our ability to protect our proprietary technologies that we believe are important to our business, including pursuing, obtaining and maintaining patent protection in the United States and other countries intended to cover the compositions of matter of our product candidates, for example, PRT543, PRT811 and PRT1419, their methods of use, related technologies and other inventions that are important to our business. In addition to patent protection, we also rely on trade secrets to protect aspects of our business that are not amenable to, or that we do not consider appropriate for, patent protection. If we do not adequately pursue, obtain, maintain, protect or enforce our intellectual property, third parties, including our competitors, may be able to erode or negate any competitive advantage we may have, which could harm our business and ability to achieve profitability.</w:t>
      </w:r>
    </w:p>
    <w:p>
      <w:pPr>
        <w:spacing w:after="0" w:line="195" w:lineRule="exact"/>
        <w:rPr>
          <w:sz w:val="20"/>
          <w:szCs w:val="20"/>
          <w:color w:val="auto"/>
        </w:rPr>
      </w:pPr>
    </w:p>
    <w:p>
      <w:pPr>
        <w:ind w:right="420" w:firstLine="416"/>
        <w:spacing w:after="0" w:line="259" w:lineRule="auto"/>
        <w:rPr>
          <w:sz w:val="20"/>
          <w:szCs w:val="20"/>
          <w:color w:val="auto"/>
        </w:rPr>
      </w:pPr>
      <w:r>
        <w:rPr>
          <w:rFonts w:ascii="Arial" w:cs="Arial" w:eastAsia="Arial" w:hAnsi="Arial"/>
          <w:sz w:val="18"/>
          <w:szCs w:val="18"/>
          <w:color w:val="auto"/>
        </w:rPr>
        <w:t>To protect our proprietary position, we have currently filed patent applications in the United States related to our product candidates that we consider important to our business, including patent applications relating to compositions of matter covering our compounds, the processes for manufacturing such compounds and use of such compounds in therapies. We have also filed patent applications abroad relating to PRT543 and PRT811.</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patent application and approval process is expensive, time-consuming and complex. We may not be able to file, prosecute and maintain all necessary or desirable patent applications at a reasonable cost or in a timely manner or in all jurisdictions. We also cannot predict whether the patent applications we are currently pursuing will issue as patents in any particular jurisdictions. It is also possible that we will fail to identify patentable aspects of our research and development output before it is too late to obtain patent protection. Moreover, depending on the terms of any future license agreements to which we may become a party, we may not have the right to control the preparation, filing, and prosecution of patent applications, or to maintain the patents, covering technology licensed from third parties. Therefore, these patents and patent applications may not be prosecuted and enforced in a manner consistent with the best interests of our business.</w:t>
      </w:r>
    </w:p>
    <w:p>
      <w:pPr>
        <w:spacing w:after="0" w:line="177" w:lineRule="exact"/>
        <w:rPr>
          <w:sz w:val="20"/>
          <w:szCs w:val="20"/>
          <w:color w:val="auto"/>
        </w:rPr>
      </w:pPr>
    </w:p>
    <w:p>
      <w:pPr>
        <w:ind w:right="20" w:firstLine="416"/>
        <w:spacing w:after="0" w:line="289" w:lineRule="auto"/>
        <w:rPr>
          <w:sz w:val="20"/>
          <w:szCs w:val="20"/>
          <w:color w:val="auto"/>
        </w:rPr>
      </w:pPr>
      <w:r>
        <w:rPr>
          <w:rFonts w:ascii="Arial" w:cs="Arial" w:eastAsia="Arial" w:hAnsi="Arial"/>
          <w:sz w:val="16"/>
          <w:szCs w:val="16"/>
          <w:color w:val="auto"/>
        </w:rPr>
        <w:t>Furthermore, the patent position of biotechnology and pharmaceutical companies generally is highly uncertain. No consistent policy regarding the breadth of claims allowed in biotechnology and pharmaceutical patents has emerged to date in the United States or in many foreign jurisdictions. The standards applied by the United States Patent and Trademark Office, or the USPTO, and foreign patent offices in granting patents are not always applied uniformly or predictably. In addition, the determination of patent rights with respect to biological and pharmaceutical products commonly involves complex legal and factual questions, which have in recent years been the subject of much litigation. As a result, the issuance, scope, validity, enforceability and commercial value of our patent rights are highly uncertain. Thus, we cannot offer any assurances about which, if any, patents will issue, the breadth of any such patents, whether any issued patents will be found invalid and unenforceable or will be threatened by third parties or whether any issued patents will effectively prevent others from commercializing competing technologies and product candidates. While we have filed patent applications covering aspects of our current product candidates, we currently have only one issued U.S. patent covering PRT543 that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is expected to expire no earlier than August 9, 2038, and one issued U.S. patent covering PRT811 that is expected to expire no earlier than March 14, 2039.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yet have issued patents on all of our product candidates.</w:t>
      </w:r>
    </w:p>
    <w:p>
      <w:pPr>
        <w:spacing w:after="0" w:line="211" w:lineRule="exact"/>
        <w:rPr>
          <w:sz w:val="20"/>
          <w:szCs w:val="20"/>
          <w:color w:val="auto"/>
        </w:rPr>
      </w:pPr>
    </w:p>
    <w:p>
      <w:pPr>
        <w:ind w:firstLine="416"/>
        <w:spacing w:after="0" w:line="269" w:lineRule="auto"/>
        <w:rPr>
          <w:sz w:val="20"/>
          <w:szCs w:val="20"/>
          <w:color w:val="auto"/>
        </w:rPr>
      </w:pPr>
      <w:r>
        <w:rPr>
          <w:rFonts w:ascii="Arial" w:cs="Arial" w:eastAsia="Arial" w:hAnsi="Arial"/>
          <w:sz w:val="17"/>
          <w:szCs w:val="17"/>
          <w:color w:val="auto"/>
        </w:rPr>
        <w:t>Our pending patent applications cannot be enforced against third parties practicing the technology claimed in such applications unless and until at least one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Since patent applications in the United States and most other countries are confidential for a period of time after filing, and some remain so until issued, we cannot be certain that we were the first to file or invent (prior to March 16, 2013) any patent application related to our product candidates. In addition, we enter into non-disclosure and confidentiality agreements with parties who have access to confidential or patentable aspects of our research and development output, such as our employees, collaborators, CROs, CMOs, hospitals, independent treatment centers, consultants, independent contractors, suppliers, advisors and other third parties; however, any of these parties may breach the agreements and disclose such output before a patent application is filed, thereby jeopardizing our ability to seek patent protection. Furthermore, if third parties have filed patent applications related to our product candidates or technology, we may not be able to obtain our own patent rights to those product candidates or technology.</w:t>
      </w:r>
    </w:p>
    <w:p>
      <w:pPr>
        <w:spacing w:after="0" w:line="179"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Moreover, because the issuance of a patent is not conclusive as to its inventorship, scope, validity or enforceability, our patents or pending patent applications may be challenged in the courts or patent offices in the United States and abroad. For example, we may be subject to a third-party pre-issuance submission of prior art to the USPTO or become involved in post-grant review procedures, oppositions, derivations, revocation, reexaminations, inter partes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186"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Moreover, 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78" w:lineRule="exact"/>
        <w:rPr>
          <w:sz w:val="20"/>
          <w:szCs w:val="20"/>
          <w:color w:val="auto"/>
        </w:rPr>
      </w:pPr>
    </w:p>
    <w:p>
      <w:pPr>
        <w:ind w:right="160" w:firstLine="416"/>
        <w:spacing w:after="0" w:line="275" w:lineRule="auto"/>
        <w:rPr>
          <w:sz w:val="20"/>
          <w:szCs w:val="20"/>
          <w:color w:val="auto"/>
        </w:rPr>
      </w:pPr>
      <w:r>
        <w:rPr>
          <w:rFonts w:ascii="Arial" w:cs="Arial" w:eastAsia="Arial" w:hAnsi="Arial"/>
          <w:sz w:val="17"/>
          <w:szCs w:val="17"/>
          <w:color w:val="auto"/>
        </w:rPr>
        <w:t>Our pending and future patent applications may not result in patents being issued that protect our product candidates, in whole or in part, or which effectively prevent others from commercializing competitive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European patent law restricts the patentability of methods of treatment of the human body more than United States law does.</w:t>
      </w:r>
    </w:p>
    <w:p>
      <w:pPr>
        <w:spacing w:after="0" w:line="176" w:lineRule="exact"/>
        <w:rPr>
          <w:sz w:val="20"/>
          <w:szCs w:val="20"/>
          <w:color w:val="auto"/>
        </w:rPr>
      </w:pPr>
    </w:p>
    <w:p>
      <w:pPr>
        <w:ind w:firstLine="416"/>
        <w:spacing w:after="0" w:line="293" w:lineRule="auto"/>
        <w:rPr>
          <w:sz w:val="20"/>
          <w:szCs w:val="20"/>
          <w:color w:val="auto"/>
        </w:rPr>
      </w:pPr>
      <w:r>
        <w:rPr>
          <w:rFonts w:ascii="Arial" w:cs="Arial" w:eastAsia="Arial" w:hAnsi="Arial"/>
          <w:sz w:val="16"/>
          <w:szCs w:val="16"/>
          <w:color w:val="auto"/>
        </w:rPr>
        <w:t>Even if our patent applications issue as patents, they may not issue in a form that will provide us with any meaningful protection, prevent competitors or other third parties from competing with us or otherwise provide us with any competitive advantage. Moreover, the coverage claimed in a patent application can be significantly reduced before the patent is issued and its scope can be reinterpreted after issuance. Consequently, we do not know whether any of our product candidates will be protectable or remain protected by valid and enforceable patents. Our competitors and other third parties may be able to circumvent our patents by developing similar or alternative technologies or products in a non-infringing manner. Our competitors and other third parties may also seek approval to market their own products similar to or otherwise competitive with our products. Alternatively, our competitors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6" w:name="page57"/>
    <w:bookmarkEnd w:id="56"/>
    <w:p>
      <w:pPr>
        <w:ind w:right="80"/>
        <w:spacing w:after="0" w:line="272" w:lineRule="auto"/>
        <w:rPr>
          <w:sz w:val="20"/>
          <w:szCs w:val="20"/>
          <w:color w:val="auto"/>
        </w:rPr>
      </w:pPr>
      <w:r>
        <w:rPr>
          <w:rFonts w:ascii="Arial" w:cs="Arial" w:eastAsia="Arial" w:hAnsi="Arial"/>
          <w:sz w:val="17"/>
          <w:szCs w:val="17"/>
          <w:color w:val="auto"/>
        </w:rPr>
        <w:t>or other third parties may seek to market generic versions or “follow-on” versions of any approved products by submitting abbreviated new drug applications, or ANDAs, or new drug applications under Section 505(b)(2) of the FDCA, respectively, to the FDA during which they may claim that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177" w:lineRule="exact"/>
        <w:rPr>
          <w:sz w:val="20"/>
          <w:szCs w:val="20"/>
          <w:color w:val="auto"/>
        </w:rPr>
      </w:pPr>
    </w:p>
    <w:p>
      <w:pPr>
        <w:ind w:firstLine="416"/>
        <w:spacing w:after="0" w:line="288" w:lineRule="auto"/>
        <w:rPr>
          <w:sz w:val="20"/>
          <w:szCs w:val="20"/>
          <w:color w:val="auto"/>
        </w:rPr>
      </w:pPr>
      <w:r>
        <w:rPr>
          <w:rFonts w:ascii="Arial" w:cs="Arial" w:eastAsia="Arial" w:hAnsi="Arial"/>
          <w:sz w:val="16"/>
          <w:szCs w:val="16"/>
          <w:color w:val="auto"/>
        </w:rPr>
        <w:t>Furthermore, future patents may be subject to a reservation of rights by one or more third parties. For example, to the extent the research resulting in future patent rights or technologies is funded in the future in part by the U.S. government, the government could have certain rights in any resulting patents and technology, including a non-exclusive license authorizing the government to use the invention or to have others use the invention on its behalf for non-commercial purposes. If the U.S. government then decides to exercise these rights, it is not required to engage us as its contractor in connection with doing so. These rights may also permit the government to disclose our confidential information to third parties and to exercise march-in rights to use or allow third parties to use our licensed technology. The government may also exercise its march-in rights if it determines that action is necessary because we failed to achieve practical application of the government-funded technology, because action is necessary to alleviate health or safety needs, to meet requirements of federal regulations, or to give preference to U.S. industry. In addition, our rights in such government-funded inventions may be subject to certain requirements to manufacture products embodying such inventions in the United States. Any exercise by the government of aforementioned proprietary rights could harm our competitive position, business, financial condition, results of operations, and prospects.</w:t>
      </w:r>
    </w:p>
    <w:p>
      <w:pPr>
        <w:spacing w:after="0" w:line="195" w:lineRule="exact"/>
        <w:rPr>
          <w:sz w:val="20"/>
          <w:szCs w:val="20"/>
          <w:color w:val="auto"/>
        </w:rPr>
      </w:pPr>
    </w:p>
    <w:p>
      <w:pPr>
        <w:ind w:left="420" w:right="46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22" w:lineRule="exact"/>
        <w:rPr>
          <w:sz w:val="20"/>
          <w:szCs w:val="20"/>
          <w:color w:val="auto"/>
        </w:rPr>
      </w:pPr>
    </w:p>
    <w:p>
      <w:pPr>
        <w:ind w:right="20" w:firstLine="416"/>
        <w:spacing w:after="0" w:line="268" w:lineRule="auto"/>
        <w:rPr>
          <w:sz w:val="20"/>
          <w:szCs w:val="20"/>
          <w:color w:val="auto"/>
        </w:rPr>
      </w:pPr>
      <w:r>
        <w:rPr>
          <w:rFonts w:ascii="Arial" w:cs="Arial" w:eastAsia="Arial" w:hAnsi="Arial"/>
          <w:sz w:val="17"/>
          <w:szCs w:val="17"/>
          <w:color w:val="auto"/>
        </w:rPr>
        <w:t>As is the case with other pharmaceutical companies, our success is heavily dependent on intellectual property, particularly patents. Obtaining and enforcing patents in the 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Recent patent reform legislation in the United States and other countries, including the Leahy-Smith America Invents Act, or the Leahy-Smith Act,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USPTO during patent prosecution and additional procedures to attack the validity of a patent by USPTO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future collaboration partners’ patent applications and the enforcement or defense of our or our future collaboration partners’ issued patents, all of which could harm our business, results of operations, financial condition and prospects.</w:t>
      </w:r>
    </w:p>
    <w:p>
      <w:pPr>
        <w:spacing w:after="0" w:line="126" w:lineRule="exact"/>
        <w:rPr>
          <w:sz w:val="20"/>
          <w:szCs w:val="20"/>
          <w:color w:val="auto"/>
        </w:rPr>
      </w:pPr>
    </w:p>
    <w:p>
      <w:pPr>
        <w:ind w:right="20" w:firstLine="416"/>
        <w:spacing w:after="0" w:line="271" w:lineRule="auto"/>
        <w:rPr>
          <w:sz w:val="20"/>
          <w:szCs w:val="20"/>
          <w:color w:val="auto"/>
        </w:rPr>
      </w:pPr>
      <w:r>
        <w:rPr>
          <w:rFonts w:ascii="Arial" w:cs="Arial" w:eastAsia="Arial" w:hAnsi="Arial"/>
          <w:sz w:val="17"/>
          <w:szCs w:val="17"/>
          <w:color w:val="auto"/>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validity and enforceability of patents, once obtained. Additionally, there have been recent proposals for additional changes to the patent laws of the United States and other countries that, if adopted, could impact our ability to enforce our proprietary technology. Depending on future actions by the U.S. Congress, the U.S. courts, the USPTO and the relevant law-making bodies in other countries, the laws and regulations governing patents could change in unpredictable ways that could have a material adverse effect on our existing patent portfolio and weaken our ability to obtain new patents or to enforce our existing patents and patents that we might obtain in the future.</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7" w:name="page58"/>
    <w:bookmarkEnd w:id="57"/>
    <w:p>
      <w:pPr>
        <w:ind w:left="420" w:right="3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or administrative disputes to protect or enforce our patents or other intellectual property, which could be expensive, time consuming and unsuccessful.</w:t>
      </w:r>
    </w:p>
    <w:p>
      <w:pPr>
        <w:spacing w:after="0" w:line="22" w:lineRule="exact"/>
        <w:rPr>
          <w:sz w:val="20"/>
          <w:szCs w:val="20"/>
          <w:color w:val="auto"/>
        </w:rPr>
      </w:pPr>
    </w:p>
    <w:p>
      <w:pPr>
        <w:ind w:right="200" w:firstLine="416"/>
        <w:spacing w:after="0" w:line="257" w:lineRule="auto"/>
        <w:rPr>
          <w:sz w:val="20"/>
          <w:szCs w:val="20"/>
          <w:color w:val="auto"/>
        </w:rPr>
      </w:pPr>
      <w:r>
        <w:rPr>
          <w:rFonts w:ascii="Arial" w:cs="Arial" w:eastAsia="Arial" w:hAnsi="Arial"/>
          <w:sz w:val="18"/>
          <w:szCs w:val="18"/>
          <w:color w:val="auto"/>
        </w:rPr>
        <w:t>Competitors and other third parties may infringe, misappropriate or otherwise violate our patents, trademarks, copyrights, trade secrets or other intellectual property. To counter infringement, misappropriation or other violations, we may be required to file infringement, misappropriation or other violation claims, which can be expensive and time consuming and divert the time and attention of our management and business and scientific personnel. In addition, many of our adversaries in these proceedings may have the ability to dedicate substantially greater resources to prosecuting these legal actions than we can.</w:t>
      </w:r>
    </w:p>
    <w:p>
      <w:pPr>
        <w:spacing w:after="0" w:line="188" w:lineRule="exact"/>
        <w:rPr>
          <w:sz w:val="20"/>
          <w:szCs w:val="20"/>
          <w:color w:val="auto"/>
        </w:rPr>
      </w:pPr>
    </w:p>
    <w:p>
      <w:pPr>
        <w:ind w:right="280" w:firstLine="416"/>
        <w:spacing w:after="0" w:line="275" w:lineRule="auto"/>
        <w:rPr>
          <w:sz w:val="20"/>
          <w:szCs w:val="20"/>
          <w:color w:val="auto"/>
        </w:rPr>
      </w:pPr>
      <w:r>
        <w:rPr>
          <w:rFonts w:ascii="Arial" w:cs="Arial" w:eastAsia="Arial" w:hAnsi="Arial"/>
          <w:sz w:val="17"/>
          <w:szCs w:val="17"/>
          <w:color w:val="auto"/>
        </w:rPr>
        <w:t>Any claims we assert against perceived infringers could provoke these parties to assert counterclaims against us alleging that we infringe, misappropriate or otherwise violate their patents or their other intellectual property, in addition to counterclaims asserting that our patents are invalid or unenforceable, or both. In patent litigation in the United States, counterclaims challenging the validity, enforceability or scope of asserted patents are commonplace. Similarly, third parties may initiate legal proceedings against us seeking a declaration that certain of our intellectual property is non-infringed, invalid or unenforceable. The outcome of any such proceeding is generally unpredictable.</w:t>
      </w:r>
    </w:p>
    <w:p>
      <w:pPr>
        <w:spacing w:after="0" w:line="176" w:lineRule="exact"/>
        <w:rPr>
          <w:sz w:val="20"/>
          <w:szCs w:val="20"/>
          <w:color w:val="auto"/>
        </w:rPr>
      </w:pPr>
    </w:p>
    <w:p>
      <w:pPr>
        <w:ind w:firstLine="416"/>
        <w:spacing w:after="0" w:line="287" w:lineRule="auto"/>
        <w:rPr>
          <w:sz w:val="20"/>
          <w:szCs w:val="20"/>
          <w:color w:val="auto"/>
        </w:rPr>
      </w:pPr>
      <w:r>
        <w:rPr>
          <w:rFonts w:ascii="Arial" w:cs="Arial" w:eastAsia="Arial" w:hAnsi="Arial"/>
          <w:sz w:val="16"/>
          <w:szCs w:val="16"/>
          <w:color w:val="auto"/>
        </w:rPr>
        <w:t>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If a defendant were to prevail on a legal assertion of invalidity or unenforceability of our patents covering one of our product candidates, we could lose at least a part, and perhaps all, of the patent protection covering such a product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68" w:lineRule="exact"/>
        <w:rPr>
          <w:sz w:val="20"/>
          <w:szCs w:val="20"/>
          <w:color w:val="auto"/>
        </w:rPr>
      </w:pPr>
    </w:p>
    <w:p>
      <w:pPr>
        <w:ind w:right="20" w:firstLine="416"/>
        <w:spacing w:after="0" w:line="271"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78"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Furthermore, third parties may also raise invalidity or unenforceability claims before administrative bodies in the United States or foreign authorities, even outside the context of litigation. Such mechanisms include re-examination, inter partes review, post-grant review, interference proceedings, derivation proceedings and equivalent proceedings in foreign jurisdictions (e.g., opposition proceedings). Such proceedings could result in revocation, cancellation or amendment to our patents in such a way that they no longer cover and protect our product candidates. The outcome following legal assertions of invalidity and unenforceability is unpredictable. Grounds for a validity challenge could be an alleged failure to meet any of several statutory requirements, including lack of novelty, obviousness, non-enablement or written description. Grounds for an unenforceability assertion could be an allegation that someone connected with the prosecution of the patent withheld relevant information from the USPTO, or made a misleading statement, during prosecution of the patent. With respect to the validity of our patents, for example, we cannot be certain that there is no invalidating prior art of which we, our licensors, our patent counsel and the patent examiner were unaware during prosecution. Moreover, it is possible that prior art may exist that we are aware of but do not believe is relevant to our current or future patents, but that could nevertheless be determined to render our patents invalid. If a third party were to prevail on a legal assertion of invalidity or unenforceability, we could lose at least part, and perhaps all, of the patent protection on one or more of our product candidates. Any such loss of patent protection could have a material adverse impact on our business, financial condition, results of operations and prospects.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ind w:left="420"/>
        <w:spacing w:after="0"/>
        <w:rPr>
          <w:sz w:val="20"/>
          <w:szCs w:val="20"/>
          <w:color w:val="auto"/>
        </w:rPr>
      </w:pPr>
      <w:r>
        <w:rPr>
          <w:rFonts w:ascii="Arial" w:cs="Arial" w:eastAsia="Arial" w:hAnsi="Arial"/>
          <w:sz w:val="18"/>
          <w:szCs w:val="18"/>
          <w:b w:val="1"/>
          <w:bCs w:val="1"/>
          <w:i w:val="1"/>
          <w:iCs w:val="1"/>
          <w:color w:val="auto"/>
        </w:rPr>
        <w:t>We may not be able to effectively protect or enforce our intellectual property and proprietary rights throughout the world.</w:t>
      </w:r>
    </w:p>
    <w:p>
      <w:pPr>
        <w:spacing w:after="0" w:line="117"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Filing, prosecuting and defending patents with respect to our product candidates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any future intellectual property license agreements may not always include worldwide rights. Consequently, competitors and other third parties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and where our ability to enforce our patents to stop infringing activities may be inadequate. These products may compete with our products in such territories and in jurisdictions where we do not have any patent rights or where any future patent claims or other intellectual property or proprietary rights may not be effective or sufficient to prevent them from competing with us, which could have a material adverse effect on our business, financial condition, results of operations and prospects.</w:t>
      </w:r>
    </w:p>
    <w:p>
      <w:pPr>
        <w:spacing w:after="0" w:line="181" w:lineRule="exact"/>
        <w:rPr>
          <w:sz w:val="20"/>
          <w:szCs w:val="20"/>
          <w:color w:val="auto"/>
        </w:rPr>
      </w:pPr>
    </w:p>
    <w:p>
      <w:pPr>
        <w:ind w:right="20" w:firstLine="416"/>
        <w:spacing w:after="0" w:line="285" w:lineRule="auto"/>
        <w:rPr>
          <w:sz w:val="20"/>
          <w:szCs w:val="20"/>
          <w:color w:val="auto"/>
        </w:rPr>
      </w:pPr>
      <w:r>
        <w:rPr>
          <w:rFonts w:ascii="Arial" w:cs="Arial" w:eastAsia="Arial" w:hAnsi="Arial"/>
          <w:sz w:val="16"/>
          <w:szCs w:val="16"/>
          <w:color w:val="auto"/>
        </w:rPr>
        <w:t>Moreover, our ability to protect and enforce our intellectual property and proprietary rights may be adversely affected by unforeseen changes in foreign intellectual property laws. Additionally, the laws of some countries outside of the United States and Europe do not afford intellectual property protection to the same extent as the laws of the United States and Europe. Many companies have encountered significant problems in protecting and defending intellectual property and proprietary rights in certain foreign jurisdictions. The legal systems of some countries, including, for example, India, China and other developing countries, do not view favorably the enforcement of patents and other intellectual property or proprietary rights, particularly those relating to biotechnology products, which could make it difficult for us to stop the infringement, misappropriation or other violation of our patents or other intellectual property or proprietary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Proceedings to enforce our intellectual property and proprietary rights in foreign jurisdictions, whether or not successful, could result in substantial costs and divert our efforts and resources from other aspects of our business, could put our patents, trademarks or other intellectual property and proprietary rights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and proprietary rights in major markets for our products, we cannot ensure that we will be able to initiate or maintain similar efforts in all jurisdictions in which we may wish to market our products. Accordingly, our efforts to protect our intellectual property and proprietary rights in such countries may be inadequate.</w:t>
      </w:r>
    </w:p>
    <w:p>
      <w:pPr>
        <w:spacing w:after="0" w:line="225" w:lineRule="exact"/>
        <w:rPr>
          <w:sz w:val="20"/>
          <w:szCs w:val="20"/>
          <w:color w:val="auto"/>
        </w:rPr>
      </w:pPr>
    </w:p>
    <w:p>
      <w:pPr>
        <w:ind w:left="420" w:right="40"/>
        <w:spacing w:after="0" w:line="342" w:lineRule="auto"/>
        <w:rPr>
          <w:sz w:val="20"/>
          <w:szCs w:val="20"/>
          <w:color w:val="auto"/>
        </w:rPr>
      </w:pPr>
      <w:r>
        <w:rPr>
          <w:rFonts w:ascii="Arial" w:cs="Arial" w:eastAsia="Arial" w:hAnsi="Arial"/>
          <w:sz w:val="16"/>
          <w:szCs w:val="16"/>
          <w:b w:val="1"/>
          <w:bCs w:val="1"/>
          <w:i w:val="1"/>
          <w:iCs w:val="1"/>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16" w:lineRule="exact"/>
        <w:rPr>
          <w:sz w:val="20"/>
          <w:szCs w:val="20"/>
          <w:color w:val="auto"/>
        </w:rPr>
      </w:pPr>
    </w:p>
    <w:p>
      <w:pPr>
        <w:ind w:right="40" w:firstLine="416"/>
        <w:spacing w:after="0" w:line="255" w:lineRule="auto"/>
        <w:rPr>
          <w:sz w:val="20"/>
          <w:szCs w:val="20"/>
          <w:color w:val="auto"/>
        </w:rPr>
      </w:pPr>
      <w:r>
        <w:rPr>
          <w:rFonts w:ascii="Arial" w:cs="Arial" w:eastAsia="Arial" w:hAnsi="Arial"/>
          <w:sz w:val="18"/>
          <w:szCs w:val="18"/>
          <w:color w:val="auto"/>
        </w:rPr>
        <w:t>Our commercial success depends, in part, on our ability to develop, manufacture, market and sell our product candidates and use our proprietary technologies without infringing, misappropriating or otherwise violating the intellectual property and other proprietary rights of third parties. If any third-party patents, patent applications or other proprietary rights are found to cover our product candidates or any related companion diagnostics or their compositions, methods of use or manufacturing, we may be required to pay damages, which could be substantial, and we would not be free to manufacture or market our product candidates or to do so without obtaining a license, which may not be available on commercially reasonable terms, or at all.</w:t>
      </w:r>
    </w:p>
    <w:p>
      <w:pPr>
        <w:spacing w:after="0" w:line="192" w:lineRule="exact"/>
        <w:rPr>
          <w:sz w:val="20"/>
          <w:szCs w:val="20"/>
          <w:color w:val="auto"/>
        </w:rPr>
      </w:pPr>
    </w:p>
    <w:p>
      <w:pPr>
        <w:ind w:firstLine="416"/>
        <w:spacing w:after="0" w:line="290" w:lineRule="auto"/>
        <w:rPr>
          <w:sz w:val="20"/>
          <w:szCs w:val="20"/>
          <w:color w:val="auto"/>
        </w:rPr>
      </w:pPr>
      <w:r>
        <w:rPr>
          <w:rFonts w:ascii="Arial" w:cs="Arial" w:eastAsia="Arial" w:hAnsi="Arial"/>
          <w:sz w:val="16"/>
          <w:szCs w:val="16"/>
          <w:color w:val="auto"/>
        </w:rPr>
        <w:t>We may in the future become party to, or threatened with, adversarial proceedings or litigation regarding intellectual property or proprietary rights with respect to our product candidates and technologies we use in our business. Our competitors or other third parties may assert infringement claims against us, alleging that our product candidates are covered by their patents. We cannot be certain that we do not infringe existing patents or that we will not infringe patents that may be granted in the future. Furthermore, because patent applications can take many years to issue and may be confidential for 18 months or more after filing, and because patent claims can be revised before issuance, there may be applications now pending which may later result in issued patents that may be infringed by the manufacture, use or sale of our product candidates. If a patent holder believes our product candidate infringes its patent rights,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9" w:name="page60"/>
    <w:bookmarkEnd w:id="59"/>
    <w:p>
      <w:pPr>
        <w:ind w:right="20" w:firstLine="416"/>
        <w:spacing w:after="0" w:line="268" w:lineRule="auto"/>
        <w:rPr>
          <w:sz w:val="20"/>
          <w:szCs w:val="20"/>
          <w:color w:val="auto"/>
        </w:rPr>
      </w:pPr>
      <w:r>
        <w:rPr>
          <w:rFonts w:ascii="Arial" w:cs="Arial" w:eastAsia="Arial" w:hAnsi="Arial"/>
          <w:sz w:val="17"/>
          <w:szCs w:val="17"/>
          <w:color w:val="auto"/>
        </w:rPr>
        <w:t>There is a substantial amount of intellectual property litigation in the biotechnology and pharmaceutical industries, and we may become party to, or threatened with, litigation or other adversarial proceedings regarding intellectual property or proprietary rights with respect to our product candidates, including interference proceedings before the USPTO. Third parties may assert infringement, misappropriation or other claims against us based on existing or future intellectual property or proprietary rights. The outcome of intellectual property litigation and other disputes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using or manufacturing products. The coverage of patents is subject to interpretation by the courts, and the interpretation is not always uniform. If we were sued for patent infringement, we would need to demonstrate that our product candidates, products or methods of use, manufacturing or other applicable activities either do not infringe the patent claims of the relevant patent or that the patent claims are invalid or unenforceable, and we may not be successful in doing so. However, proving invalidity or unenforceability is difficult. For example, in the United States, proving invalidity requires a showing of clear and convincing evidence to overcome the presumption of validity enjoyed by issued patents. Even if we believe third-party intellectual property claims are without merit, there is no assurance that a court would find in our favor on questions of infringement, validity, or enforceability. Even if we are successful in these proceedings, we may incur substantial costs and the time and attention of our management and business and scientific personnel could be diverted in pursuing these proceedings, which could significantly harm our business and operating results. In addition, we may not have sufficient resources to bring these actions to a successful conclusion.</w:t>
      </w:r>
    </w:p>
    <w:p>
      <w:pPr>
        <w:spacing w:after="0" w:line="182" w:lineRule="exact"/>
        <w:rPr>
          <w:sz w:val="20"/>
          <w:szCs w:val="20"/>
          <w:color w:val="auto"/>
        </w:rPr>
      </w:pPr>
    </w:p>
    <w:p>
      <w:pPr>
        <w:ind w:right="140" w:firstLine="416"/>
        <w:spacing w:after="0" w:line="288" w:lineRule="auto"/>
        <w:rPr>
          <w:sz w:val="20"/>
          <w:szCs w:val="20"/>
          <w:color w:val="auto"/>
        </w:rPr>
      </w:pPr>
      <w:r>
        <w:rPr>
          <w:rFonts w:ascii="Arial" w:cs="Arial" w:eastAsia="Arial" w:hAnsi="Arial"/>
          <w:sz w:val="16"/>
          <w:szCs w:val="16"/>
          <w:color w:val="auto"/>
        </w:rPr>
        <w:t>If we are found to infringe, misappropriate or otherwise violate a third party’s intellectual property or proprietary rights and we are unsuccessful in demonstrating that such intellectual property or proprietary rights are invalid or unenforceable,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In addition, we could be found liable for significant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63" w:lineRule="exact"/>
        <w:rPr>
          <w:sz w:val="20"/>
          <w:szCs w:val="20"/>
          <w:color w:val="auto"/>
        </w:rPr>
      </w:pPr>
    </w:p>
    <w:p>
      <w:pPr>
        <w:ind w:left="420"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consultants or we have misappropriated their intellectual property, or claiming ownership of what we regard as our own intellectual property.</w:t>
      </w:r>
    </w:p>
    <w:p>
      <w:pPr>
        <w:spacing w:after="0" w:line="62" w:lineRule="exact"/>
        <w:rPr>
          <w:sz w:val="20"/>
          <w:szCs w:val="20"/>
          <w:color w:val="auto"/>
        </w:rPr>
      </w:pPr>
    </w:p>
    <w:p>
      <w:pPr>
        <w:ind w:right="40" w:firstLine="416"/>
        <w:spacing w:after="0" w:line="288" w:lineRule="auto"/>
        <w:rPr>
          <w:sz w:val="20"/>
          <w:szCs w:val="20"/>
          <w:color w:val="auto"/>
        </w:rPr>
      </w:pPr>
      <w:r>
        <w:rPr>
          <w:rFonts w:ascii="Arial" w:cs="Arial" w:eastAsia="Arial" w:hAnsi="Arial"/>
          <w:sz w:val="16"/>
          <w:szCs w:val="16"/>
          <w:color w:val="auto"/>
        </w:rPr>
        <w:t>Some of our employees and consultants are currently or have been previously employed at universities or at other biotechnology or pharmaceutical companies, including our competitors or potential competitors. These employees and consultants may have executed proprietary rights, non-disclosure and non-competition agreements, or similar agreements, in connection with such other current or previous employment.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third parties. Litigation may be necessary to defend against such claims. If we fail in defending any such claims, in addition to paying monetary damages, we may lose valuable intellectual property or personnel or sustain damages. Such intellectual property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our management. Any of the foregoing would have a material adverse effect on our business, financial condition, results of operations and prospects.</w:t>
      </w:r>
    </w:p>
    <w:p>
      <w:pPr>
        <w:spacing w:after="0" w:line="168"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In addition,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which may result in claims by or against us related to the ownership of such intellectual property. In addition, such agreements may not be self-executing such that the intellectual property subject to such agreements may not be assigned to us without additional assignments being executed, and we may fail to obtain such assignments. In addition, such agreements may be breached. In addition, we have multiple sponsored research agreements relating to our lead product candidates with various academic institutions. Some of these academic institutions may not have intellectual property assignments or similar agreements with their employees and consultants, which may result in claims by or against us related to ownership of any intellectual property. Accordingly,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right="160"/>
        <w:spacing w:after="0" w:line="257" w:lineRule="auto"/>
        <w:rPr>
          <w:sz w:val="20"/>
          <w:szCs w:val="20"/>
          <w:color w:val="auto"/>
        </w:rPr>
      </w:pPr>
      <w:r>
        <w:rPr>
          <w:rFonts w:ascii="Arial" w:cs="Arial" w:eastAsia="Arial" w:hAnsi="Arial"/>
          <w:sz w:val="18"/>
          <w:szCs w:val="18"/>
          <w:color w:val="auto"/>
        </w:rPr>
        <w:t>we may be forced to bring claims against third parties, or defend claims that they may bring against us to determine the ownership of what we regard as our intellectual property. If we fail in prosecuting or defending any such claims, in addition to paying monetary damages, we may lose valuable intellectual property. Even if we are successful in prosecuting or defending against such claims, litigation could result in substantial costs and be a distraction to our senior management and scientific personnel, which would have a material adverse effect on our business, financial condition, results of operations and prospects.</w:t>
      </w:r>
    </w:p>
    <w:p>
      <w:pPr>
        <w:spacing w:after="0" w:line="2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Rights to improvements to our product candidates may be held by third parties.</w:t>
      </w:r>
    </w:p>
    <w:p>
      <w:pPr>
        <w:spacing w:after="0" w:line="117"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In the course of testing our product candidates, we have entered into agreements with third parties to conduct clinical testing, which provide that improvements to our product candidates may be owned solely by a party or jointly between the parties. If we determine that rights to such improvements owned solely by a third party are necessary to commercialize our product candidates or maintain our competitive advantage, we may need to obtain a license from such third party in order to use the improvements and continue developing, manufacturing or marketing the product candidates.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 license, could prevent us from commercializing our product candidates or force us to cease some of our business operations, which could materially harm our business. If we determine that rights to improvements jointly owned between us and a third party are necessary to commercialize our product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third parties, including our competitors, and our competitors could market competing products and technology. In addition, we may need the cooperation of any such co-owners of our intellectual property in order to enforce such intellectual property against third parties, and such cooperation may not be provided to us. Any of the foregoing could have a material adverse effect on our competitive position, business, financial conditions, results of operations, and prospects.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term of our patents may be inadequate to protect our competitive position on our products.</w:t>
      </w:r>
    </w:p>
    <w:p>
      <w:pPr>
        <w:spacing w:after="0" w:line="117" w:lineRule="exact"/>
        <w:rPr>
          <w:sz w:val="20"/>
          <w:szCs w:val="20"/>
          <w:color w:val="auto"/>
        </w:rPr>
      </w:pPr>
    </w:p>
    <w:p>
      <w:pPr>
        <w:ind w:right="80" w:firstLine="416"/>
        <w:spacing w:after="0" w:line="267"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other factors relating to any FDA marketing approval we receive for any of our product candidates, one or more of our U.S. patents may be eligible for limited patent term extension under the Drug Price Competition and Patent Term Restoration Action of 1984, or the Hatch- Waxman Amendments. We expect to seek extensions of patent terms in the United States and, if available, in other countries where we are prosecuting patents. In the United States, the Hatch-Waxman Amendments permit a patent term extension of up to five years beyond the normal expiration of the patent, limited to the approved indication (or any additional indications approved during the period of extension), as compensation for patent term lost to the regulatory review process during which the sponsor was unable to commercially market its new product. A patent term extension cannot extend the remaining term of a patent beyond a total of 14 years from the date of product approval, only one patent applicable to an approved drug is eligible for the extension and only those claims covering the approved drug, a method for using it, or a method for manufacturing it may be extended, and the application for the extension must be submitted prior to the expiration of the patent. However, the applicable authorities, including the FDA and the USPTO in the United States, and any equivalent regulatory authority in other countries, may not agree with our assessment of whether such extensions are available for our patents, may refuse to grant extensions to our patents, or may grant more limited extensions than we request.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patent term extension or the term of any such extension is less than we request, our competitors and other third parties may be able to obtain approval of competing products following our patent expiration and take advantage of our investment in development and clinical trials by referencing our clinical and preclinical data and launch their product earlier than might otherwise be the case. Any of the foregoing would have a material adverse effect on our business, financial condition, results of operations and prospects.</w:t>
      </w:r>
    </w:p>
    <w:p>
      <w:pPr>
        <w:spacing w:after="0" w:line="283" w:lineRule="exact"/>
        <w:rPr>
          <w:sz w:val="20"/>
          <w:szCs w:val="20"/>
          <w:color w:val="auto"/>
        </w:rPr>
      </w:pPr>
    </w:p>
    <w:p>
      <w:pPr>
        <w:ind w:left="420" w:right="2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76" w:lineRule="exact"/>
        <w:rPr>
          <w:sz w:val="20"/>
          <w:szCs w:val="20"/>
          <w:color w:val="auto"/>
        </w:rPr>
      </w:pPr>
    </w:p>
    <w:p>
      <w:pPr>
        <w:ind w:right="40" w:firstLine="416"/>
        <w:spacing w:after="0" w:line="259" w:lineRule="auto"/>
        <w:rPr>
          <w:sz w:val="20"/>
          <w:szCs w:val="20"/>
          <w:color w:val="auto"/>
        </w:rPr>
      </w:pPr>
      <w:r>
        <w:rPr>
          <w:rFonts w:ascii="Arial" w:cs="Arial" w:eastAsia="Arial" w:hAnsi="Arial"/>
          <w:sz w:val="18"/>
          <w:szCs w:val="18"/>
          <w:color w:val="auto"/>
        </w:rPr>
        <w:t>Periodic maintenance fees, renewal fees, annuity fees and various other government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In the future, we may rely on licensing partners to pay these fees due to U.S. and non-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1" w:name="page62"/>
    <w:bookmarkEnd w:id="61"/>
    <w:p>
      <w:pPr>
        <w:spacing w:after="0" w:line="272" w:lineRule="auto"/>
        <w:rPr>
          <w:sz w:val="20"/>
          <w:szCs w:val="20"/>
          <w:color w:val="auto"/>
        </w:rPr>
      </w:pPr>
      <w:r>
        <w:rPr>
          <w:rFonts w:ascii="Arial" w:cs="Arial" w:eastAsia="Arial" w:hAnsi="Arial"/>
          <w:sz w:val="17"/>
          <w:szCs w:val="17"/>
          <w:color w:val="auto"/>
        </w:rPr>
        <w:t>U.S. patent agencies and to comply with these other requirements with respect to any future licensed patents and patent applications. While an inadvertent lapse can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of technology, which would have a material adverse effect on our business, financial condition, results of operations and prospects.</w:t>
      </w:r>
    </w:p>
    <w:p>
      <w:pPr>
        <w:spacing w:after="0" w:line="272" w:lineRule="exact"/>
        <w:rPr>
          <w:sz w:val="20"/>
          <w:szCs w:val="20"/>
          <w:color w:val="auto"/>
        </w:rPr>
      </w:pPr>
    </w:p>
    <w:p>
      <w:pPr>
        <w:ind w:left="420" w:right="40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62"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We rely on proprietary know-how and trade secret protection and confidentiality agreements to protect proprietary know-how or trade secrets that are not patentable or that we elect not to patent. We seek to protect our trade secrets and proprietary know-how in part by entering into non-disclosure and confidentiality agreements with parties who have access to such knowledge, such as our employees, consultants, independent contractors, advisors, CMOs, CROs, hospitals, independent treatment centers, suppliers, collaborators and other third parties. We also enter into confidentiality and invention or patent assignment agreements with employees and certain consultants. However, we cannot guarantee that we have entered into such agreements with each party that may have or have had access to our trade secrets or proprietary know-how. Additionally, our confidentiality agreements and other contractual protections may not be adequate to protect our intellectual property from unauthorized disclosure, third-party infringement or misappropriation.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or other third party, we would have no right to prevent such third party, or those to whom they communicate such technology or information, from using that technology or information to compete with us. If any of our trade secrets were to be disclosed to or independently developed by a competitor or other third party, our business, financial condition, results of operations and prospects our business and competitive position could be materially harmed.</w:t>
      </w: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120" w:firstLine="416"/>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820" w:right="160" w:hanging="407"/>
        <w:spacing w:after="0" w:line="277"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be able to make products similar to any product candidates we may develop or utilize similarly related technologies that are not covered by the claims of the patents that we may license or may own in the future;</w:t>
      </w:r>
    </w:p>
    <w:p>
      <w:pPr>
        <w:spacing w:after="0" w:line="62" w:lineRule="exact"/>
        <w:rPr>
          <w:rFonts w:ascii="Arial" w:cs="Arial" w:eastAsia="Arial" w:hAnsi="Arial"/>
          <w:sz w:val="18"/>
          <w:szCs w:val="18"/>
          <w:color w:val="auto"/>
        </w:rPr>
      </w:pPr>
    </w:p>
    <w:p>
      <w:pPr>
        <w:ind w:left="820" w:right="320" w:hanging="407"/>
        <w:spacing w:after="0" w:line="277"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any future license partners or current or future collaborators, might not have been the first to make the inventions covered by the issued patent or pending patent application that we license or may own in the future;</w:t>
      </w:r>
    </w:p>
    <w:p>
      <w:pPr>
        <w:spacing w:after="0" w:line="62" w:lineRule="exact"/>
        <w:rPr>
          <w:rFonts w:ascii="Arial" w:cs="Arial" w:eastAsia="Arial" w:hAnsi="Arial"/>
          <w:sz w:val="18"/>
          <w:szCs w:val="18"/>
          <w:color w:val="auto"/>
        </w:rPr>
      </w:pPr>
    </w:p>
    <w:p>
      <w:pPr>
        <w:ind w:left="820" w:right="120" w:hanging="407"/>
        <w:spacing w:after="0" w:line="277"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any future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820" w:right="100" w:hanging="407"/>
        <w:spacing w:after="0" w:line="277"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any of our owned or licensed intellectual property rights;</w:t>
      </w:r>
    </w:p>
    <w:p>
      <w:pPr>
        <w:spacing w:after="0" w:line="8" w:lineRule="exact"/>
        <w:rPr>
          <w:rFonts w:ascii="Arial" w:cs="Arial" w:eastAsia="Arial" w:hAnsi="Arial"/>
          <w:sz w:val="18"/>
          <w:szCs w:val="18"/>
          <w:color w:val="auto"/>
        </w:rPr>
      </w:pPr>
    </w:p>
    <w:p>
      <w:pPr>
        <w:ind w:left="820" w:hanging="407"/>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44" w:lineRule="exact"/>
        <w:rPr>
          <w:rFonts w:ascii="Arial" w:cs="Arial" w:eastAsia="Arial" w:hAnsi="Arial"/>
          <w:sz w:val="18"/>
          <w:szCs w:val="18"/>
          <w:color w:val="auto"/>
        </w:rPr>
      </w:pPr>
    </w:p>
    <w:p>
      <w:pPr>
        <w:ind w:left="820" w:right="100" w:hanging="407"/>
        <w:spacing w:after="0" w:line="277"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89" w:lineRule="exact"/>
        <w:rPr>
          <w:rFonts w:ascii="Arial" w:cs="Arial" w:eastAsia="Arial" w:hAnsi="Arial"/>
          <w:sz w:val="18"/>
          <w:szCs w:val="18"/>
          <w:color w:val="auto"/>
        </w:rPr>
      </w:pPr>
    </w:p>
    <w:p>
      <w:pPr>
        <w:ind w:left="820" w:right="40" w:hanging="407"/>
        <w:spacing w:after="0" w:line="308" w:lineRule="auto"/>
        <w:tabs>
          <w:tab w:leader="none" w:pos="8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1" w:lineRule="exact"/>
        <w:rPr>
          <w:rFonts w:ascii="Arial" w:cs="Arial" w:eastAsia="Arial" w:hAnsi="Arial"/>
          <w:sz w:val="17"/>
          <w:szCs w:val="17"/>
          <w:color w:val="auto"/>
        </w:rPr>
      </w:pPr>
    </w:p>
    <w:p>
      <w:pPr>
        <w:ind w:left="820" w:hanging="407"/>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90" w:lineRule="exact"/>
        <w:rPr>
          <w:rFonts w:ascii="Arial" w:cs="Arial" w:eastAsia="Arial" w:hAnsi="Arial"/>
          <w:sz w:val="18"/>
          <w:szCs w:val="18"/>
          <w:color w:val="auto"/>
        </w:rPr>
      </w:pPr>
    </w:p>
    <w:p>
      <w:pPr>
        <w:ind w:left="820" w:hanging="407"/>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2" w:name="page63"/>
    <w:bookmarkEnd w:id="62"/>
    <w:p>
      <w:pPr>
        <w:ind w:left="820" w:right="260" w:hanging="407"/>
        <w:spacing w:after="0" w:line="277"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 how, and a third party may subsequently file a patent covering such intellectual property.</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4" w:lineRule="exact"/>
        <w:rPr>
          <w:sz w:val="20"/>
          <w:szCs w:val="20"/>
          <w:color w:val="auto"/>
        </w:rPr>
      </w:pPr>
    </w:p>
    <w:p>
      <w:pPr>
        <w:ind w:left="420" w:right="500"/>
        <w:spacing w:after="0" w:line="277" w:lineRule="auto"/>
        <w:rPr>
          <w:sz w:val="20"/>
          <w:szCs w:val="20"/>
          <w:color w:val="auto"/>
        </w:rPr>
      </w:pPr>
      <w:r>
        <w:rPr>
          <w:rFonts w:ascii="Arial" w:cs="Arial" w:eastAsia="Arial" w:hAnsi="Arial"/>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spacing w:after="0" w:line="35" w:lineRule="exact"/>
        <w:rPr>
          <w:sz w:val="20"/>
          <w:szCs w:val="20"/>
          <w:color w:val="auto"/>
        </w:rPr>
      </w:pPr>
    </w:p>
    <w:p>
      <w:pPr>
        <w:ind w:right="100" w:firstLine="416"/>
        <w:spacing w:after="0" w:line="255" w:lineRule="auto"/>
        <w:rPr>
          <w:sz w:val="20"/>
          <w:szCs w:val="20"/>
          <w:color w:val="auto"/>
        </w:rPr>
      </w:pPr>
      <w:r>
        <w:rPr>
          <w:rFonts w:ascii="Arial" w:cs="Arial" w:eastAsia="Arial" w:hAnsi="Arial"/>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152" w:lineRule="exact"/>
        <w:rPr>
          <w:sz w:val="20"/>
          <w:szCs w:val="20"/>
          <w:color w:val="auto"/>
        </w:rPr>
      </w:pPr>
    </w:p>
    <w:p>
      <w:pPr>
        <w:ind w:left="420" w:right="24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35" w:lineRule="exact"/>
        <w:rPr>
          <w:sz w:val="20"/>
          <w:szCs w:val="20"/>
          <w:color w:val="auto"/>
        </w:rPr>
      </w:pPr>
    </w:p>
    <w:p>
      <w:pPr>
        <w:ind w:right="120" w:firstLine="416"/>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35" w:lineRule="exact"/>
        <w:rPr>
          <w:sz w:val="20"/>
          <w:szCs w:val="20"/>
          <w:color w:val="auto"/>
        </w:rPr>
      </w:pPr>
    </w:p>
    <w:p>
      <w:pPr>
        <w:ind w:left="820" w:right="460" w:hanging="407"/>
        <w:spacing w:after="0" w:line="277"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planned and ongoing development of our product candidates or future development programs, including scale-up CMC expenses;</w:t>
      </w:r>
    </w:p>
    <w:p>
      <w:pPr>
        <w:spacing w:after="0" w:line="35" w:lineRule="exact"/>
        <w:rPr>
          <w:rFonts w:ascii="Arial" w:cs="Arial" w:eastAsia="Arial" w:hAnsi="Arial"/>
          <w:sz w:val="18"/>
          <w:szCs w:val="18"/>
          <w:color w:val="auto"/>
        </w:rPr>
      </w:pPr>
    </w:p>
    <w:p>
      <w:pPr>
        <w:ind w:left="820" w:hanging="407"/>
        <w:spacing w:after="0" w:line="277"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future preclinical or clinical trials or funding support by us, or future collaborators or licensing partners;</w:t>
      </w:r>
    </w:p>
    <w:p>
      <w:pPr>
        <w:spacing w:after="0" w:line="35" w:lineRule="exact"/>
        <w:rPr>
          <w:rFonts w:ascii="Arial" w:cs="Arial" w:eastAsia="Arial" w:hAnsi="Arial"/>
          <w:sz w:val="18"/>
          <w:szCs w:val="18"/>
          <w:color w:val="auto"/>
        </w:rPr>
      </w:pPr>
    </w:p>
    <w:p>
      <w:pPr>
        <w:ind w:left="820" w:right="80" w:hanging="407"/>
        <w:spacing w:after="0" w:line="277"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35" w:lineRule="exact"/>
        <w:rPr>
          <w:rFonts w:ascii="Arial" w:cs="Arial" w:eastAsia="Arial" w:hAnsi="Arial"/>
          <w:sz w:val="18"/>
          <w:szCs w:val="18"/>
          <w:color w:val="auto"/>
        </w:rPr>
      </w:pPr>
    </w:p>
    <w:p>
      <w:pPr>
        <w:ind w:left="820" w:hanging="407"/>
        <w:spacing w:after="0"/>
        <w:tabs>
          <w:tab w:leader="none" w:pos="8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01" w:lineRule="exact"/>
        <w:rPr>
          <w:rFonts w:ascii="Arial" w:cs="Arial" w:eastAsia="Arial" w:hAnsi="Arial"/>
          <w:sz w:val="17"/>
          <w:szCs w:val="17"/>
          <w:color w:val="auto"/>
        </w:rPr>
      </w:pPr>
    </w:p>
    <w:p>
      <w:pPr>
        <w:ind w:left="820" w:hanging="407"/>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90" w:lineRule="exact"/>
        <w:rPr>
          <w:rFonts w:ascii="Arial" w:cs="Arial" w:eastAsia="Arial" w:hAnsi="Arial"/>
          <w:sz w:val="18"/>
          <w:szCs w:val="18"/>
          <w:color w:val="auto"/>
        </w:rPr>
      </w:pPr>
    </w:p>
    <w:p>
      <w:pPr>
        <w:ind w:left="820" w:right="340" w:hanging="407"/>
        <w:spacing w:after="0" w:line="277"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35" w:lineRule="exact"/>
        <w:rPr>
          <w:rFonts w:ascii="Arial" w:cs="Arial" w:eastAsia="Arial" w:hAnsi="Arial"/>
          <w:sz w:val="18"/>
          <w:szCs w:val="18"/>
          <w:color w:val="auto"/>
        </w:rPr>
      </w:pPr>
    </w:p>
    <w:p>
      <w:pPr>
        <w:ind w:left="820" w:right="520" w:hanging="407"/>
        <w:spacing w:after="0" w:line="277"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30" w:lineRule="exact"/>
        <w:rPr>
          <w:rFonts w:ascii="Arial" w:cs="Arial" w:eastAsia="Arial" w:hAnsi="Arial"/>
          <w:sz w:val="18"/>
          <w:szCs w:val="18"/>
          <w:color w:val="auto"/>
        </w:rPr>
      </w:pPr>
    </w:p>
    <w:p>
      <w:pPr>
        <w:ind w:left="820" w:hanging="407"/>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such as due to the recent COVID-19 pandemic.</w:t>
      </w:r>
    </w:p>
    <w:p>
      <w:pPr>
        <w:spacing w:after="0" w:line="239" w:lineRule="exact"/>
        <w:rPr>
          <w:sz w:val="20"/>
          <w:szCs w:val="20"/>
          <w:color w:val="auto"/>
        </w:rPr>
      </w:pPr>
    </w:p>
    <w:p>
      <w:pPr>
        <w:ind w:right="140" w:firstLine="416"/>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11" w:right="379" w:bottom="1440" w:gutter="0" w:footer="0" w:header="0"/>
        </w:sectPr>
      </w:pPr>
    </w:p>
    <w:bookmarkStart w:id="63" w:name="page64"/>
    <w:bookmarkEnd w:id="63"/>
    <w:p>
      <w:pPr>
        <w:ind w:left="420"/>
        <w:spacing w:after="0"/>
        <w:rPr>
          <w:sz w:val="20"/>
          <w:szCs w:val="20"/>
          <w:color w:val="auto"/>
        </w:rPr>
      </w:pPr>
      <w:r>
        <w:rPr>
          <w:rFonts w:ascii="Arial" w:cs="Arial" w:eastAsia="Arial" w:hAnsi="Arial"/>
          <w:sz w:val="15"/>
          <w:szCs w:val="15"/>
          <w:b w:val="1"/>
          <w:bCs w:val="1"/>
          <w:i w:val="1"/>
          <w:iCs w:val="1"/>
          <w:color w:val="auto"/>
        </w:rPr>
        <w:t>The market price of our common stock is likely to be highly volatile, which could result in substantial losses for purchasers of our common stock.</w:t>
      </w:r>
    </w:p>
    <w:p>
      <w:pPr>
        <w:spacing w:after="0" w:line="152"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The market price of our common stock has been highly volatile since our initial public offering, or IPO, and has ranged from $23.69 to $95.38 per share. The market price of our common stock is likely to continue to be highly volatile and subject to wide fluctuations in response to various factors, some of which we cannot control. As a result of this volatility, investors may not be able to sell their common stock at or above the price paid. The market price for our common stock may be influenced by many factors, including the other risks described in this section of this Quarterly Report on Form 10-Q and the following:</w:t>
      </w:r>
    </w:p>
    <w:p>
      <w:pPr>
        <w:spacing w:after="0" w:line="80" w:lineRule="exact"/>
        <w:rPr>
          <w:sz w:val="20"/>
          <w:szCs w:val="20"/>
          <w:color w:val="auto"/>
        </w:rPr>
      </w:pPr>
    </w:p>
    <w:p>
      <w:pPr>
        <w:ind w:left="820" w:right="140" w:hanging="407"/>
        <w:spacing w:after="0" w:line="277"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enrollment or results of clinical trials of our product candidates, or those of our competitors or our future collaborators, or changes in the development status of our product candidates;</w:t>
      </w:r>
    </w:p>
    <w:p>
      <w:pPr>
        <w:spacing w:after="0" w:line="62" w:lineRule="exact"/>
        <w:rPr>
          <w:rFonts w:ascii="Arial" w:cs="Arial" w:eastAsia="Arial" w:hAnsi="Arial"/>
          <w:sz w:val="18"/>
          <w:szCs w:val="18"/>
          <w:color w:val="auto"/>
        </w:rPr>
      </w:pPr>
    </w:p>
    <w:p>
      <w:pPr>
        <w:ind w:left="820" w:right="220" w:hanging="407"/>
        <w:spacing w:after="0" w:line="277"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820" w:right="280" w:hanging="407"/>
        <w:spacing w:after="0" w:line="277"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62" w:lineRule="exact"/>
        <w:rPr>
          <w:sz w:val="20"/>
          <w:szCs w:val="20"/>
          <w:color w:val="auto"/>
        </w:rPr>
      </w:pPr>
    </w:p>
    <w:p>
      <w:pPr>
        <w:ind w:left="420" w:right="180"/>
        <w:spacing w:after="0" w:line="375" w:lineRule="auto"/>
        <w:rPr>
          <w:sz w:val="20"/>
          <w:szCs w:val="20"/>
          <w:color w:val="auto"/>
        </w:rPr>
      </w:pPr>
      <w:r>
        <w:rPr>
          <w:rFonts w:ascii="Arial" w:cs="Arial" w:eastAsia="Arial" w:hAnsi="Arial"/>
          <w:sz w:val="18"/>
          <w:szCs w:val="18"/>
          <w:color w:val="auto"/>
        </w:rPr>
        <w:t>• actions taken by regulatory agencies with respect to our products, clinical studies, manufacturing process or sales and marketing terms; • actual or anticipated variations in our financial results or those of companies that are perceived to be similar to us;</w:t>
      </w:r>
    </w:p>
    <w:p>
      <w:pPr>
        <w:spacing w:after="0" w:line="1" w:lineRule="exact"/>
        <w:rPr>
          <w:sz w:val="20"/>
          <w:szCs w:val="20"/>
          <w:color w:val="auto"/>
        </w:rPr>
      </w:pPr>
    </w:p>
    <w:p>
      <w:pPr>
        <w:ind w:left="820" w:hanging="407"/>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developments concerning any future collaborations, including but not limited to those with development and commercialization partners;</w:t>
      </w:r>
    </w:p>
    <w:p>
      <w:pPr>
        <w:spacing w:after="0" w:line="128" w:lineRule="exact"/>
        <w:rPr>
          <w:rFonts w:ascii="Arial" w:cs="Arial" w:eastAsia="Arial" w:hAnsi="Arial"/>
          <w:sz w:val="17"/>
          <w:szCs w:val="17"/>
          <w:color w:val="auto"/>
        </w:rPr>
      </w:pPr>
    </w:p>
    <w:p>
      <w:pPr>
        <w:ind w:left="820" w:hanging="407"/>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1"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announcements by us or our competitors of significant acquisitions, strategic collaborations, joint ventures or capital commitments;</w:t>
      </w:r>
    </w:p>
    <w:p>
      <w:pPr>
        <w:spacing w:after="0" w:line="117" w:lineRule="exact"/>
        <w:rPr>
          <w:sz w:val="20"/>
          <w:szCs w:val="20"/>
          <w:color w:val="auto"/>
        </w:rPr>
      </w:pPr>
    </w:p>
    <w:p>
      <w:pPr>
        <w:ind w:left="820" w:right="80" w:hanging="407"/>
        <w:spacing w:after="0" w:line="277"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 candidates and products;</w:t>
      </w:r>
    </w:p>
    <w:p>
      <w:pPr>
        <w:spacing w:after="0" w:line="62" w:lineRule="exact"/>
        <w:rPr>
          <w:rFonts w:ascii="Arial" w:cs="Arial" w:eastAsia="Arial" w:hAnsi="Arial"/>
          <w:sz w:val="18"/>
          <w:szCs w:val="18"/>
          <w:color w:val="auto"/>
        </w:rPr>
      </w:pPr>
    </w:p>
    <w:p>
      <w:pPr>
        <w:ind w:left="820" w:hanging="407"/>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30" w:lineRule="exact"/>
        <w:rPr>
          <w:rFonts w:ascii="Arial" w:cs="Arial" w:eastAsia="Arial" w:hAnsi="Arial"/>
          <w:sz w:val="18"/>
          <w:szCs w:val="18"/>
          <w:color w:val="auto"/>
        </w:rPr>
      </w:pPr>
    </w:p>
    <w:p>
      <w:pPr>
        <w:ind w:left="820" w:hanging="407"/>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820" w:hanging="407"/>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820" w:right="320" w:hanging="407"/>
        <w:spacing w:after="0" w:line="277"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9" w:lineRule="exact"/>
        <w:rPr>
          <w:sz w:val="20"/>
          <w:szCs w:val="20"/>
          <w:color w:val="auto"/>
        </w:rPr>
      </w:pPr>
    </w:p>
    <w:p>
      <w:pPr>
        <w:ind w:left="820" w:hanging="407"/>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share price and fluctuations of trading volume of our common stock;</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of our common stock by us, insiders or our stockholders;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17" w:lineRule="exact"/>
        <w:rPr>
          <w:rFonts w:ascii="Arial" w:cs="Arial" w:eastAsia="Arial" w:hAnsi="Arial"/>
          <w:sz w:val="18"/>
          <w:szCs w:val="18"/>
          <w:color w:val="auto"/>
        </w:rPr>
      </w:pPr>
    </w:p>
    <w:p>
      <w:pPr>
        <w:ind w:left="820" w:right="140" w:hanging="407"/>
        <w:spacing w:after="0" w:line="277" w:lineRule="auto"/>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economic, industry and market conditions, or other events or factors, many of which are beyond our control, such as the recent COVID-19 pandemic.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4" w:name="page65"/>
    <w:bookmarkEnd w:id="64"/>
    <w:p>
      <w:pPr>
        <w:ind w:right="140" w:firstLine="416"/>
        <w:spacing w:after="0" w:line="257"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47" w:lineRule="exact"/>
        <w:rPr>
          <w:sz w:val="20"/>
          <w:szCs w:val="20"/>
          <w:color w:val="auto"/>
        </w:rPr>
      </w:pPr>
    </w:p>
    <w:p>
      <w:pPr>
        <w:ind w:left="420" w:right="4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right="20" w:firstLine="416"/>
        <w:spacing w:after="0" w:line="263" w:lineRule="auto"/>
        <w:rPr>
          <w:sz w:val="20"/>
          <w:szCs w:val="20"/>
          <w:color w:val="auto"/>
        </w:rPr>
      </w:pPr>
      <w:r>
        <w:rPr>
          <w:rFonts w:ascii="Arial" w:cs="Arial" w:eastAsia="Arial" w:hAnsi="Arial"/>
          <w:sz w:val="18"/>
          <w:szCs w:val="18"/>
          <w:color w:val="auto"/>
        </w:rPr>
        <w:t>As of March 31, 2021, our executive officers, directors, beneficial owners of 5% or more of our capital stock and their respective affiliates beneficially owned a substantial portion of our common stock. The voting power of this group may increase to the extent they convert shares of non-voting common stock they hold into common stock.</w:t>
      </w:r>
    </w:p>
    <w:p>
      <w:pPr>
        <w:spacing w:after="0" w:line="184" w:lineRule="exact"/>
        <w:rPr>
          <w:sz w:val="20"/>
          <w:szCs w:val="20"/>
          <w:color w:val="auto"/>
        </w:rPr>
      </w:pPr>
    </w:p>
    <w:p>
      <w:pPr>
        <w:ind w:right="120" w:firstLine="416"/>
        <w:spacing w:after="0" w:line="293" w:lineRule="auto"/>
        <w:rPr>
          <w:sz w:val="20"/>
          <w:szCs w:val="20"/>
          <w:color w:val="auto"/>
        </w:rPr>
      </w:pPr>
      <w:r>
        <w:rPr>
          <w:rFonts w:ascii="Arial" w:cs="Arial" w:eastAsia="Arial" w:hAnsi="Arial"/>
          <w:sz w:val="16"/>
          <w:szCs w:val="16"/>
          <w:color w:val="auto"/>
        </w:rPr>
        <w:t>This group of stockholders have the ability to control us through this ownership position and are able to determine all matters requiring stockholder approval. For example, these stockholders are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83" w:lineRule="exact"/>
        <w:rPr>
          <w:sz w:val="20"/>
          <w:szCs w:val="20"/>
          <w:color w:val="auto"/>
        </w:rPr>
      </w:pPr>
    </w:p>
    <w:p>
      <w:pPr>
        <w:ind w:left="420" w:right="260"/>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may limit your ability to influence corporate matters and may limit your visibility with respect to certain transactions.</w:t>
      </w:r>
    </w:p>
    <w:p>
      <w:pPr>
        <w:spacing w:after="0" w:line="62" w:lineRule="exact"/>
        <w:rPr>
          <w:sz w:val="20"/>
          <w:szCs w:val="20"/>
          <w:color w:val="auto"/>
        </w:rPr>
      </w:pPr>
    </w:p>
    <w:p>
      <w:pPr>
        <w:ind w:right="80" w:firstLine="416"/>
        <w:spacing w:after="0" w:line="269" w:lineRule="auto"/>
        <w:rPr>
          <w:sz w:val="20"/>
          <w:szCs w:val="20"/>
          <w:color w:val="auto"/>
        </w:rPr>
      </w:pPr>
      <w:r>
        <w:rPr>
          <w:rFonts w:ascii="Arial" w:cs="Arial" w:eastAsia="Arial" w:hAnsi="Arial"/>
          <w:sz w:val="17"/>
          <w:szCs w:val="17"/>
          <w:color w:val="auto"/>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restated certificate of incorporation. Consequently, if holders of our non-voting common stock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For example, at March 31, 2021, the common stock will have 100% of the voting power, but if the holders of non-voting common stock were to convert all of their shares into common stock, the prior common stock would have 75.6% of the voting power, and the former non-voting common stock would represent 24.4% of the voting power. Additionally, stockholders who hold, in the aggregate, more than 10% of our common stock and non-voting common stock, but 10% or less of our common stock, and are not otherwise an insider of the company, may not be required to report changes in their ownership due to transactions in our non-voting common stock pursuant to Section 16(a) of the Securities Exchange Act of 1934, as amended, or the Exchange Act, and may not be subject to the short-swing profit provisions of Section 16(b) of the Exchange Act.</w:t>
      </w:r>
    </w:p>
    <w:p>
      <w:pPr>
        <w:spacing w:after="0" w:line="273" w:lineRule="exact"/>
        <w:rPr>
          <w:sz w:val="20"/>
          <w:szCs w:val="20"/>
          <w:color w:val="auto"/>
        </w:rPr>
      </w:pPr>
    </w:p>
    <w:p>
      <w:pPr>
        <w:ind w:left="420" w:right="42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 w:lineRule="exact"/>
        <w:rPr>
          <w:sz w:val="20"/>
          <w:szCs w:val="20"/>
          <w:color w:val="auto"/>
        </w:rPr>
      </w:pPr>
    </w:p>
    <w:p>
      <w:pPr>
        <w:ind w:right="100" w:firstLine="416"/>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of 2002, as amended, or the Sarbanes-Oxley Act, (ii) reduced disclosure obligations regarding executive compensation in this Quarterly Report on Form 10-Q as well as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this Quarterly Report on Form 10-Q.</w:t>
      </w:r>
    </w:p>
    <w:p>
      <w:pPr>
        <w:spacing w:after="0" w:line="192" w:lineRule="exact"/>
        <w:rPr>
          <w:sz w:val="20"/>
          <w:szCs w:val="20"/>
          <w:color w:val="auto"/>
        </w:rPr>
      </w:pPr>
    </w:p>
    <w:p>
      <w:pPr>
        <w:jc w:val="both"/>
        <w:ind w:firstLine="416"/>
        <w:spacing w:after="0" w:line="263" w:lineRule="auto"/>
        <w:rPr>
          <w:sz w:val="20"/>
          <w:szCs w:val="20"/>
          <w:color w:val="auto"/>
        </w:rPr>
      </w:pPr>
      <w:r>
        <w:rPr>
          <w:rFonts w:ascii="Arial" w:cs="Arial" w:eastAsia="Arial" w:hAnsi="Arial"/>
          <w:sz w:val="18"/>
          <w:szCs w:val="18"/>
          <w:color w:val="auto"/>
        </w:rPr>
        <w:t>We could be an emerging growth company until December 31, 2025, although circumstances could cause us to lose that status earlier, including if we are deemed to be a “large accelerated filer,” which occurs when the market value of our common stock that is held by non-affiliates equals or exceeds $700 million as of the prior June 30, or if we have total annual gross revenue of $1.07 billion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5" w:name="page66"/>
    <w:bookmarkEnd w:id="65"/>
    <w:p>
      <w:pPr>
        <w:spacing w:after="0" w:line="290" w:lineRule="auto"/>
        <w:rPr>
          <w:sz w:val="20"/>
          <w:szCs w:val="20"/>
          <w:color w:val="auto"/>
        </w:rPr>
      </w:pPr>
      <w:r>
        <w:rPr>
          <w:rFonts w:ascii="Arial" w:cs="Arial" w:eastAsia="Arial" w:hAnsi="Arial"/>
          <w:sz w:val="16"/>
          <w:szCs w:val="16"/>
          <w:color w:val="auto"/>
        </w:rPr>
        <w:t>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if our revenues remain less than $100.0 million, and reduced disclosure obligations regarding executive compensation in this Quarterly Report on Form 10-Q as well as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65" w:lineRule="exact"/>
        <w:rPr>
          <w:sz w:val="20"/>
          <w:szCs w:val="20"/>
          <w:color w:val="auto"/>
        </w:rPr>
      </w:pPr>
    </w:p>
    <w:p>
      <w:pPr>
        <w:ind w:firstLine="416"/>
        <w:spacing w:after="0" w:line="254"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95" w:lineRule="exact"/>
        <w:rPr>
          <w:sz w:val="20"/>
          <w:szCs w:val="20"/>
          <w:color w:val="auto"/>
        </w:rPr>
      </w:pPr>
    </w:p>
    <w:p>
      <w:pPr>
        <w:ind w:right="60" w:firstLine="416"/>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$700.0 million as of the prior June 30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73" w:lineRule="exact"/>
        <w:rPr>
          <w:sz w:val="20"/>
          <w:szCs w:val="20"/>
          <w:color w:val="auto"/>
        </w:rPr>
      </w:pPr>
    </w:p>
    <w:p>
      <w:pPr>
        <w:ind w:left="420" w:right="10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38" w:lineRule="exact"/>
        <w:rPr>
          <w:sz w:val="20"/>
          <w:szCs w:val="20"/>
          <w:color w:val="auto"/>
        </w:rPr>
      </w:pPr>
    </w:p>
    <w:p>
      <w:pPr>
        <w:ind w:right="60" w:firstLine="416"/>
        <w:spacing w:after="0" w:line="263" w:lineRule="auto"/>
        <w:rPr>
          <w:sz w:val="20"/>
          <w:szCs w:val="20"/>
          <w:color w:val="auto"/>
        </w:rPr>
      </w:pPr>
      <w:r>
        <w:rPr>
          <w:rFonts w:ascii="Arial" w:cs="Arial" w:eastAsia="Arial" w:hAnsi="Arial"/>
          <w:sz w:val="18"/>
          <w:szCs w:val="18"/>
          <w:color w:val="auto"/>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49" w:lineRule="exact"/>
        <w:rPr>
          <w:sz w:val="20"/>
          <w:szCs w:val="20"/>
          <w:color w:val="auto"/>
        </w:rPr>
      </w:pPr>
    </w:p>
    <w:p>
      <w:pPr>
        <w:ind w:left="820" w:hanging="407"/>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90" w:lineRule="exact"/>
        <w:rPr>
          <w:rFonts w:ascii="Arial" w:cs="Arial" w:eastAsia="Arial" w:hAnsi="Arial"/>
          <w:sz w:val="18"/>
          <w:szCs w:val="18"/>
          <w:color w:val="auto"/>
        </w:rPr>
      </w:pPr>
    </w:p>
    <w:p>
      <w:pPr>
        <w:ind w:left="820" w:hanging="407"/>
        <w:spacing w:after="0"/>
        <w:tabs>
          <w:tab w:leader="none" w:pos="8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90"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authorize the issuance of “blank check” preferred stock that our board could use to implement a stockholder rights plan;</w:t>
      </w:r>
    </w:p>
    <w:p>
      <w:pPr>
        <w:spacing w:after="0" w:line="90" w:lineRule="exact"/>
        <w:rPr>
          <w:sz w:val="20"/>
          <w:szCs w:val="20"/>
          <w:color w:val="auto"/>
        </w:rPr>
      </w:pPr>
    </w:p>
    <w:p>
      <w:pPr>
        <w:ind w:left="820" w:hanging="407"/>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820" w:hanging="407"/>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90" w:lineRule="exact"/>
        <w:rPr>
          <w:rFonts w:ascii="Arial" w:cs="Arial" w:eastAsia="Arial" w:hAnsi="Arial"/>
          <w:sz w:val="18"/>
          <w:szCs w:val="18"/>
          <w:color w:val="auto"/>
        </w:rPr>
      </w:pPr>
    </w:p>
    <w:p>
      <w:pPr>
        <w:ind w:left="820" w:hanging="407"/>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820" w:right="460" w:hanging="407"/>
        <w:spacing w:after="0" w:line="277" w:lineRule="auto"/>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6" w:name="page67"/>
    <w:bookmarkEnd w:id="66"/>
    <w:p>
      <w:pPr>
        <w:ind w:right="20" w:firstLine="416"/>
        <w:spacing w:after="0" w:line="263" w:lineRule="auto"/>
        <w:rPr>
          <w:sz w:val="20"/>
          <w:szCs w:val="20"/>
          <w:color w:val="auto"/>
        </w:rPr>
      </w:pPr>
      <w:r>
        <w:rPr>
          <w:rFonts w:ascii="Arial" w:cs="Arial" w:eastAsia="Arial" w:hAnsi="Arial"/>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65" w:lineRule="exact"/>
        <w:rPr>
          <w:sz w:val="20"/>
          <w:szCs w:val="20"/>
          <w:color w:val="auto"/>
        </w:rPr>
      </w:pPr>
    </w:p>
    <w:p>
      <w:pPr>
        <w:ind w:left="420" w:right="100"/>
        <w:spacing w:after="0" w:line="356" w:lineRule="auto"/>
        <w:rPr>
          <w:sz w:val="20"/>
          <w:szCs w:val="20"/>
          <w:color w:val="auto"/>
        </w:rPr>
      </w:pPr>
      <w:r>
        <w:rPr>
          <w:rFonts w:ascii="Arial" w:cs="Arial" w:eastAsia="Arial" w:hAnsi="Arial"/>
          <w:sz w:val="15"/>
          <w:szCs w:val="15"/>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which may discourage lawsuits with respect to such claims.</w:t>
      </w:r>
    </w:p>
    <w:p>
      <w:pPr>
        <w:spacing w:after="0" w:line="1" w:lineRule="exact"/>
        <w:rPr>
          <w:sz w:val="20"/>
          <w:szCs w:val="20"/>
          <w:color w:val="auto"/>
        </w:rPr>
      </w:pPr>
    </w:p>
    <w:p>
      <w:pPr>
        <w:ind w:firstLine="416"/>
        <w:spacing w:after="0" w:line="275" w:lineRule="auto"/>
        <w:rPr>
          <w:sz w:val="20"/>
          <w:szCs w:val="20"/>
          <w:color w:val="auto"/>
        </w:rPr>
      </w:pPr>
      <w:r>
        <w:rPr>
          <w:rFonts w:ascii="Arial" w:cs="Arial" w:eastAsia="Arial" w:hAnsi="Arial"/>
          <w:sz w:val="17"/>
          <w:szCs w:val="17"/>
          <w:color w:val="auto"/>
        </w:rPr>
        <w:t>Our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w:t>
      </w:r>
    </w:p>
    <w:p>
      <w:pPr>
        <w:spacing w:after="0" w:line="149" w:lineRule="exact"/>
        <w:rPr>
          <w:sz w:val="20"/>
          <w:szCs w:val="20"/>
          <w:color w:val="auto"/>
        </w:rPr>
      </w:pPr>
    </w:p>
    <w:p>
      <w:pPr>
        <w:ind w:right="60" w:firstLine="416"/>
        <w:spacing w:after="0" w:line="30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30" w:lineRule="exact"/>
        <w:rPr>
          <w:sz w:val="20"/>
          <w:szCs w:val="20"/>
          <w:color w:val="auto"/>
        </w:rPr>
      </w:pPr>
    </w:p>
    <w:p>
      <w:pPr>
        <w:ind w:right="120" w:firstLine="416"/>
        <w:spacing w:after="0" w:line="254"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38" w:lineRule="exact"/>
        <w:rPr>
          <w:sz w:val="20"/>
          <w:szCs w:val="20"/>
          <w:color w:val="auto"/>
        </w:rPr>
      </w:pPr>
    </w:p>
    <w:p>
      <w:pPr>
        <w:ind w:right="40" w:firstLine="416"/>
        <w:spacing w:after="0" w:line="259"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stockholders will not be deemed to have waived our compliance with the federal securities laws and the regulations promulgated thereunder.</w:t>
      </w:r>
    </w:p>
    <w:p>
      <w:pPr>
        <w:spacing w:after="0" w:line="194" w:lineRule="exact"/>
        <w:rPr>
          <w:sz w:val="20"/>
          <w:szCs w:val="20"/>
          <w:color w:val="auto"/>
        </w:rPr>
      </w:pPr>
    </w:p>
    <w:p>
      <w:pPr>
        <w:ind w:right="300" w:firstLine="416"/>
        <w:spacing w:after="0" w:line="259"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14"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22" w:lineRule="exact"/>
        <w:rPr>
          <w:sz w:val="20"/>
          <w:szCs w:val="20"/>
          <w:color w:val="auto"/>
        </w:rPr>
      </w:pPr>
    </w:p>
    <w:p>
      <w:pPr>
        <w:ind w:firstLine="416"/>
        <w:spacing w:after="0" w:line="270" w:lineRule="auto"/>
        <w:rPr>
          <w:sz w:val="20"/>
          <w:szCs w:val="20"/>
          <w:color w:val="auto"/>
        </w:rPr>
      </w:pPr>
      <w:r>
        <w:rPr>
          <w:rFonts w:ascii="Arial" w:cs="Arial" w:eastAsia="Arial" w:hAnsi="Arial"/>
          <w:sz w:val="17"/>
          <w:szCs w:val="17"/>
          <w:color w:val="auto"/>
        </w:rPr>
        <w:t>As a public company, and particularly after we are no longer an emerging growth company, we will continue to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7" w:name="page68"/>
    <w:bookmarkEnd w:id="67"/>
    <w:p>
      <w:pPr>
        <w:ind w:right="160"/>
        <w:spacing w:after="0" w:line="296" w:lineRule="auto"/>
        <w:rPr>
          <w:sz w:val="20"/>
          <w:szCs w:val="20"/>
          <w:color w:val="auto"/>
        </w:rPr>
      </w:pPr>
      <w:r>
        <w:rPr>
          <w:rFonts w:ascii="Arial" w:cs="Arial" w:eastAsia="Arial" w:hAnsi="Arial"/>
          <w:sz w:val="16"/>
          <w:szCs w:val="16"/>
          <w:color w:val="auto"/>
        </w:rPr>
        <w:t>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07" w:lineRule="exact"/>
        <w:rPr>
          <w:sz w:val="20"/>
          <w:szCs w:val="20"/>
          <w:color w:val="auto"/>
        </w:rPr>
      </w:pPr>
    </w:p>
    <w:p>
      <w:pPr>
        <w:ind w:firstLine="416"/>
        <w:spacing w:after="0" w:line="268" w:lineRule="auto"/>
        <w:rPr>
          <w:sz w:val="20"/>
          <w:szCs w:val="20"/>
          <w:color w:val="auto"/>
        </w:rPr>
      </w:pPr>
      <w:r>
        <w:rPr>
          <w:rFonts w:ascii="Arial" w:cs="Arial" w:eastAsia="Arial" w:hAnsi="Arial"/>
          <w:sz w:val="17"/>
          <w:szCs w:val="17"/>
          <w:color w:val="auto"/>
        </w:rPr>
        <w:t>We are not currently required to comply with the SEC’s rules that implement Section 404 of the Sarbanes- Oxley Act, and are therefore not required to make a formal assessment of the effectiveness of our internal control over financial reporting for that purpose. Pursuant to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Sarbanes-Oxley Act.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 In addition, if we are not able to continue to meet these requirements, we may not be able to remain listed on the Nasdaq Global Select Market.</w:t>
      </w:r>
    </w:p>
    <w:p>
      <w:pPr>
        <w:spacing w:after="0" w:line="276" w:lineRule="exact"/>
        <w:rPr>
          <w:sz w:val="20"/>
          <w:szCs w:val="20"/>
          <w:color w:val="auto"/>
        </w:rPr>
      </w:pPr>
    </w:p>
    <w:p>
      <w:pPr>
        <w:ind w:left="420" w:right="2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320" w:firstLine="416"/>
        <w:spacing w:after="0" w:line="28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operation and expansion of our business and do not anticipate declaring or paying any cash dividends for the foreseeable future. As a result, capital appreciation, if any, of our common stock will be your sole source of gain for the foreseeable future.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420" w:right="7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60" w:firstLine="416"/>
        <w:spacing w:after="0" w:line="293"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publish about us or our business.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80" w:firstLine="416"/>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right="20" w:firstLine="416"/>
        <w:spacing w:after="0" w:line="263"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68" w:name="page69"/>
    <w:bookmarkEnd w:id="68"/>
    <w:p>
      <w:pPr>
        <w:ind w:right="40"/>
        <w:spacing w:after="0" w:line="286" w:lineRule="auto"/>
        <w:rPr>
          <w:sz w:val="20"/>
          <w:szCs w:val="20"/>
          <w:color w:val="auto"/>
        </w:rPr>
      </w:pPr>
      <w:r>
        <w:rPr>
          <w:rFonts w:ascii="Arial" w:cs="Arial" w:eastAsia="Arial" w:hAnsi="Arial"/>
          <w:sz w:val="17"/>
          <w:szCs w:val="17"/>
          <w:color w:val="auto"/>
        </w:rPr>
        <w:t>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risk management program or processes or procedures for identifying and addressing risks to our business in other areas.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right="120" w:firstLine="416"/>
        <w:spacing w:after="0" w:line="257" w:lineRule="auto"/>
        <w:rPr>
          <w:sz w:val="20"/>
          <w:szCs w:val="20"/>
          <w:color w:val="auto"/>
        </w:rPr>
      </w:pPr>
      <w:r>
        <w:rPr>
          <w:rFonts w:ascii="Arial" w:cs="Arial" w:eastAsia="Arial" w:hAnsi="Arial"/>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In the third quarter of 2020, we completed our IPO and sold 9,573,750 shares of common stock at an IPO price of $19.00 per share. The offer and sale of all of the shares in the IPO were registered under the Securities Act pursuant to registration statements on Form S-1 (File No. 333-248628), which was declared effective by the SEC on September 24, 2020, as supplemented by a registration statement on Form S-1 filed pursuant to Rule 462(b) (File No. 333-248628). We received net proceeds from the IPO of approximately $166.6 million, after deducting underwriting discounts and commissions of approximately $12.7 million and offering expenses of approximately $2.5 million. Morgan Stanley, Goldman Sachs &amp; Co. LLC and BofA Securities acted as joint book-running managers of the offering and as representatives of the underwriters. None of the expenses associated with the IPO were paid to directors, officers, persons owning 10% or more of any class of equity securities, or to their associates, or to our affiliates.</w:t>
      </w:r>
    </w:p>
    <w:p>
      <w:pPr>
        <w:spacing w:after="0" w:line="166" w:lineRule="exact"/>
        <w:rPr>
          <w:sz w:val="20"/>
          <w:szCs w:val="20"/>
          <w:color w:val="auto"/>
        </w:rPr>
      </w:pPr>
    </w:p>
    <w:p>
      <w:pPr>
        <w:ind w:right="500" w:firstLine="478"/>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the prospectus filed with the SEC pursuant to Rule 424(b)(4) under the Securities Act on September 25,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Furnish the exhibits required by Item 601 of Regulation S-K (§ 229.601 of this chapter).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100" w:type="dxa"/>
            <w:vAlign w:val="bottom"/>
            <w:gridSpan w:val="9"/>
            <w:vMerge w:val="restart"/>
          </w:tcPr>
          <w:p>
            <w:pPr>
              <w:ind w:left="1980"/>
              <w:spacing w:after="0"/>
              <w:rPr>
                <w:sz w:val="20"/>
                <w:szCs w:val="20"/>
                <w:color w:val="auto"/>
              </w:rPr>
            </w:pPr>
            <w:r>
              <w:rPr>
                <w:rFonts w:ascii="Arial" w:cs="Arial" w:eastAsia="Arial" w:hAnsi="Arial"/>
                <w:sz w:val="14"/>
                <w:szCs w:val="14"/>
                <w:b w:val="1"/>
                <w:bCs w:val="1"/>
                <w:color w:val="auto"/>
              </w:rPr>
              <w:t>Description</w:t>
            </w:r>
          </w:p>
        </w:tc>
        <w:tc>
          <w:tcPr>
            <w:tcW w:w="600" w:type="dxa"/>
            <w:vAlign w:val="bottom"/>
          </w:tcPr>
          <w:p>
            <w:pPr>
              <w:ind w:left="80"/>
              <w:spacing w:after="0"/>
              <w:rPr>
                <w:sz w:val="20"/>
                <w:szCs w:val="20"/>
                <w:color w:val="auto"/>
              </w:rPr>
            </w:pPr>
            <w:r>
              <w:rPr>
                <w:rFonts w:ascii="Arial" w:cs="Arial" w:eastAsia="Arial" w:hAnsi="Arial"/>
                <w:sz w:val="14"/>
                <w:szCs w:val="14"/>
                <w:b w:val="1"/>
                <w:bCs w:val="1"/>
                <w:color w:val="auto"/>
              </w:rPr>
              <w:t>Form</w:t>
            </w:r>
          </w:p>
        </w:tc>
        <w:tc>
          <w:tcPr>
            <w:tcW w:w="860" w:type="dxa"/>
            <w:vAlign w:val="bottom"/>
          </w:tcPr>
          <w:p>
            <w:pPr>
              <w:ind w:left="200"/>
              <w:spacing w:after="0"/>
              <w:rPr>
                <w:sz w:val="20"/>
                <w:szCs w:val="20"/>
                <w:color w:val="auto"/>
              </w:rPr>
            </w:pPr>
            <w:r>
              <w:rPr>
                <w:rFonts w:ascii="Arial" w:cs="Arial" w:eastAsia="Arial" w:hAnsi="Arial"/>
                <w:sz w:val="14"/>
                <w:szCs w:val="14"/>
                <w:b w:val="1"/>
                <w:bCs w:val="1"/>
                <w:color w:val="auto"/>
              </w:rPr>
              <w:t>File No.</w:t>
            </w:r>
          </w:p>
        </w:tc>
        <w:tc>
          <w:tcPr>
            <w:tcW w:w="2000" w:type="dxa"/>
            <w:vAlign w:val="bottom"/>
          </w:tcPr>
          <w:p>
            <w:pPr>
              <w:ind w:left="180"/>
              <w:spacing w:after="0"/>
              <w:rPr>
                <w:sz w:val="20"/>
                <w:szCs w:val="20"/>
                <w:color w:val="auto"/>
              </w:rPr>
            </w:pPr>
            <w:r>
              <w:rPr>
                <w:rFonts w:ascii="Arial" w:cs="Arial" w:eastAsia="Arial" w:hAnsi="Arial"/>
                <w:sz w:val="14"/>
                <w:szCs w:val="14"/>
                <w:b w:val="1"/>
                <w:bCs w:val="1"/>
                <w:color w:val="auto"/>
              </w:rPr>
              <w:t>Exhibit No.  Exhibit Filing</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100" w:type="dxa"/>
            <w:vAlign w:val="bottom"/>
            <w:tcBorders>
              <w:bottom w:val="single" w:sz="8" w:color="auto"/>
            </w:tcBorders>
            <w:gridSpan w:val="9"/>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Date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31.1</w:t>
            </w:r>
          </w:p>
        </w:tc>
        <w:tc>
          <w:tcPr>
            <w:tcW w:w="8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160" w:type="dxa"/>
            <w:vAlign w:val="bottom"/>
            <w:tcBorders>
              <w:bottom w:val="single" w:sz="8" w:color="0000EE"/>
            </w:tcBorders>
            <w:gridSpan w:val="5"/>
          </w:tcPr>
          <w:p>
            <w:pPr>
              <w:spacing w:after="0" w:line="182"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Certification of Principal Executive Officer Pursuant to Rules 13a-14(a)</w:t>
              </w:r>
            </w:hyperlink>
          </w:p>
        </w:tc>
        <w:tc>
          <w:tcPr>
            <w:tcW w:w="320" w:type="dxa"/>
            <w:vAlign w:val="bottom"/>
            <w:gridSpan w:val="5"/>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80" w:type="dxa"/>
            <w:vAlign w:val="bottom"/>
          </w:tcPr>
          <w:p>
            <w:pPr>
              <w:jc w:val="center"/>
              <w:spacing w:after="0" w:line="18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500" w:type="dxa"/>
            <w:vAlign w:val="bottom"/>
            <w:gridSpan w:val="11"/>
          </w:tcPr>
          <w:p>
            <w:pPr>
              <w:spacing w:after="0" w:line="196" w:lineRule="exact"/>
              <w:rPr>
                <w:rFonts w:ascii="Arial" w:cs="Arial" w:eastAsia="Arial" w:hAnsi="Arial"/>
                <w:sz w:val="18"/>
                <w:szCs w:val="18"/>
                <w:color w:val="0000EE"/>
                <w:w w:val="97"/>
              </w:rPr>
            </w:pPr>
            <w:hyperlink w:anchor="page72">
              <w:r>
                <w:rPr>
                  <w:rFonts w:ascii="Arial" w:cs="Arial" w:eastAsia="Arial" w:hAnsi="Arial"/>
                  <w:sz w:val="18"/>
                  <w:szCs w:val="18"/>
                  <w:color w:val="0000EE"/>
                  <w:w w:val="97"/>
                </w:rPr>
                <w:t>and 15d-14(a) under the Securities Exchange Act of 1934, as Adopted</w:t>
              </w:r>
            </w:hyperlink>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Pursuant to Section 302 of the Sarbanes-Oxley Act of 2002.</w:t>
              </w:r>
            </w:hyperlink>
          </w:p>
        </w:tc>
        <w:tc>
          <w:tcPr>
            <w:tcW w:w="720" w:type="dxa"/>
            <w:vAlign w:val="bottom"/>
            <w:tcBorders>
              <w:top w:val="single" w:sz="8" w:color="0000EE"/>
            </w:tcBorders>
          </w:tcPr>
          <w:p>
            <w:pPr>
              <w:spacing w:after="0"/>
              <w:rPr>
                <w:sz w:val="17"/>
                <w:szCs w:val="17"/>
                <w:color w:val="auto"/>
              </w:rPr>
            </w:pPr>
          </w:p>
        </w:tc>
        <w:tc>
          <w:tcPr>
            <w:tcW w:w="46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54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Certification of Principal Financial Officer Pursuant to Rules 13a-14(a) and</w:t>
              </w:r>
            </w:hyperlink>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15d-14(a) under the Securities Exchange Act of 1934, as Adopted Pursuant</w:t>
              </w:r>
            </w:hyperlink>
          </w:p>
        </w:tc>
        <w:tc>
          <w:tcPr>
            <w:tcW w:w="8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to Section 302 of the Sarbanes-Oxley Act of 2002.</w:t>
              </w:r>
            </w:hyperlink>
          </w:p>
        </w:tc>
        <w:tc>
          <w:tcPr>
            <w:tcW w:w="1860" w:type="dxa"/>
            <w:vAlign w:val="bottom"/>
            <w:gridSpan w:val="8"/>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c>
          <w:tcPr>
            <w:tcW w:w="53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Certification of Principal Executive Officer Pursuant to 18 U.S.C. Section</w:t>
              </w:r>
            </w:hyperlink>
          </w:p>
        </w:tc>
        <w:tc>
          <w:tcPr>
            <w:tcW w:w="18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1350, as Adopted Pursuant to Section 906 of the Sarbanes-Oxley Act of</w:t>
              </w:r>
            </w:hyperlink>
          </w:p>
        </w:tc>
        <w:tc>
          <w:tcPr>
            <w:tcW w:w="32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0" w:type="dxa"/>
            <w:vAlign w:val="bottom"/>
            <w:gridSpan w:val="3"/>
          </w:tcPr>
          <w:p>
            <w:pPr>
              <w:ind w:left="80"/>
              <w:spacing w:after="0" w:line="196" w:lineRule="exact"/>
              <w:rPr>
                <w:rFonts w:ascii="Arial" w:cs="Arial" w:eastAsia="Arial" w:hAnsi="Arial"/>
                <w:sz w:val="18"/>
                <w:szCs w:val="18"/>
                <w:color w:val="0000EE"/>
                <w:w w:val="84"/>
              </w:rPr>
            </w:pPr>
            <w:hyperlink w:anchor="page74">
              <w:r>
                <w:rPr>
                  <w:rFonts w:ascii="Arial" w:cs="Arial" w:eastAsia="Arial" w:hAnsi="Arial"/>
                  <w:sz w:val="18"/>
                  <w:szCs w:val="18"/>
                  <w:color w:val="0000EE"/>
                  <w:w w:val="84"/>
                </w:rPr>
                <w:t>2002.</w:t>
              </w:r>
            </w:hyperlink>
          </w:p>
        </w:tc>
        <w:tc>
          <w:tcPr>
            <w:tcW w:w="3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18"/>
                <w:szCs w:val="18"/>
                <w:color w:val="auto"/>
              </w:rPr>
            </w:pPr>
          </w:p>
        </w:tc>
        <w:tc>
          <w:tcPr>
            <w:tcW w:w="5500" w:type="dxa"/>
            <w:vAlign w:val="bottom"/>
            <w:gridSpan w:val="11"/>
          </w:tcPr>
          <w:p>
            <w:pPr>
              <w:spacing w:after="0"/>
              <w:rPr>
                <w:rFonts w:ascii="Arial" w:cs="Arial" w:eastAsia="Arial" w:hAnsi="Arial"/>
                <w:sz w:val="18"/>
                <w:szCs w:val="18"/>
                <w:color w:val="0000EE"/>
                <w:w w:val="96"/>
              </w:rPr>
            </w:pPr>
            <w:hyperlink w:anchor="page75">
              <w:r>
                <w:rPr>
                  <w:rFonts w:ascii="Arial" w:cs="Arial" w:eastAsia="Arial" w:hAnsi="Arial"/>
                  <w:sz w:val="18"/>
                  <w:szCs w:val="18"/>
                  <w:color w:val="0000EE"/>
                  <w:w w:val="96"/>
                </w:rPr>
                <w:t>Certification of Principal Financial Officer Pursuant to 18 U.S.C. Section</w:t>
              </w:r>
            </w:hyperlink>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1350, as Adopted Pursuant to Section 906 of the Sarbanes-Oxley Act of</w:t>
              </w:r>
            </w:hyperlink>
          </w:p>
        </w:tc>
        <w:tc>
          <w:tcPr>
            <w:tcW w:w="80" w:type="dxa"/>
            <w:vAlign w:val="bottom"/>
            <w:tcBorders>
              <w:top w:val="single" w:sz="8" w:color="0000EE"/>
            </w:tcBorders>
          </w:tcPr>
          <w:p>
            <w:pPr>
              <w:spacing w:after="0"/>
              <w:rPr>
                <w:sz w:val="17"/>
                <w:szCs w:val="17"/>
                <w:color w:val="auto"/>
              </w:rPr>
            </w:pPr>
          </w:p>
        </w:tc>
        <w:tc>
          <w:tcPr>
            <w:tcW w:w="24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0" w:type="dxa"/>
            <w:vAlign w:val="bottom"/>
            <w:gridSpan w:val="3"/>
          </w:tcPr>
          <w:p>
            <w:pPr>
              <w:ind w:left="80"/>
              <w:spacing w:after="0" w:line="196" w:lineRule="exact"/>
              <w:rPr>
                <w:rFonts w:ascii="Arial" w:cs="Arial" w:eastAsia="Arial" w:hAnsi="Arial"/>
                <w:sz w:val="18"/>
                <w:szCs w:val="18"/>
                <w:color w:val="0000EE"/>
                <w:w w:val="84"/>
              </w:rPr>
            </w:pPr>
            <w:hyperlink w:anchor="page75">
              <w:r>
                <w:rPr>
                  <w:rFonts w:ascii="Arial" w:cs="Arial" w:eastAsia="Arial" w:hAnsi="Arial"/>
                  <w:sz w:val="18"/>
                  <w:szCs w:val="18"/>
                  <w:color w:val="0000EE"/>
                  <w:w w:val="84"/>
                </w:rPr>
                <w:t>2002.</w:t>
              </w:r>
            </w:hyperlink>
          </w:p>
        </w:tc>
        <w:tc>
          <w:tcPr>
            <w:tcW w:w="3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1"/>
                <w:szCs w:val="21"/>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19"/>
                <w:szCs w:val="19"/>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19"/>
                <w:szCs w:val="19"/>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19"/>
                <w:szCs w:val="19"/>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19"/>
                <w:szCs w:val="19"/>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20"/>
                <w:szCs w:val="20"/>
                <w:color w:val="auto"/>
              </w:rPr>
            </w:pPr>
          </w:p>
        </w:tc>
        <w:tc>
          <w:tcPr>
            <w:tcW w:w="550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certifications furnished in Exhibits 32.1 and 32.2 hereto are deemed to accompany this Form 10-Q and are not deemed “filed” for purposes of</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18 of the Exchange Act, or otherwise subject to the liability of that section, nor shall they be deemed incorporated by reference into any filing under the Securities Act or the Exchange Act</w:t>
      </w:r>
      <w:r>
        <w:rPr>
          <w:rFonts w:ascii="Arial" w:cs="Arial" w:eastAsia="Arial" w:hAnsi="Arial"/>
          <w:sz w:val="18"/>
          <w:szCs w:val="18"/>
          <w:color w:val="auto"/>
        </w:rPr>
        <w: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4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7840" w:type="dxa"/>
            <w:vAlign w:val="bottom"/>
            <w:gridSpan w:val="2"/>
          </w:tcPr>
          <w:p>
            <w:pPr>
              <w:ind w:left="1960"/>
              <w:spacing w:after="0"/>
              <w:rPr>
                <w:sz w:val="20"/>
                <w:szCs w:val="20"/>
                <w:color w:val="auto"/>
              </w:rPr>
            </w:pPr>
            <w:r>
              <w:rPr>
                <w:rFonts w:ascii="Arial" w:cs="Arial" w:eastAsia="Arial" w:hAnsi="Arial"/>
                <w:sz w:val="18"/>
                <w:szCs w:val="18"/>
                <w:color w:val="auto"/>
              </w:rPr>
              <w:t>Prelude Therapeutics Incorporated</w:t>
            </w:r>
          </w:p>
        </w:tc>
      </w:tr>
      <w:tr>
        <w:trPr>
          <w:trHeight w:val="459"/>
        </w:trPr>
        <w:tc>
          <w:tcPr>
            <w:tcW w:w="3400" w:type="dxa"/>
            <w:vAlign w:val="bottom"/>
          </w:tcPr>
          <w:p>
            <w:pPr>
              <w:spacing w:after="0"/>
              <w:rPr>
                <w:sz w:val="20"/>
                <w:szCs w:val="20"/>
                <w:color w:val="auto"/>
              </w:rPr>
            </w:pPr>
            <w:r>
              <w:rPr>
                <w:rFonts w:ascii="Arial" w:cs="Arial" w:eastAsia="Arial" w:hAnsi="Arial"/>
                <w:sz w:val="18"/>
                <w:szCs w:val="18"/>
                <w:color w:val="auto"/>
              </w:rPr>
              <w:t>Date: May 11, 2021</w:t>
            </w:r>
          </w:p>
        </w:tc>
        <w:tc>
          <w:tcPr>
            <w:tcW w:w="2240" w:type="dxa"/>
            <w:vAlign w:val="bottom"/>
          </w:tcPr>
          <w:p>
            <w:pPr>
              <w:ind w:left="1960"/>
              <w:spacing w:after="0"/>
              <w:rPr>
                <w:sz w:val="20"/>
                <w:szCs w:val="20"/>
                <w:color w:val="auto"/>
              </w:rPr>
            </w:pPr>
            <w:r>
              <w:rPr>
                <w:rFonts w:ascii="Arial" w:cs="Arial" w:eastAsia="Arial" w:hAnsi="Arial"/>
                <w:sz w:val="18"/>
                <w:szCs w:val="18"/>
                <w:color w:val="auto"/>
                <w:w w:val="99"/>
              </w:rPr>
              <w:t>By:</w:t>
            </w: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Krishna Vaddi</w:t>
            </w:r>
          </w:p>
        </w:tc>
      </w:tr>
      <w:tr>
        <w:trPr>
          <w:trHeight w:val="218"/>
        </w:trPr>
        <w:tc>
          <w:tcPr>
            <w:tcW w:w="3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2"/>
              </w:rPr>
              <w:t>Krishna Vaddi, PhD</w:t>
            </w:r>
          </w:p>
        </w:tc>
      </w:tr>
      <w:tr>
        <w:trPr>
          <w:trHeight w:val="229"/>
        </w:trPr>
        <w:tc>
          <w:tcPr>
            <w:tcW w:w="34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233"/>
        </w:trPr>
        <w:tc>
          <w:tcPr>
            <w:tcW w:w="3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Date: May 11, 2021</w:t>
            </w:r>
          </w:p>
        </w:tc>
        <w:tc>
          <w:tcPr>
            <w:tcW w:w="2240" w:type="dxa"/>
            <w:vAlign w:val="bottom"/>
          </w:tcPr>
          <w:p>
            <w:pPr>
              <w:ind w:left="1960"/>
              <w:spacing w:after="0"/>
              <w:rPr>
                <w:sz w:val="20"/>
                <w:szCs w:val="20"/>
                <w:color w:val="auto"/>
              </w:rPr>
            </w:pPr>
            <w:r>
              <w:rPr>
                <w:rFonts w:ascii="Arial" w:cs="Arial" w:eastAsia="Arial" w:hAnsi="Arial"/>
                <w:sz w:val="18"/>
                <w:szCs w:val="18"/>
                <w:color w:val="auto"/>
                <w:w w:val="99"/>
              </w:rPr>
              <w:t>By:</w:t>
            </w: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/s/ Brian Piper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0</wp:posOffset>
            </wp:positionV>
            <wp:extent cx="35572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jc w:val="center"/>
        <w:ind w:left="5600"/>
        <w:spacing w:after="0"/>
        <w:rPr>
          <w:sz w:val="20"/>
          <w:szCs w:val="20"/>
          <w:color w:val="auto"/>
        </w:rPr>
      </w:pPr>
      <w:r>
        <w:rPr>
          <w:rFonts w:ascii="Arial" w:cs="Arial" w:eastAsia="Arial" w:hAnsi="Arial"/>
          <w:sz w:val="18"/>
          <w:szCs w:val="18"/>
          <w:b w:val="1"/>
          <w:bCs w:val="1"/>
          <w:color w:val="auto"/>
        </w:rPr>
        <w:t>Brian Piper, M.B.A.</w:t>
      </w:r>
    </w:p>
    <w:p>
      <w:pPr>
        <w:spacing w:after="0" w:line="27"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553"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Krishna Vaddi, certify that:</w:t>
      </w:r>
    </w:p>
    <w:p>
      <w:pPr>
        <w:spacing w:after="0" w:line="225"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Prelude Therapeutics Incorporated;</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480" w:hanging="492"/>
        <w:spacing w:after="0" w:line="277"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May 11, 2021</w:t>
            </w:r>
          </w:p>
        </w:tc>
        <w:tc>
          <w:tcPr>
            <w:tcW w:w="2460" w:type="dxa"/>
            <w:vAlign w:val="bottom"/>
          </w:tcPr>
          <w:p>
            <w:pPr>
              <w:ind w:left="21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Krishna Vaddi</w:t>
            </w:r>
          </w:p>
        </w:tc>
      </w:tr>
      <w:tr>
        <w:trPr>
          <w:trHeight w:val="222"/>
        </w:trPr>
        <w:tc>
          <w:tcPr>
            <w:tcW w:w="3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Krishna Vaddi, PhD</w:t>
            </w:r>
          </w:p>
        </w:tc>
      </w:tr>
      <w:tr>
        <w:trPr>
          <w:trHeight w:val="216"/>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w:t>
            </w:r>
          </w:p>
        </w:tc>
      </w:tr>
      <w:tr>
        <w:trPr>
          <w:trHeight w:val="230"/>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bl>
    <w:p>
      <w:pPr>
        <w:sectPr>
          <w:pgSz w:w="11900" w:h="16838" w:orient="portrait"/>
          <w:cols w:equalWidth="0" w:num="1">
            <w:col w:w="11240"/>
          </w:cols>
          <w:pgMar w:left="320" w:top="35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Piper, certify that:</w:t>
      </w:r>
    </w:p>
    <w:p>
      <w:pPr>
        <w:spacing w:after="0" w:line="225"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Prelude Therapeutics Incorporated;</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480" w:hanging="492"/>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May 11, 2021</w:t>
            </w:r>
          </w:p>
        </w:tc>
        <w:tc>
          <w:tcPr>
            <w:tcW w:w="2460" w:type="dxa"/>
            <w:vAlign w:val="bottom"/>
          </w:tcPr>
          <w:p>
            <w:pPr>
              <w:ind w:left="21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Brian Piper</w:t>
            </w:r>
          </w:p>
        </w:tc>
      </w:tr>
      <w:tr>
        <w:trPr>
          <w:trHeight w:val="222"/>
        </w:trPr>
        <w:tc>
          <w:tcPr>
            <w:tcW w:w="3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Brian Piper, M.B.A.</w:t>
            </w:r>
          </w:p>
        </w:tc>
      </w:tr>
      <w:tr>
        <w:trPr>
          <w:trHeight w:val="216"/>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and Financial Officer)</w:t>
            </w:r>
          </w:p>
        </w:tc>
      </w:tr>
    </w:tbl>
    <w:p>
      <w:pPr>
        <w:sectPr>
          <w:pgSz w:w="11900" w:h="16838" w:orient="portrait"/>
          <w:cols w:equalWidth="0" w:num="1">
            <w:col w:w="11240"/>
          </w:cols>
          <w:pgMar w:left="320" w:top="35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 Krishna Vaddi, Chief Executive Officer of Prelude Therapeutics Incorporated (the “Company”), do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211" w:lineRule="exact"/>
        <w:rPr>
          <w:sz w:val="20"/>
          <w:szCs w:val="20"/>
          <w:color w:val="auto"/>
        </w:rPr>
      </w:pPr>
    </w:p>
    <w:p>
      <w:pPr>
        <w:ind w:left="1000" w:right="500" w:hanging="493"/>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March 31, 2021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000" w:right="620" w:hanging="493"/>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May 11, 2021</w:t>
            </w:r>
          </w:p>
        </w:tc>
        <w:tc>
          <w:tcPr>
            <w:tcW w:w="2320" w:type="dxa"/>
            <w:vAlign w:val="bottom"/>
          </w:tcPr>
          <w:p>
            <w:pPr>
              <w:ind w:left="200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Krishna Vaddi</w:t>
            </w:r>
          </w:p>
        </w:tc>
      </w:tr>
      <w:tr>
        <w:trPr>
          <w:trHeight w:val="222"/>
        </w:trPr>
        <w:tc>
          <w:tcPr>
            <w:tcW w:w="34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Krishna Vaddi, PhD</w:t>
            </w:r>
          </w:p>
        </w:tc>
      </w:tr>
      <w:tr>
        <w:trPr>
          <w:trHeight w:val="216"/>
        </w:trPr>
        <w:tc>
          <w:tcPr>
            <w:tcW w:w="3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r>
        <w:trPr>
          <w:trHeight w:val="230"/>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bl>
    <w:p>
      <w:pPr>
        <w:sectPr>
          <w:pgSz w:w="11900" w:h="16838" w:orient="portrait"/>
          <w:cols w:equalWidth="0" w:num="1">
            <w:col w:w="11240"/>
          </w:cols>
          <w:pgMar w:left="320" w:top="35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Brian Piper, Chief Financial Officer of Prelude Therapeutics Incorporated (the “Company”), do hereby certify, pursuant to 18 U.S.C.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211" w:lineRule="exact"/>
        <w:rPr>
          <w:sz w:val="20"/>
          <w:szCs w:val="20"/>
          <w:color w:val="auto"/>
        </w:rPr>
      </w:pPr>
    </w:p>
    <w:p>
      <w:pPr>
        <w:ind w:left="1000" w:right="500" w:hanging="493"/>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March 31, 2021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000" w:right="700" w:hanging="493"/>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May 11, 2021</w:t>
            </w:r>
          </w:p>
        </w:tc>
        <w:tc>
          <w:tcPr>
            <w:tcW w:w="2300" w:type="dxa"/>
            <w:vAlign w:val="bottom"/>
          </w:tcPr>
          <w:p>
            <w:pPr>
              <w:ind w:left="2020"/>
              <w:spacing w:after="0"/>
              <w:rPr>
                <w:sz w:val="20"/>
                <w:szCs w:val="20"/>
                <w:color w:val="auto"/>
              </w:rPr>
            </w:pPr>
            <w:r>
              <w:rPr>
                <w:rFonts w:ascii="Arial" w:cs="Arial" w:eastAsia="Arial" w:hAnsi="Arial"/>
                <w:sz w:val="18"/>
                <w:szCs w:val="18"/>
                <w:color w:val="auto"/>
                <w:w w:val="99"/>
              </w:rPr>
              <w:t>By:</w:t>
            </w: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Brian Piper</w:t>
            </w:r>
          </w:p>
        </w:tc>
      </w:tr>
      <w:tr>
        <w:trPr>
          <w:trHeight w:val="222"/>
        </w:trPr>
        <w:tc>
          <w:tcPr>
            <w:tcW w:w="34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5"/>
              </w:rPr>
              <w:t>Brian Piper, M.B.A.</w:t>
            </w:r>
          </w:p>
        </w:tc>
      </w:tr>
      <w:tr>
        <w:trPr>
          <w:trHeight w:val="216"/>
        </w:trPr>
        <w:tc>
          <w:tcPr>
            <w:tcW w:w="3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3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Accounting and Finance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decimal"/>
      <w:start w:val="7"/>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1)"/>
      <w:numFmt w:val="lowerRoman"/>
      <w:start w:val="3"/>
    </w:lvl>
  </w:abstractNum>
  <w:abstractNum w:abstractNumId="7">
    <w:nsid w:val="4516DDE9"/>
    <w:multiLevelType w:val="hybridMultilevel"/>
    <w:lvl w:ilvl="0">
      <w:lvlJc w:val="left"/>
      <w:lvlText w:val="•"/>
      <w:numFmt w:val="bullet"/>
      <w:start w:val="1"/>
    </w:lvl>
    <w:lvl w:ilvl="1">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2021-05-11T07:19:41Z</dcterms:created>
  <dcterms:modified xsi:type="dcterms:W3CDTF">2021-05-11T07:19:41Z</dcterms:modified>
</cp:coreProperties>
</file>