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3920" w:right="2000" w:hanging="3912"/>
        <w:spacing w:after="0" w:line="320"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-455930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460"/>
        <w:spacing w:after="0"/>
        <w:tabs>
          <w:tab w:leader="none" w:pos="33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PRELUDE THERAPEUTICS INCORPORATED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16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81-1384762</w:t>
            </w:r>
          </w:p>
        </w:tc>
      </w:tr>
      <w:tr>
        <w:trPr>
          <w:trHeight w:val="135"/>
        </w:trPr>
        <w:tc>
          <w:tcPr>
            <w:tcW w:w="416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6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9"/>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6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200 Powder Mill Road</w:t>
            </w:r>
          </w:p>
        </w:tc>
        <w:tc>
          <w:tcPr>
            <w:tcW w:w="3060" w:type="dxa"/>
            <w:vAlign w:val="bottom"/>
          </w:tcPr>
          <w:p>
            <w:pPr>
              <w:spacing w:after="0"/>
              <w:rPr>
                <w:sz w:val="18"/>
                <w:szCs w:val="18"/>
                <w:color w:val="auto"/>
              </w:rPr>
            </w:pPr>
          </w:p>
        </w:tc>
      </w:tr>
      <w:tr>
        <w:trPr>
          <w:trHeight w:val="216"/>
        </w:trPr>
        <w:tc>
          <w:tcPr>
            <w:tcW w:w="416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Wilmington, Delaware</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19803</w:t>
            </w:r>
          </w:p>
        </w:tc>
      </w:tr>
      <w:tr>
        <w:trPr>
          <w:trHeight w:val="164"/>
        </w:trPr>
        <w:tc>
          <w:tcPr>
            <w:tcW w:w="4160" w:type="dxa"/>
            <w:vAlign w:val="bottom"/>
          </w:tcPr>
          <w:p>
            <w:pPr>
              <w:jc w:val="center"/>
              <w:ind w:right="1984"/>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Common Stock, par value $0.0001 per share</w:t>
            </w:r>
          </w:p>
        </w:tc>
        <w:tc>
          <w:tcPr>
            <w:tcW w:w="120" w:type="dxa"/>
            <w:vAlign w:val="bottom"/>
          </w:tcPr>
          <w:p>
            <w:pPr>
              <w:spacing w:after="0"/>
              <w:rPr>
                <w:sz w:val="16"/>
                <w:szCs w:val="16"/>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9"/>
              </w:rPr>
              <w:t>PRLD</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The Nasdaq Stock Market LLC</w:t>
            </w:r>
          </w:p>
        </w:tc>
        <w:tc>
          <w:tcPr>
            <w:tcW w:w="0" w:type="dxa"/>
            <w:vAlign w:val="bottom"/>
          </w:tcPr>
          <w:p>
            <w:pPr>
              <w:spacing w:after="0"/>
              <w:rPr>
                <w:sz w:val="1"/>
                <w:szCs w:val="1"/>
                <w:color w:val="auto"/>
              </w:rPr>
            </w:pPr>
          </w:p>
        </w:tc>
      </w:tr>
      <w:tr>
        <w:trPr>
          <w:trHeight w:val="199"/>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740" w:type="dxa"/>
            <w:vAlign w:val="bottom"/>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42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6"/>
        </w:trPr>
        <w:tc>
          <w:tcPr>
            <w:tcW w:w="1860" w:type="dxa"/>
            <w:vAlign w:val="bottom"/>
          </w:tcPr>
          <w:p>
            <w:pPr>
              <w:spacing w:after="0"/>
              <w:rPr>
                <w:sz w:val="20"/>
                <w:szCs w:val="20"/>
                <w:color w:val="auto"/>
              </w:rPr>
            </w:pPr>
            <w:r>
              <w:rPr>
                <w:rFonts w:ascii="Arial" w:cs="Arial" w:eastAsia="Arial" w:hAnsi="Arial"/>
                <w:sz w:val="15"/>
                <w:szCs w:val="15"/>
                <w:color w:val="auto"/>
              </w:rPr>
              <w:t>Non-accelerated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2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31"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right="3760"/>
        <w:spacing w:after="0" w:line="21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Registrant’s Common Stock outstanding as of March 12, 2021 was 46,585,860</w:t>
      </w:r>
    </w:p>
    <w:p>
      <w:pPr>
        <w:spacing w:after="0" w:line="21" w:lineRule="exact"/>
        <w:rPr>
          <w:sz w:val="24"/>
          <w:szCs w:val="24"/>
          <w:color w:val="auto"/>
        </w:rPr>
      </w:pPr>
    </w:p>
    <w:p>
      <w:pPr>
        <w:ind w:right="240"/>
        <w:spacing w:after="0" w:line="253" w:lineRule="auto"/>
        <w:rPr>
          <w:sz w:val="20"/>
          <w:szCs w:val="20"/>
          <w:color w:val="auto"/>
        </w:rPr>
      </w:pPr>
      <w:r>
        <w:rPr>
          <w:rFonts w:ascii="Arial" w:cs="Arial" w:eastAsia="Arial" w:hAnsi="Arial"/>
          <w:sz w:val="14"/>
          <w:szCs w:val="14"/>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 w:lineRule="exact"/>
        <w:rPr>
          <w:sz w:val="24"/>
          <w:szCs w:val="24"/>
          <w:color w:val="auto"/>
        </w:rPr>
      </w:pPr>
    </w:p>
    <w:p>
      <w:pPr>
        <w:ind w:right="200"/>
        <w:spacing w:after="0" w:line="228" w:lineRule="auto"/>
        <w:rPr>
          <w:sz w:val="20"/>
          <w:szCs w:val="20"/>
          <w:color w:val="auto"/>
        </w:rPr>
      </w:pPr>
      <w:r>
        <w:rPr>
          <w:rFonts w:ascii="Arial" w:cs="Arial" w:eastAsia="Arial" w:hAnsi="Arial"/>
          <w:sz w:val="13"/>
          <w:szCs w:val="13"/>
          <w:color w:val="auto"/>
        </w:rPr>
        <w:t>Portions of the Registrant’s Definitive Proxy Statement (“Proxy Statement”) relating to the 2021 Annual Meeting of Stockholders will be filed with the Commission within 120 days after the end of the Registrant’s 2020 fiscal year pursuant to Regulation 14A and is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62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962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6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62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620" w:type="dxa"/>
            <w:vAlign w:val="bottom"/>
          </w:tcPr>
          <w:p>
            <w:pPr>
              <w:ind w:left="18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620" w:type="dxa"/>
            <w:vAlign w:val="bottom"/>
          </w:tcPr>
          <w:p>
            <w:pPr>
              <w:ind w:left="18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Properties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620" w:type="dxa"/>
            <w:vAlign w:val="bottom"/>
          </w:tcPr>
          <w:p>
            <w:pPr>
              <w:ind w:left="18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620" w:type="dxa"/>
            <w:vAlign w:val="bottom"/>
          </w:tcPr>
          <w:p>
            <w:pPr>
              <w:ind w:left="18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58"/>
        </w:trPr>
        <w:tc>
          <w:tcPr>
            <w:tcW w:w="960" w:type="dxa"/>
            <w:vAlign w:val="bottom"/>
          </w:tcPr>
          <w:p>
            <w:pPr>
              <w:spacing w:after="0"/>
              <w:rPr>
                <w:rFonts w:ascii="Arial" w:cs="Arial" w:eastAsia="Arial" w:hAnsi="Arial"/>
                <w:sz w:val="18"/>
                <w:szCs w:val="18"/>
                <w:b w:val="1"/>
                <w:bCs w:val="1"/>
                <w:u w:val="single" w:color="auto"/>
                <w:color w:val="0000EE"/>
              </w:rPr>
            </w:pPr>
            <w:hyperlink w:anchor="page112">
              <w:r>
                <w:rPr>
                  <w:rFonts w:ascii="Arial" w:cs="Arial" w:eastAsia="Arial" w:hAnsi="Arial"/>
                  <w:sz w:val="18"/>
                  <w:szCs w:val="18"/>
                  <w:b w:val="1"/>
                  <w:bCs w:val="1"/>
                  <w:u w:val="single" w:color="auto"/>
                  <w:color w:val="0000EE"/>
                </w:rPr>
                <w:t>PART II</w:t>
              </w:r>
            </w:hyperlink>
          </w:p>
        </w:tc>
        <w:tc>
          <w:tcPr>
            <w:tcW w:w="9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620" w:type="dxa"/>
            <w:vAlign w:val="bottom"/>
          </w:tcPr>
          <w:p>
            <w:pPr>
              <w:ind w:left="18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620" w:type="dxa"/>
            <w:vAlign w:val="bottom"/>
          </w:tcPr>
          <w:p>
            <w:pPr>
              <w:ind w:left="18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Selected Financial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620" w:type="dxa"/>
            <w:vAlign w:val="bottom"/>
          </w:tcPr>
          <w:p>
            <w:pPr>
              <w:ind w:left="18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620" w:type="dxa"/>
            <w:vAlign w:val="bottom"/>
          </w:tcPr>
          <w:p>
            <w:pPr>
              <w:ind w:left="18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620" w:type="dxa"/>
            <w:vAlign w:val="bottom"/>
          </w:tcPr>
          <w:p>
            <w:pPr>
              <w:ind w:left="18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620" w:type="dxa"/>
            <w:vAlign w:val="bottom"/>
          </w:tcPr>
          <w:p>
            <w:pPr>
              <w:ind w:left="1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Changes in and Disagreements With Accountants on Accounting and Financial Disclosure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620" w:type="dxa"/>
            <w:vAlign w:val="bottom"/>
          </w:tcPr>
          <w:p>
            <w:pPr>
              <w:ind w:left="1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620" w:type="dxa"/>
            <w:vAlign w:val="bottom"/>
          </w:tcPr>
          <w:p>
            <w:pPr>
              <w:ind w:left="1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58"/>
        </w:trPr>
        <w:tc>
          <w:tcPr>
            <w:tcW w:w="960" w:type="dxa"/>
            <w:vAlign w:val="bottom"/>
          </w:tcPr>
          <w:p>
            <w:pPr>
              <w:spacing w:after="0"/>
              <w:rPr>
                <w:rFonts w:ascii="Arial" w:cs="Arial" w:eastAsia="Arial" w:hAnsi="Arial"/>
                <w:sz w:val="18"/>
                <w:szCs w:val="18"/>
                <w:b w:val="1"/>
                <w:bCs w:val="1"/>
                <w:u w:val="single" w:color="auto"/>
                <w:color w:val="0000EE"/>
              </w:rPr>
            </w:pPr>
            <w:hyperlink w:anchor="page142">
              <w:r>
                <w:rPr>
                  <w:rFonts w:ascii="Arial" w:cs="Arial" w:eastAsia="Arial" w:hAnsi="Arial"/>
                  <w:sz w:val="18"/>
                  <w:szCs w:val="18"/>
                  <w:b w:val="1"/>
                  <w:bCs w:val="1"/>
                  <w:u w:val="single" w:color="auto"/>
                  <w:color w:val="0000EE"/>
                </w:rPr>
                <w:t>PART III</w:t>
              </w:r>
            </w:hyperlink>
          </w:p>
        </w:tc>
        <w:tc>
          <w:tcPr>
            <w:tcW w:w="9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620" w:type="dxa"/>
            <w:vAlign w:val="bottom"/>
          </w:tcPr>
          <w:p>
            <w:pPr>
              <w:ind w:left="18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620" w:type="dxa"/>
            <w:vAlign w:val="bottom"/>
          </w:tcPr>
          <w:p>
            <w:pPr>
              <w:ind w:left="18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620" w:type="dxa"/>
            <w:vAlign w:val="bottom"/>
          </w:tcPr>
          <w:p>
            <w:pPr>
              <w:ind w:left="18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620" w:type="dxa"/>
            <w:vAlign w:val="bottom"/>
          </w:tcPr>
          <w:p>
            <w:pPr>
              <w:ind w:left="18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Certain Relationships and Related Transactions, and Director Independence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620" w:type="dxa"/>
            <w:vAlign w:val="bottom"/>
          </w:tcPr>
          <w:p>
            <w:pPr>
              <w:ind w:left="18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Principal Accounting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58"/>
        </w:trPr>
        <w:tc>
          <w:tcPr>
            <w:tcW w:w="960" w:type="dxa"/>
            <w:vAlign w:val="bottom"/>
          </w:tcPr>
          <w:p>
            <w:pPr>
              <w:spacing w:after="0"/>
              <w:rPr>
                <w:rFonts w:ascii="Arial" w:cs="Arial" w:eastAsia="Arial" w:hAnsi="Arial"/>
                <w:sz w:val="18"/>
                <w:szCs w:val="18"/>
                <w:b w:val="1"/>
                <w:bCs w:val="1"/>
                <w:u w:val="single" w:color="auto"/>
                <w:color w:val="0000EE"/>
              </w:rPr>
            </w:pPr>
            <w:hyperlink w:anchor="page143">
              <w:r>
                <w:rPr>
                  <w:rFonts w:ascii="Arial" w:cs="Arial" w:eastAsia="Arial" w:hAnsi="Arial"/>
                  <w:sz w:val="18"/>
                  <w:szCs w:val="18"/>
                  <w:b w:val="1"/>
                  <w:bCs w:val="1"/>
                  <w:u w:val="single" w:color="auto"/>
                  <w:color w:val="0000EE"/>
                </w:rPr>
                <w:t>PART IV</w:t>
              </w:r>
            </w:hyperlink>
          </w:p>
        </w:tc>
        <w:tc>
          <w:tcPr>
            <w:tcW w:w="9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620" w:type="dxa"/>
            <w:vAlign w:val="bottom"/>
          </w:tcPr>
          <w:p>
            <w:pPr>
              <w:ind w:left="1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Exhibits, Financial Statement Schedules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620" w:type="dxa"/>
            <w:vAlign w:val="bottom"/>
          </w:tcPr>
          <w:p>
            <w:pPr>
              <w:ind w:left="18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Form 10-K Summary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In some cases, you can identify forward-looking statements by terminology such as “may,” “might,” “will,” “should,” “expect,” “plan,” “anticipate,” “project,” “believe,” “estimate,” “predict,” “potential,” “intend” or “continue,” the negative of terms like these or other comparable terminology, and other words or terms of similar meaning in connection with any discussion of future operating or financial performance. These statements are only predictions. All forward-looking statements included in this Annual Report on Form 10-K are based on information available to us on the date hereof, and we assume no obligation to update any such forward-looking statements. Any or all of our forward-looking statements in this document may turn out to be wrong. Actual events or results may differ materially.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We caution investors that our business and financial performance are subject to substantial risks and uncertainties.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78"/>
        <w:spacing w:after="0" w:line="253" w:lineRule="auto"/>
        <w:rPr>
          <w:sz w:val="20"/>
          <w:szCs w:val="20"/>
          <w:color w:val="auto"/>
        </w:rPr>
      </w:pPr>
      <w:r>
        <w:rPr>
          <w:rFonts w:ascii="Arial" w:cs="Arial" w:eastAsia="Arial" w:hAnsi="Arial"/>
          <w:sz w:val="18"/>
          <w:szCs w:val="18"/>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four investigational new drug applications, or INDs, and successfully advanced three of these programs into clinical development with the fourth expected to begin clinical development in the first half of 2021. In addition, we have three unique programs in various stages of preclinical development that we plan to advance into clinical development beginning in 2021.</w:t>
      </w:r>
    </w:p>
    <w:p>
      <w:pPr>
        <w:spacing w:after="0" w:line="196" w:lineRule="exact"/>
        <w:rPr>
          <w:sz w:val="20"/>
          <w:szCs w:val="20"/>
          <w:color w:val="auto"/>
        </w:rPr>
      </w:pPr>
    </w:p>
    <w:p>
      <w:pPr>
        <w:ind w:right="20" w:firstLine="478"/>
        <w:spacing w:after="0" w:line="255" w:lineRule="auto"/>
        <w:rPr>
          <w:sz w:val="20"/>
          <w:szCs w:val="20"/>
          <w:color w:val="auto"/>
        </w:rPr>
      </w:pPr>
      <w:r>
        <w:rPr>
          <w:rFonts w:ascii="Arial" w:cs="Arial" w:eastAsia="Arial" w:hAnsi="Arial"/>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92" w:lineRule="exact"/>
        <w:rPr>
          <w:sz w:val="20"/>
          <w:szCs w:val="20"/>
          <w:color w:val="auto"/>
        </w:rPr>
      </w:pPr>
    </w:p>
    <w:p>
      <w:pPr>
        <w:ind w:right="40" w:firstLine="478"/>
        <w:spacing w:after="0" w:line="269" w:lineRule="auto"/>
        <w:rPr>
          <w:sz w:val="20"/>
          <w:szCs w:val="20"/>
          <w:color w:val="auto"/>
        </w:rPr>
      </w:pPr>
      <w:r>
        <w:rPr>
          <w:rFonts w:ascii="Arial" w:cs="Arial" w:eastAsia="Arial" w:hAnsi="Arial"/>
          <w:sz w:val="17"/>
          <w:szCs w:val="17"/>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an ongoing, confirmed complete response, or CR, in a patient with HRD+ high grade serous ovarian cancer through nine months of therapy. A complete response is defined as the disappearance of all target lesions. While we will need to enroll and demonstrate objective responses in additional patients to support further development and potential approval by the FDA or other regulatory authorities, and while such approval is not guaranteed, we are encouraged by the clinical activity as of the date of this Annual Report on Form 10-K. We recently completed the dose escalation portion of the trial. The dose expansion portion of the Phase 1 trial is open for the patient cohort with adenoid cystic carcinoma and we now expect to begin patient enrollment into additional solid tumor and myeloid malignancies expansion cohorts early in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second quarter of 2021. We anticipate presenting initial clinical data from the trial at medical meetings in the second half of 2021.</w:t>
      </w:r>
    </w:p>
    <w:p>
      <w:pPr>
        <w:spacing w:after="0" w:line="185" w:lineRule="exact"/>
        <w:rPr>
          <w:sz w:val="20"/>
          <w:szCs w:val="20"/>
          <w:color w:val="auto"/>
        </w:rPr>
      </w:pPr>
    </w:p>
    <w:p>
      <w:pPr>
        <w:ind w:right="20" w:firstLine="478"/>
        <w:spacing w:after="0" w:line="255" w:lineRule="auto"/>
        <w:rPr>
          <w:sz w:val="20"/>
          <w:szCs w:val="20"/>
          <w:color w:val="auto"/>
        </w:rPr>
      </w:pPr>
      <w:r>
        <w:rPr>
          <w:rFonts w:ascii="Arial" w:cs="Arial" w:eastAsia="Arial" w:hAnsi="Arial"/>
          <w:sz w:val="18"/>
          <w:szCs w:val="18"/>
          <w:color w:val="auto"/>
        </w:rPr>
        <w:t>We are also advancing PRT811, a second PRMT5 inhibitor that we have optimized for high brain exposure, in a Phase 1 clinical trial in solid tumors, including GBM. As of the date of this Annual Report on Form 10-K, the trial has demonstrated early signs of clinical activity and tolerability. The previously disclosed refractory GBM patient whose tumor had demonstrated a 66% reduction on monotherapy PRT811 subsequently underwent a follow-up MRI at week 18 and the regression has improved to 77% from baseline, confirming a partial response, or PR, per RANO (response assessment in neuro-oncology) criteria. We expect to begin enrolling patients in the expansion portion of the Phase 1 clinical trial by mid-2021 and anticipate obtaining initial clinical data from this trial by the end of 2021.</w:t>
      </w:r>
    </w:p>
    <w:p>
      <w:pPr>
        <w:spacing w:after="0" w:line="165" w:lineRule="exact"/>
        <w:rPr>
          <w:sz w:val="20"/>
          <w:szCs w:val="20"/>
          <w:color w:val="auto"/>
        </w:rPr>
      </w:pPr>
    </w:p>
    <w:p>
      <w:pPr>
        <w:ind w:firstLine="478"/>
        <w:spacing w:after="0" w:line="291" w:lineRule="auto"/>
        <w:rPr>
          <w:sz w:val="20"/>
          <w:szCs w:val="20"/>
          <w:color w:val="auto"/>
        </w:rPr>
      </w:pPr>
      <w:r>
        <w:rPr>
          <w:rFonts w:ascii="Arial" w:cs="Arial" w:eastAsia="Arial" w:hAnsi="Arial"/>
          <w:sz w:val="16"/>
          <w:szCs w:val="16"/>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the oral formulation of PRT1419. We expect to add dose expansion and combination cohorts to this Phase 1 clinical trial in the second half of 2021. Additionally, the FDA recently cleared our IND for an intravenous (IV) formulation of PRT1419. A Phase 1 trial of the IV formulation, which leverages the optimized physicochemical properties of PRT1419, is expected to commence in the first half of 2021 in patients with solid tumors.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5160645" cy="2897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064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Prelude Discovery and Development Approach</w:t>
      </w:r>
    </w:p>
    <w:p>
      <w:pPr>
        <w:spacing w:after="0" w:line="121" w:lineRule="exact"/>
        <w:rPr>
          <w:sz w:val="20"/>
          <w:szCs w:val="20"/>
          <w:color w:val="auto"/>
        </w:rPr>
      </w:pPr>
    </w:p>
    <w:p>
      <w:pPr>
        <w:ind w:right="400" w:firstLine="478"/>
        <w:spacing w:after="0" w:line="277" w:lineRule="auto"/>
        <w:rPr>
          <w:sz w:val="20"/>
          <w:szCs w:val="20"/>
          <w:color w:val="auto"/>
        </w:rPr>
      </w:pPr>
      <w:r>
        <w:rPr>
          <w:rFonts w:ascii="Arial" w:cs="Arial" w:eastAsia="Arial" w:hAnsi="Arial"/>
          <w:sz w:val="18"/>
          <w:szCs w:val="18"/>
          <w:color w:val="auto"/>
        </w:rPr>
        <w:t>We carefully evaluate and select our targets based on three key pillars, which provide a framework for optimizing our drug discovery and development efforts.</w:t>
      </w:r>
    </w:p>
    <w:p>
      <w:pPr>
        <w:spacing w:after="0" w:line="35" w:lineRule="exact"/>
        <w:rPr>
          <w:sz w:val="20"/>
          <w:szCs w:val="20"/>
          <w:color w:val="auto"/>
        </w:rPr>
      </w:pPr>
    </w:p>
    <w:p>
      <w:pPr>
        <w:ind w:left="880" w:hanging="40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Identify target mechanisms with compelling biological rationale</w:t>
      </w:r>
    </w:p>
    <w:p>
      <w:pPr>
        <w:spacing w:after="0" w:line="117" w:lineRule="exact"/>
        <w:rPr>
          <w:rFonts w:ascii="Arial" w:cs="Arial" w:eastAsia="Arial" w:hAnsi="Arial"/>
          <w:sz w:val="18"/>
          <w:szCs w:val="18"/>
          <w:color w:val="auto"/>
        </w:rPr>
      </w:pPr>
    </w:p>
    <w:p>
      <w:pPr>
        <w:ind w:left="1300" w:hanging="401"/>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35" w:lineRule="exact"/>
        <w:rPr>
          <w:rFonts w:ascii="Arial" w:cs="Arial" w:eastAsia="Arial" w:hAnsi="Arial"/>
          <w:sz w:val="18"/>
          <w:szCs w:val="18"/>
          <w:color w:val="auto"/>
        </w:rPr>
      </w:pPr>
    </w:p>
    <w:p>
      <w:pPr>
        <w:ind w:left="880" w:hanging="40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Leverage our advanced medicinal chemistry capabilities to create better product candidates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left="9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We view all target classes equally and strive to invent clinical candidates that meet our desired target product profiles</w:t>
      </w:r>
    </w:p>
    <w:p>
      <w:pPr>
        <w:spacing w:after="0" w:line="23" w:lineRule="exact"/>
        <w:rPr>
          <w:sz w:val="20"/>
          <w:szCs w:val="20"/>
          <w:color w:val="auto"/>
        </w:rPr>
      </w:pPr>
    </w:p>
    <w:p>
      <w:pPr>
        <w:ind w:left="880" w:hanging="40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Pursue targets that drive cancers with high unmet need</w:t>
      </w:r>
    </w:p>
    <w:p>
      <w:pPr>
        <w:spacing w:after="0" w:line="116" w:lineRule="exact"/>
        <w:rPr>
          <w:rFonts w:ascii="Arial" w:cs="Arial" w:eastAsia="Arial" w:hAnsi="Arial"/>
          <w:sz w:val="18"/>
          <w:szCs w:val="18"/>
          <w:color w:val="auto"/>
        </w:rPr>
      </w:pPr>
    </w:p>
    <w:p>
      <w:pPr>
        <w:ind w:left="1300" w:right="280" w:hanging="401"/>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170" w:lineRule="exact"/>
        <w:rPr>
          <w:sz w:val="20"/>
          <w:szCs w:val="20"/>
          <w:color w:val="auto"/>
        </w:rPr>
      </w:pPr>
    </w:p>
    <w:p>
      <w:pPr>
        <w:ind w:right="220" w:firstLine="478"/>
        <w:spacing w:after="0" w:line="259" w:lineRule="auto"/>
        <w:rPr>
          <w:sz w:val="20"/>
          <w:szCs w:val="20"/>
          <w:color w:val="auto"/>
        </w:rPr>
      </w:pPr>
      <w:r>
        <w:rPr>
          <w:rFonts w:ascii="Arial" w:cs="Arial" w:eastAsia="Arial" w:hAnsi="Arial"/>
          <w:sz w:val="18"/>
          <w:szCs w:val="18"/>
          <w:color w:val="auto"/>
        </w:rPr>
        <w:t>Once we have identified optimal targets using the three pillars above, we engage our unique discovery engine to rapidly and efficiently invent and develop molecules.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continue delivering a new IND every 12 to 18 months.</w:t>
      </w:r>
    </w:p>
    <w:p>
      <w:pPr>
        <w:spacing w:after="0" w:line="187" w:lineRule="exact"/>
        <w:rPr>
          <w:sz w:val="20"/>
          <w:szCs w:val="20"/>
          <w:color w:val="auto"/>
        </w:rPr>
      </w:pPr>
    </w:p>
    <w:p>
      <w:pPr>
        <w:jc w:val="both"/>
        <w:ind w:right="240" w:firstLine="478"/>
        <w:spacing w:after="0" w:line="263" w:lineRule="auto"/>
        <w:rPr>
          <w:sz w:val="20"/>
          <w:szCs w:val="20"/>
          <w:color w:val="auto"/>
        </w:rPr>
      </w:pPr>
      <w:r>
        <w:rPr>
          <w:rFonts w:ascii="Arial" w:cs="Arial" w:eastAsia="Arial" w:hAnsi="Arial"/>
          <w:sz w:val="18"/>
          <w:szCs w:val="18"/>
          <w:color w:val="auto"/>
        </w:rPr>
        <w:t>We design our clinical trials to leverage the broad utility of our compounds with a focus on efficient regulatory pathways to enable our potentially transformative medicines to quickly reach patients with high unmet medical need. By focusing on validated cancer signaling pathways and early clinical proof-of-concept, we seek to advance our programs through expedited approval processes.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Product Candidates</w:t>
      </w:r>
    </w:p>
    <w:p>
      <w:pPr>
        <w:spacing w:after="0" w:line="175" w:lineRule="exact"/>
        <w:rPr>
          <w:sz w:val="20"/>
          <w:szCs w:val="20"/>
          <w:color w:val="auto"/>
        </w:rPr>
      </w:pPr>
    </w:p>
    <w:p>
      <w:pPr>
        <w:ind w:right="120" w:firstLine="478"/>
        <w:spacing w:after="0" w:line="259" w:lineRule="auto"/>
        <w:rPr>
          <w:sz w:val="20"/>
          <w:szCs w:val="20"/>
          <w:color w:val="auto"/>
        </w:rPr>
      </w:pPr>
      <w:r>
        <w:rPr>
          <w:rFonts w:ascii="Arial" w:cs="Arial" w:eastAsia="Arial" w:hAnsi="Arial"/>
          <w:sz w:val="18"/>
          <w:szCs w:val="18"/>
          <w:color w:val="auto"/>
        </w:rPr>
        <w:t>Our first two candidates, PRT543 and PRT811, are designed to be potent, selective and oral inhibitors of PRMT5. We believe targeting PRMT5 has broad applicability and a strong scientific rationale for the treatment of cancer as it regulates transcription, translation and messenger ribonucleic acid, or mRNA, as well as the splicing of cancer related genes. Inhibition of PRMT5 has been observed to suppress tumor growth and produce synthetic lethality preclinically.</w:t>
      </w:r>
    </w:p>
    <w:p>
      <w:pPr>
        <w:spacing w:after="0" w:line="187" w:lineRule="exact"/>
        <w:rPr>
          <w:sz w:val="20"/>
          <w:szCs w:val="20"/>
          <w:color w:val="auto"/>
        </w:rPr>
      </w:pPr>
    </w:p>
    <w:p>
      <w:pPr>
        <w:ind w:firstLine="478"/>
        <w:spacing w:after="0" w:line="286" w:lineRule="auto"/>
        <w:rPr>
          <w:sz w:val="20"/>
          <w:szCs w:val="20"/>
          <w:color w:val="auto"/>
        </w:rPr>
      </w:pPr>
      <w:r>
        <w:rPr>
          <w:rFonts w:ascii="Arial" w:cs="Arial" w:eastAsia="Arial" w:hAnsi="Arial"/>
          <w:sz w:val="16"/>
          <w:szCs w:val="16"/>
          <w:color w:val="auto"/>
        </w:rPr>
        <w:t>PRT543, our first clinical candidate, is currently in a Phase 1 clinical trial in advanced solid tumors and select myeloid malignancies. We have been encouraged by both the clinical activity and tolerability data that have been seen in 61 patients (42 with advanced solid tumors, one with NHL, 11 with MF and seven with MDS) that have enrolled into the study as of December 16, 2020. We have observed early signs of clinical activity, including a durable confirmed CR per RECIST v1.1, in a patient with HRD+ high grade serous ovarian cancer, in the 35 mg 5x/week (once a day, for five days, with two days off) cohort. This patient has received nine months of study therapy as of December 16, 2020 and remains in CR. We will need to enroll and demonstrate objective responses in additional patients to support further development and potential approval by FDA or other regulatory authorities, and such approval is not guaranteed. In addition, extended duration of therapy and improvements in symptoms have been observed in several patients with MF, with one patient demonstrating a response of clinical improvement and another patient showing an approximately 66% reduction in Total Symptom Score, or TSS, a validated clinical endpoint in MF. Clinical improvement means an achievement in anemia, spleen, or symptom response without progressive disease or increase in the severity of anemia, thrombocytopenia or neutropenia. We have begun enrolling patients into the expansion portion of the Phase 1 clinical trial in select tumor types that are potentially driven by PRMT5 dysregulation. These tumor types include ACC, MF, genomically selected MDS and HRD+ tumors. We have recently completed the dose escalation portion of the ongoing Phase 1 trial for PRT543. The dose expansion portion of the trial is open for the patient cohort with adenoid cystic carcinoma and we now expect to begin patient enrollment into additional solid tumor and myeloid malignancies expansion cohorts early in the second quarter. We anticipate presenting initial clinical data from the trial at medical meetings in the second half of 2021.</w:t>
      </w:r>
    </w:p>
    <w:p>
      <w:pPr>
        <w:spacing w:after="0" w:line="171"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PRT811, our second clinical candidate, is currently advancing in the dose escalation portion of a Phase 1 clinical trial in solid tumors, including GBM and primary central nervous system lymphomas, or PCNSL. PRT811 has been optimized for high brain exposure and hence we believe is uniquely positioned to treat PRMT5 sensitive CNS cancers. We have been encouraged by both the clinical activity and tolerability data that have been seen in 24 patients (eight with GBM, 16 with various advanced solid tumors) that have enrolled into the dose escalation portion of the study as of December 16, 2020. We have observed early signs of clinical activity in a refractory GBM patient whose tumor initially demonstrated a 66% reduction on monotherapy PRT811 at week 6, and subsequently underwent a follow-up MRI at week 18, and the regression has improved to 77% from baseline, confirming a PR per RANO (response assessment in neuro-oncology) criteria. This patient has received five months of study therapy as of December 16, 2020 and remains in PR and is clinically stable. We will need to enroll and demonstrate objective responses in additional patients to support further development and potential approval by FDA or other regulatory authorities, and such approval is not guaranteed. We plan to initially enroll patients in the expansion portion of the clinical trial with GBM, PCNSL and solid tumors with metastatic disease to the CNS once we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ind w:right="340"/>
        <w:spacing w:after="0" w:line="277" w:lineRule="auto"/>
        <w:rPr>
          <w:sz w:val="20"/>
          <w:szCs w:val="20"/>
          <w:color w:val="auto"/>
        </w:rPr>
      </w:pPr>
      <w:r>
        <w:rPr>
          <w:rFonts w:ascii="Arial" w:cs="Arial" w:eastAsia="Arial" w:hAnsi="Arial"/>
          <w:sz w:val="18"/>
          <w:szCs w:val="18"/>
          <w:color w:val="auto"/>
        </w:rPr>
        <w:t>have established an expansion dose. We expect these expansions to begin by mid-2021 and anticipate initial clinical results from this trial by the end of 2021.</w:t>
      </w:r>
    </w:p>
    <w:p>
      <w:pPr>
        <w:spacing w:after="0" w:line="143" w:lineRule="exact"/>
        <w:rPr>
          <w:sz w:val="20"/>
          <w:szCs w:val="20"/>
          <w:color w:val="auto"/>
        </w:rPr>
      </w:pPr>
    </w:p>
    <w:p>
      <w:pPr>
        <w:ind w:right="120" w:firstLine="478"/>
        <w:spacing w:after="0" w:line="291" w:lineRule="auto"/>
        <w:rPr>
          <w:sz w:val="20"/>
          <w:szCs w:val="20"/>
          <w:color w:val="auto"/>
        </w:rPr>
      </w:pPr>
      <w:r>
        <w:rPr>
          <w:rFonts w:ascii="Arial" w:cs="Arial" w:eastAsia="Arial" w:hAnsi="Arial"/>
          <w:sz w:val="16"/>
          <w:szCs w:val="16"/>
          <w:color w:val="auto"/>
        </w:rPr>
        <w:t>PRT1419, our third clinical candidate, is designed to be a potent and selective inhibitor of the anti-apoptotic protein, MCL1. We believe hematological malignancies are particularly sensitive to MCL1 inhibitors. MCL1 upregulation has been noted as a mechanism of acquired resistance to venetoclax and tyrosine kinase inhibitors, or TKIs. In addition, certain solid tumors are responsive to MCL1 inhibition, informing a potential patient selection strategy. We have enrolled four patients into the Phase 1 clinical trial investigating oral PRT1419 in high risk MDS, AML, NHL and MM. Additionally, the FDA recently cleared our IND for an intravenous (IV) formulation of PRT1419. A Phase 1 trial of the IV formulation, which leverages the optimized physicochemical properties of PRT1419, is expected to commence in the first half of 2021 in patients with solid tumors. We believe that the physicochemical and pharmacological properties of PRT1419 allow the optionality of administering PRT1419 by either oral or IV routes.</w:t>
      </w:r>
    </w:p>
    <w:p>
      <w:pPr>
        <w:spacing w:after="0" w:line="139" w:lineRule="exact"/>
        <w:rPr>
          <w:sz w:val="20"/>
          <w:szCs w:val="20"/>
          <w:color w:val="auto"/>
        </w:rPr>
      </w:pPr>
    </w:p>
    <w:p>
      <w:pPr>
        <w:ind w:right="40" w:firstLine="478"/>
        <w:spacing w:after="0" w:line="273" w:lineRule="auto"/>
        <w:rPr>
          <w:sz w:val="20"/>
          <w:szCs w:val="20"/>
          <w:color w:val="auto"/>
        </w:rPr>
      </w:pPr>
      <w:r>
        <w:rPr>
          <w:rFonts w:ascii="Arial" w:cs="Arial" w:eastAsia="Arial" w:hAnsi="Arial"/>
          <w:sz w:val="17"/>
          <w:szCs w:val="17"/>
          <w:color w:val="auto"/>
        </w:rPr>
        <w:t>In addition to our three clinical stage candidates, our two most advanced preclinical programs target cyclin- dependent kinase 9, or CDK9, and Brahma homologue, or BRM, otherwise known as SMARCA2, respectively. PRT2527, designed to be a potent and selective CDK9 inhibitor, has entered IND-enabling studies with an IND submission expected in 2021. We have also identified SMARCA2 protein degraders that appear to be potent based on preclinical data demonstrating degradation of SMARCA2 at sub-nanomolar concentration. Optimization of the lead compound, PRT-SCA2, is progressing, and we expect to initiate IND-enabling studies in 2021. Our sixth program is exploring a kinase target for solid tumors. We are optimizing our lead compound, PRT-K4, and expect to begin IND-enabling studies in 2021.</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8"/>
          <w:szCs w:val="18"/>
          <w:color w:val="auto"/>
        </w:rPr>
        <w:t>We were founded in 2016 by Kris Vaddi, Ph.D., a founding scientist at Incyte, and have assembled an experienced management team and board of directors with deep expertise in oncology and drug development. We have built from the “ground up” our internal discovery team, led by scientific and medical teams with deep expertise and proven capabilities in inventing and rapidly advancing small molecule medicines that address important gaps in the current precision oncology ecosystem. Members of our management team have successfully developed and commercialized numerous drugs such as Jakafi, Olumiant, Velcade, VITRAKVI, Retevmo, Tabrecta and Pemazyre.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We aim to create better targeted and more effective cancer therapies. Our goal is to transform the lives of patients with cancer by leveraging the core competencies of our experienced team in medicinal chemistry, cancer biology and clinical development to bring novel drugs to market. We intend to become a fully integrated patient- focused precision oncology company by pursuing the following objectives:</w:t>
      </w:r>
    </w:p>
    <w:p>
      <w:pPr>
        <w:spacing w:after="0" w:line="45" w:lineRule="exact"/>
        <w:rPr>
          <w:sz w:val="20"/>
          <w:szCs w:val="20"/>
          <w:color w:val="auto"/>
        </w:rPr>
      </w:pPr>
    </w:p>
    <w:p>
      <w:pPr>
        <w:ind w:left="880" w:right="100" w:hanging="400"/>
        <w:spacing w:after="0" w:line="26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Rapidly progress our lead product candidates, PRT543 and PRT811, through clinical development in patients with select solid tumors and hematological malignancies. </w:t>
      </w:r>
      <w:r>
        <w:rPr>
          <w:rFonts w:ascii="Arial" w:cs="Arial" w:eastAsia="Arial" w:hAnsi="Arial"/>
          <w:sz w:val="17"/>
          <w:szCs w:val="17"/>
          <w:color w:val="auto"/>
        </w:rPr>
        <w:t>Our oral PRMT5 inhibitor candidates target multiple indications, with an initial focus on ACC, HRD+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myeloid and CNS malignancies, and have the potential for accelerated approval. We are currently advancing our first clinical candidate, PRT543, in a Phase 1 clinical trial in select solid tumors and myeloid malignancies. Interim Phase 1 results indicate dose-dependent increases in exposure and target engagement, and we have observed early signs of clinical activity, including an ongoing durable confirmed CR in a highly-refractory HRD+ ovarian cancer patient and prolonged stable disease, or SD, defined as failure to meet the definitions of either objective clinical response or progressive disease, in multiple patients with myeloid malignancies. We are also advancing PRT811, a second PRMT5 inhibitor that we have optimized for high brain exposure, in a Phase 1 clinical trial in solid tumors, including GBM. The previously disclosed refractory GBM patient whose tumor had demonstrated a 66% reduction on monotherapy PRT811 has subsequently undergone a follow-up MRI at week 18 and the regression has improved to 77% from baseline, confirming a PR per RANO (response assessment in neuro-oncology) criteria. We have recently completed the dose escalation portion of the ongoing Phase 1 trial for PRT543. The dose expansion portion of the trial is open for the patient cohort with adenoid cystic carcinoma and we now expect to begin patient enrollment into additional solid tumor and myeloid malignancies expansion cohorts early in the second quarter. Patient enrollment into the expansion portion of the trial for PRT811 is expected to begin by mid-2021. We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ind w:left="880"/>
        <w:spacing w:after="0" w:line="277" w:lineRule="auto"/>
        <w:rPr>
          <w:sz w:val="20"/>
          <w:szCs w:val="20"/>
          <w:color w:val="auto"/>
        </w:rPr>
      </w:pPr>
      <w:r>
        <w:rPr>
          <w:rFonts w:ascii="Arial" w:cs="Arial" w:eastAsia="Arial" w:hAnsi="Arial"/>
          <w:sz w:val="18"/>
          <w:szCs w:val="18"/>
          <w:color w:val="auto"/>
        </w:rPr>
        <w:t>anticipate presenting initial clinical results for PRT543 in the second half of 2021 and obtaining initial clinical results for PRT811 by the end of 2021.</w:t>
      </w:r>
    </w:p>
    <w:p>
      <w:pPr>
        <w:spacing w:after="0" w:line="58" w:lineRule="exact"/>
        <w:rPr>
          <w:sz w:val="20"/>
          <w:szCs w:val="20"/>
          <w:color w:val="auto"/>
        </w:rPr>
      </w:pPr>
    </w:p>
    <w:p>
      <w:pPr>
        <w:ind w:left="880" w:right="40" w:hanging="400"/>
        <w:spacing w:after="0" w:line="255"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Expeditiously advance PRT1419, our MCL1 inhibitor, through clinical development in patients with select hematological malignancies. </w:t>
      </w:r>
      <w:r>
        <w:rPr>
          <w:rFonts w:ascii="Arial" w:cs="Arial" w:eastAsia="Arial" w:hAnsi="Arial"/>
          <w:sz w:val="18"/>
          <w:szCs w:val="18"/>
          <w:color w:val="auto"/>
        </w:rPr>
        <w:t>MCL1 is an oncogenic driver and a major resistance mechanism to B-cell lymphoma 2, or BCL2, inhibitors. We are enrolling</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into the dose escalation portion of a Phase 1 clinical trial investigating oral PRT1419 in high risk MDS, AML, NHL and MM patients. We expect to add dose expansion and combination cohorts to this Phase 1 clinical trial for the oral formulation of PRT1419 in the second half of 2021. Additionally, the FDA recently cleared our IND for an intravenous (IV) formulation of PRT1419. A Phase 1 trial of the IV formulation, which leverages the optimized physicochemical properties of PRT1419, is expected to commence in the first half of 2021 in patients with solid tumors.</w:t>
      </w:r>
    </w:p>
    <w:p>
      <w:pPr>
        <w:spacing w:after="0" w:line="80" w:lineRule="exact"/>
        <w:rPr>
          <w:rFonts w:ascii="Arial" w:cs="Arial" w:eastAsia="Arial" w:hAnsi="Arial"/>
          <w:sz w:val="18"/>
          <w:szCs w:val="18"/>
          <w:color w:val="auto"/>
        </w:rPr>
      </w:pPr>
    </w:p>
    <w:p>
      <w:pPr>
        <w:ind w:left="880" w:right="20" w:hanging="400"/>
        <w:spacing w:after="0" w:line="281"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Continue to advance our earlier stage programs, including a CDK9 inhibitor and a SMARCA2 degrader. </w:t>
      </w:r>
      <w:r>
        <w:rPr>
          <w:rFonts w:ascii="Arial" w:cs="Arial" w:eastAsia="Arial" w:hAnsi="Arial"/>
          <w:sz w:val="17"/>
          <w:szCs w:val="17"/>
          <w:color w:val="auto"/>
        </w:rPr>
        <w:t>PRT2527, designed to be a</w:t>
      </w:r>
      <w:r>
        <w:rPr>
          <w:rFonts w:ascii="Arial" w:cs="Arial" w:eastAsia="Arial" w:hAnsi="Arial"/>
          <w:sz w:val="17"/>
          <w:szCs w:val="17"/>
          <w:b w:val="1"/>
          <w:bCs w:val="1"/>
          <w:color w:val="auto"/>
        </w:rPr>
        <w:t xml:space="preserve"> </w:t>
      </w:r>
      <w:r>
        <w:rPr>
          <w:rFonts w:ascii="Arial" w:cs="Arial" w:eastAsia="Arial" w:hAnsi="Arial"/>
          <w:sz w:val="17"/>
          <w:szCs w:val="17"/>
          <w:color w:val="auto"/>
        </w:rPr>
        <w:t>potent and selective CDK9 inhibitor, has entered IND-enabling studies with an IND submission expected in 2021. We have also identified potent SMARCA2 protein degraders based on data demonstrating degradation of SMARCA2 at sub-nanomolar concentration. Optimization of the lead compound, PRT-SCA2, is progressing and we expect to initiate IND-enabling studies in 2021.</w:t>
      </w:r>
    </w:p>
    <w:p>
      <w:pPr>
        <w:spacing w:after="0" w:line="56" w:lineRule="exact"/>
        <w:rPr>
          <w:rFonts w:ascii="Arial" w:cs="Arial" w:eastAsia="Arial" w:hAnsi="Arial"/>
          <w:sz w:val="17"/>
          <w:szCs w:val="17"/>
          <w:color w:val="auto"/>
        </w:rPr>
      </w:pPr>
    </w:p>
    <w:p>
      <w:pPr>
        <w:ind w:left="880" w:hanging="400"/>
        <w:spacing w:after="0" w:line="292"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cancer biology and medicinal chemistry expertise to consistently deliver one new IND every 12 – 18 months. </w:t>
      </w:r>
      <w:r>
        <w:rPr>
          <w:rFonts w:ascii="Arial" w:cs="Arial" w:eastAsia="Arial" w:hAnsi="Arial"/>
          <w:sz w:val="16"/>
          <w:szCs w:val="16"/>
          <w:color w:val="auto"/>
        </w:rPr>
        <w:t>We are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to developing drugs that take a unique approach to precision oncology by focusing on broad mechanisms that have multiple links to oncogenic driver pathways in select patients. Utilizing our unique fully-integrated targeted oncology discovery engine, we will continue to pursue small-molecule therapies optimized to effectively target the key driver mechanisms in cancers with high unmet need, regardless of target class or technology platform. Since our inception in 2016, we have received FDA clearance for four INDs and successfully advanced three of these programs into clinical development, with the fourth program expected to initiate clinical development in the first half of 2021. We aim to continue to deliver on our goal of creating better targeted and more effective cancer therapies for patients with high unmet need.</w:t>
      </w:r>
    </w:p>
    <w:p>
      <w:pPr>
        <w:spacing w:after="0" w:line="53" w:lineRule="exact"/>
        <w:rPr>
          <w:rFonts w:ascii="Arial" w:cs="Arial" w:eastAsia="Arial" w:hAnsi="Arial"/>
          <w:sz w:val="16"/>
          <w:szCs w:val="16"/>
          <w:color w:val="auto"/>
        </w:rPr>
      </w:pPr>
    </w:p>
    <w:p>
      <w:pPr>
        <w:ind w:left="880" w:right="60" w:hanging="400"/>
        <w:spacing w:after="0" w:line="258"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Opportunistically evaluate strategies to accelerate development timelines and maximize the value of our product candidate pipeline. </w:t>
      </w:r>
      <w:r>
        <w:rPr>
          <w:rFonts w:ascii="Arial" w:cs="Arial" w:eastAsia="Arial" w:hAnsi="Arial"/>
          <w:sz w:val="18"/>
          <w:szCs w:val="18"/>
          <w:color w:val="auto"/>
        </w:rPr>
        <w:t>We have developed each of our product candidates based on our internal capabilities, and we currently have worldwide development and commercial rights to each of our candidates. Given our ability to efficiently invent target class agnostic, small molecule agents that have broad applicability, including potential indications beyond oncology, we may choose to opportunistically enter into strategic collaborations that enable us to broaden our clinical or commercial impact.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40" w:firstLine="478"/>
        <w:spacing w:after="0" w:line="255" w:lineRule="auto"/>
        <w:rPr>
          <w:sz w:val="20"/>
          <w:szCs w:val="20"/>
          <w:color w:val="auto"/>
        </w:rPr>
      </w:pPr>
      <w:r>
        <w:rPr>
          <w:rFonts w:ascii="Arial" w:cs="Arial" w:eastAsia="Arial" w:hAnsi="Arial"/>
          <w:sz w:val="18"/>
          <w:szCs w:val="18"/>
          <w:color w:val="auto"/>
        </w:rPr>
        <w:t>Consistent with our target class agnostic approach, our current pipeline includes six distinct programs spanning methyltransferases, kinases, protein-protein interactions and targeted protein degraders. Since our inception in 2016, we have received clearance for four INDs and advanced three of these programs into clinical development, with the fourth program expected to initiate clinical development in the first half of 2021. In addition, we have three unique programs in various stages of preclinical development that we plan to advance into clinical development beginning in 2021. We have structured and resourced our research and development, or R&amp;D, organization with the goal and expectation of continuing to deliver a new IND every 12 to 18 months.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363220</wp:posOffset>
            </wp:positionV>
            <wp:extent cx="4954905" cy="2794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95490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Background and Treatment</w:t>
      </w:r>
    </w:p>
    <w:p>
      <w:pPr>
        <w:spacing w:after="0" w:line="229" w:lineRule="exact"/>
        <w:rPr>
          <w:sz w:val="20"/>
          <w:szCs w:val="20"/>
          <w:color w:val="auto"/>
        </w:rPr>
      </w:pPr>
    </w:p>
    <w:p>
      <w:pPr>
        <w:jc w:val="both"/>
        <w:ind w:right="240" w:firstLine="478"/>
        <w:spacing w:after="0" w:line="275" w:lineRule="auto"/>
        <w:rPr>
          <w:sz w:val="20"/>
          <w:szCs w:val="20"/>
          <w:color w:val="auto"/>
        </w:rPr>
      </w:pPr>
      <w:r>
        <w:rPr>
          <w:rFonts w:ascii="Arial" w:cs="Arial" w:eastAsia="Arial" w:hAnsi="Arial"/>
          <w:sz w:val="17"/>
          <w:szCs w:val="17"/>
          <w:color w:val="auto"/>
        </w:rPr>
        <w:t>Cancer is the second-leading cause of death in the United States. The American Cancer Society estimates that approximately 1.8 million new cancer cases will be diagnosed and more than 600,000 people are expected to die of the disease in the United States in 2020. Cancer is a disease of the genome caused by changes in DNA that alter cell behavior, growth and division. These changes can cause cells to produce abnormal amounts of certain proteins and/or to make aberrant proteins that do not function properly. It is widely understood that cancer cells can eventually evade therapies through mutations or other resistance mechanisms, limiting the long-term success of drug therapies.</w:t>
      </w:r>
    </w:p>
    <w:p>
      <w:pPr>
        <w:spacing w:after="0" w:line="176" w:lineRule="exact"/>
        <w:rPr>
          <w:sz w:val="20"/>
          <w:szCs w:val="20"/>
          <w:color w:val="auto"/>
        </w:rPr>
      </w:pPr>
    </w:p>
    <w:p>
      <w:pPr>
        <w:ind w:right="220" w:firstLine="478"/>
        <w:spacing w:after="0" w:line="263" w:lineRule="auto"/>
        <w:rPr>
          <w:sz w:val="20"/>
          <w:szCs w:val="20"/>
          <w:color w:val="auto"/>
        </w:rPr>
      </w:pPr>
      <w:r>
        <w:rPr>
          <w:rFonts w:ascii="Arial" w:cs="Arial" w:eastAsia="Arial" w:hAnsi="Arial"/>
          <w:sz w:val="18"/>
          <w:szCs w:val="18"/>
          <w:color w:val="auto"/>
        </w:rPr>
        <w:t>Historically, cancer has been treated with surgery, radiation and drug therapy with patients often receiving a combination of these treatment modalities. While surgery and radiation can be effective in patients with localized disease, drug therapies are often required when the cancer has spread beyond the primary site or is not amenable to resection.</w:t>
      </w:r>
    </w:p>
    <w:p>
      <w:pPr>
        <w:spacing w:after="0" w:line="184" w:lineRule="exact"/>
        <w:rPr>
          <w:sz w:val="20"/>
          <w:szCs w:val="20"/>
          <w:color w:val="auto"/>
        </w:rPr>
      </w:pPr>
    </w:p>
    <w:p>
      <w:pPr>
        <w:ind w:right="20" w:firstLine="478"/>
        <w:spacing w:after="0" w:line="286" w:lineRule="auto"/>
        <w:rPr>
          <w:sz w:val="20"/>
          <w:szCs w:val="20"/>
          <w:color w:val="auto"/>
        </w:rPr>
      </w:pPr>
      <w:r>
        <w:rPr>
          <w:rFonts w:ascii="Arial" w:cs="Arial" w:eastAsia="Arial" w:hAnsi="Arial"/>
          <w:sz w:val="17"/>
          <w:szCs w:val="17"/>
          <w:color w:val="auto"/>
        </w:rPr>
        <w:t>Drug therapy is intended to kill or damage malignant cells by interfering with the biological processes that control development, growth and survival of cancer cells. This treatment modality has evolved over time from the use of non-specific cytotoxic therapies to precision oncology medicines targeting molecular pathways or oncogenic drivers. These precision medicines are broadly known as targeted therapies</w:t>
      </w:r>
      <w:r>
        <w:rPr>
          <w:rFonts w:ascii="Arial" w:cs="Arial" w:eastAsia="Arial" w:hAnsi="Arial"/>
          <w:sz w:val="17"/>
          <w:szCs w:val="17"/>
          <w:b w:val="1"/>
          <w:bCs w:val="1"/>
          <w:color w:val="auto"/>
        </w:rPr>
        <w:t>.</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Era of Precision Oncology</w:t>
      </w:r>
    </w:p>
    <w:p>
      <w:pPr>
        <w:spacing w:after="0" w:line="117" w:lineRule="exact"/>
        <w:rPr>
          <w:sz w:val="20"/>
          <w:szCs w:val="20"/>
          <w:color w:val="auto"/>
        </w:rPr>
      </w:pPr>
    </w:p>
    <w:p>
      <w:pPr>
        <w:ind w:firstLine="478"/>
        <w:spacing w:after="0" w:line="293" w:lineRule="auto"/>
        <w:rPr>
          <w:sz w:val="20"/>
          <w:szCs w:val="20"/>
          <w:color w:val="auto"/>
        </w:rPr>
      </w:pPr>
      <w:r>
        <w:rPr>
          <w:rFonts w:ascii="Arial" w:cs="Arial" w:eastAsia="Arial" w:hAnsi="Arial"/>
          <w:sz w:val="16"/>
          <w:szCs w:val="16"/>
          <w:color w:val="auto"/>
        </w:rPr>
        <w:t>The first-generation of approved targeted therapies were largely directed at receptor tyrosine kinases (e.g., BCR-ABL, VEGF, EGFR), a superfamily of cell-surface receptors that activate growth factors. Many of these agents that were initially approved in refractory and resistant populations have now become front-line treatments in cancers for which they are indicated. While these targeted therapies have improved the treatment of certain cancers, many fail to address the underlying genomic alterations that drive oncogenesis, leading to limited responses or inadequate therapeutic durability. Since normal cells can rely on these same signaling pathways, there are often toxicities associated with pathway inhibition. In addition, many of these first-generation targeted therapies are multi-kinase inhibitors that interfere with off-target adjacent pathways, resulting in significant toxicities.</w:t>
      </w:r>
    </w:p>
    <w:p>
      <w:pPr>
        <w:spacing w:after="0" w:line="56" w:lineRule="exact"/>
        <w:rPr>
          <w:sz w:val="20"/>
          <w:szCs w:val="20"/>
          <w:color w:val="auto"/>
        </w:rPr>
      </w:pPr>
    </w:p>
    <w:p>
      <w:pPr>
        <w:ind w:right="760" w:firstLine="478"/>
        <w:spacing w:after="0" w:line="277" w:lineRule="auto"/>
        <w:rPr>
          <w:sz w:val="20"/>
          <w:szCs w:val="20"/>
          <w:color w:val="auto"/>
        </w:rPr>
      </w:pPr>
      <w:r>
        <w:rPr>
          <w:rFonts w:ascii="Arial" w:cs="Arial" w:eastAsia="Arial" w:hAnsi="Arial"/>
          <w:sz w:val="18"/>
          <w:szCs w:val="18"/>
          <w:color w:val="auto"/>
        </w:rPr>
        <w:t>A second-generation of targeted cancer therapies has evolved from the nexus of rapid advances in the understanding of tumor biology and increasingly sophisticated diagnostic platforms that enable identification of subsets of tumors based 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ind w:right="240"/>
        <w:spacing w:after="0" w:line="254" w:lineRule="auto"/>
        <w:rPr>
          <w:sz w:val="20"/>
          <w:szCs w:val="20"/>
          <w:color w:val="auto"/>
        </w:rPr>
      </w:pPr>
      <w:r>
        <w:rPr>
          <w:rFonts w:ascii="Arial" w:cs="Arial" w:eastAsia="Arial" w:hAnsi="Arial"/>
          <w:sz w:val="18"/>
          <w:szCs w:val="18"/>
          <w:color w:val="auto"/>
        </w:rPr>
        <w:t>genomic alterations. These therapies often require genomic testing of tumor tissue or blood to identify potentially targetable alterations in a patient’s individual cancer. Increasingly, these precision medicines are agnostic to tumor site of origin and instead target specific oncogenic drivers that can occur broadly across tumor types. In 2018, VITRAKVI (larotrectinib) was approved by the FDA for neurotrophic receptor tyrosine kinase-driven cancers, making it the first new drug to be developed and approved to treat a specific genomic alteration in a tissue-agnostic fashion. This emerging trend for tumor-agnostic indications represents a significant advancement in drug development, clinical trial designs, drug approval patterns and speed to market. Targeted therapies generated approximately $20.1 billion of worldwide sales in 2019 and have remained a mainstay of oncology drug development and treatment.</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Next Generation Precision Oncology</w:t>
      </w:r>
    </w:p>
    <w:p>
      <w:pPr>
        <w:spacing w:after="0" w:line="117" w:lineRule="exact"/>
        <w:rPr>
          <w:sz w:val="20"/>
          <w:szCs w:val="20"/>
          <w:color w:val="auto"/>
        </w:rPr>
      </w:pPr>
    </w:p>
    <w:p>
      <w:pPr>
        <w:ind w:firstLine="478"/>
        <w:spacing w:after="0" w:line="272" w:lineRule="auto"/>
        <w:rPr>
          <w:sz w:val="20"/>
          <w:szCs w:val="20"/>
          <w:color w:val="auto"/>
        </w:rPr>
      </w:pPr>
      <w:r>
        <w:rPr>
          <w:rFonts w:ascii="Arial" w:cs="Arial" w:eastAsia="Arial" w:hAnsi="Arial"/>
          <w:sz w:val="17"/>
          <w:szCs w:val="17"/>
          <w:color w:val="auto"/>
        </w:rPr>
        <w:t>First and second-generation precision oncology medicines dramatically changed the landscape of available treatment options for patients with cancer and created a paradigm shift in oncology drug development. However, there are still significant gaps that require further advances to optimize treatment options. For example, oncology drug development has been primarily focused on readily druggable genomic alterations that confer new or enhanced protein activity, known as gain-of-function targets, which represent only a subset of targets in oncology. Additionally, malignant cells may possess or acquire intrinsic resistance by using alternative signaling pathways, enabling them to survive and proliferate and contributing to a lack of response and/or short durability of response to these types of precision medicines. The nearly universal nature of this primary or secondary resistance highlights the urgent need to address resistance using a cellular level understanding of the mechanisms that drive treatment failure.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right="100" w:firstLine="478"/>
        <w:spacing w:after="0" w:line="296" w:lineRule="auto"/>
        <w:rPr>
          <w:sz w:val="20"/>
          <w:szCs w:val="20"/>
          <w:color w:val="auto"/>
        </w:rPr>
      </w:pPr>
      <w:r>
        <w:rPr>
          <w:rFonts w:ascii="Arial" w:cs="Arial" w:eastAsia="Arial" w:hAnsi="Arial"/>
          <w:sz w:val="16"/>
          <w:szCs w:val="16"/>
          <w:color w:val="auto"/>
        </w:rPr>
        <w:t>By specifically targeting additional pathways of resistance, next generation precision oncology medicines can address the needs of patients whose tumors do not harbor targetable genomic alterations as well as patients who progress on current therapies. These medicines leverage scientific and technological breakthroughs to target new intervention points in oncogenic signaling pathways, including transcriptional regulation of oncogenes and tumor suppressor genes, DNA damage repair pathways and protein structure. These approaches address primary and secondary resistance mechanisms not targetable by earlier generations of precision oncology medicines. Examples of these mechanisms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128905</wp:posOffset>
            </wp:positionV>
            <wp:extent cx="4046220" cy="1937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4622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We believe highly selective and potent molecules that target specific oncogenic mechanisms, regardless of target class, can be an effective strategy to address cancers not amenable to earlier and current treatment modalities. These next-generation precision therapies should possess pharmacological, pharmacokinetic, or PK, and pharmaceutical properties that provide optimized inhibition of the target mechanism, with a safety profile and therapeutic window that allows use in all stages of cancer either as a monotherapy or in combination.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Prelude Discovery and Development Approach</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guided by our core expertise in cancer biology and medicinal chemistry to create next generation precision oncology medicines. We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endeavor to discover, develop and commercialize small molecule drugs that selectively target signaling pathways driving primary or adaptive resistance.</w:t>
      </w:r>
    </w:p>
    <w:p>
      <w:pPr>
        <w:spacing w:after="0" w:line="193" w:lineRule="exact"/>
        <w:rPr>
          <w:sz w:val="20"/>
          <w:szCs w:val="20"/>
          <w:color w:val="auto"/>
        </w:rPr>
      </w:pPr>
    </w:p>
    <w:p>
      <w:pPr>
        <w:ind w:right="20" w:firstLine="478"/>
        <w:spacing w:after="0" w:line="271" w:lineRule="auto"/>
        <w:rPr>
          <w:sz w:val="20"/>
          <w:szCs w:val="20"/>
          <w:color w:val="auto"/>
        </w:rPr>
      </w:pPr>
      <w:r>
        <w:rPr>
          <w:rFonts w:ascii="Arial" w:cs="Arial" w:eastAsia="Arial" w:hAnsi="Arial"/>
          <w:sz w:val="17"/>
          <w:szCs w:val="17"/>
          <w:color w:val="auto"/>
        </w:rPr>
        <w:t>Our approach is target class- and technology platform-agnostic meaning, we do not limit our selection of programs to a defined target class (e.g., kinases) or a technology platform (e.g., protein degradation). We have built from the “ground up” our internal discovery team, led by scientific and medical teams with deep expertise and proven capabilities in inventing and rapidly advancing small molecule product candidates that have the potential to address important gaps in the current precision oncology ecosystem. We design our discovery programs around targets with compelling preclinical and clinical data that have the potential to address cancers of high unmet medical need. We evaluate existing clinical or preclinical biological rationale and chemical space that provide important “proof-of-concept” validation but present significant opportunities for improvement on current therapies. This process has enabled us to rapidly create a wholly-owned, internally developed pipeline of differentiated product candidates for patient populations with cancers that show limited therapeutic durability or do not respond to current treatments.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color w:val="auto"/>
        </w:rPr>
        <w:t>As shown in the diagram below, our approach is divided into two related processes—target selection and our unique discovery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1937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634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Target Selection</w:t>
      </w:r>
    </w:p>
    <w:p>
      <w:pPr>
        <w:spacing w:after="0" w:line="225" w:lineRule="exact"/>
        <w:rPr>
          <w:sz w:val="20"/>
          <w:szCs w:val="20"/>
          <w:color w:val="auto"/>
        </w:rPr>
      </w:pPr>
    </w:p>
    <w:p>
      <w:pPr>
        <w:ind w:firstLine="478"/>
        <w:spacing w:after="0" w:line="293" w:lineRule="auto"/>
        <w:rPr>
          <w:sz w:val="20"/>
          <w:szCs w:val="20"/>
          <w:color w:val="auto"/>
        </w:rPr>
      </w:pPr>
      <w:r>
        <w:rPr>
          <w:rFonts w:ascii="Arial" w:cs="Arial" w:eastAsia="Arial" w:hAnsi="Arial"/>
          <w:sz w:val="16"/>
          <w:szCs w:val="16"/>
          <w:color w:val="auto"/>
        </w:rPr>
        <w:t>We identify vulnerable intervention points in cancers with high unmet need, and then we seek to design solutions that can be precisely tailored to address these in a target class agnostic fashion. Applying our deep expertise in cancer biology and medicinal chemistry, as well as our in-depth understanding of the current landscape of oncology treatments, we interrogate targetable intervention points in the signaling pathways amenable to small molecule-based treatments. We then design, synthesize and optimize molecules that we believe best meet the needs of the patients we strive to serve. Consistent with our patient-centric focus, we take into account a number of patient attributes, including the type of cancer, current standard of care, causes of treatment failure, comorbidities, potential for drug-drug interactions and propensity for CNS disease to be able to develop more effective therapies.</w:t>
      </w:r>
    </w:p>
    <w:p>
      <w:pPr>
        <w:spacing w:after="0" w:line="124" w:lineRule="exact"/>
        <w:rPr>
          <w:sz w:val="20"/>
          <w:szCs w:val="20"/>
          <w:color w:val="auto"/>
        </w:rPr>
      </w:pPr>
    </w:p>
    <w:p>
      <w:pPr>
        <w:ind w:right="380" w:firstLine="478"/>
        <w:spacing w:after="0" w:line="277" w:lineRule="auto"/>
        <w:rPr>
          <w:sz w:val="20"/>
          <w:szCs w:val="20"/>
          <w:color w:val="auto"/>
        </w:rPr>
      </w:pPr>
      <w:r>
        <w:rPr>
          <w:rFonts w:ascii="Arial" w:cs="Arial" w:eastAsia="Arial" w:hAnsi="Arial"/>
          <w:sz w:val="18"/>
          <w:szCs w:val="18"/>
          <w:color w:val="auto"/>
        </w:rPr>
        <w:t>We carefully evaluate and select our targets based on the three key pillars described below which provide a framework for optimizing our drug discovery and development efforts. Our discovery programs are built upon these three pillars: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1) Identify target mechanisms with compelling biological rationale</w:t>
      </w:r>
    </w:p>
    <w:p>
      <w:pPr>
        <w:spacing w:after="0" w:line="117"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We focus on target classes that have either yielded successful drugs or are emerging as validated, druggable approaches with compelling driver pathway-based data, as opposed to approaches driven by disease association or novelty of target class. We believe our internal capabilities are best suited to rationally design and develop molecules that can address these mechanisms in a target class agnostic manner. We may expand our focus on other target mechanisms as new biology emerges and is validated.</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current target mechanisms of focus include:</w:t>
      </w:r>
    </w:p>
    <w:p>
      <w:pPr>
        <w:spacing w:after="0" w:line="117" w:lineRule="exact"/>
        <w:rPr>
          <w:sz w:val="20"/>
          <w:szCs w:val="20"/>
          <w:color w:val="auto"/>
        </w:rPr>
      </w:pPr>
    </w:p>
    <w:p>
      <w:pPr>
        <w:ind w:left="880" w:hanging="40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Transcriptional regulation</w:t>
      </w:r>
    </w:p>
    <w:p>
      <w:pPr>
        <w:spacing w:after="0" w:line="117" w:lineRule="exact"/>
        <w:rPr>
          <w:rFonts w:ascii="Arial" w:cs="Arial" w:eastAsia="Arial" w:hAnsi="Arial"/>
          <w:sz w:val="18"/>
          <w:szCs w:val="18"/>
          <w:color w:val="auto"/>
        </w:rPr>
      </w:pPr>
    </w:p>
    <w:p>
      <w:pPr>
        <w:ind w:left="880" w:hanging="40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DNA repair pathway</w:t>
      </w:r>
    </w:p>
    <w:p>
      <w:pPr>
        <w:spacing w:after="0" w:line="117" w:lineRule="exact"/>
        <w:rPr>
          <w:rFonts w:ascii="Arial" w:cs="Arial" w:eastAsia="Arial" w:hAnsi="Arial"/>
          <w:sz w:val="18"/>
          <w:szCs w:val="18"/>
          <w:color w:val="auto"/>
        </w:rPr>
      </w:pPr>
    </w:p>
    <w:p>
      <w:pPr>
        <w:ind w:left="880" w:hanging="40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Cell cycle regulation</w:t>
      </w:r>
    </w:p>
    <w:p>
      <w:pPr>
        <w:spacing w:after="0" w:line="117" w:lineRule="exact"/>
        <w:rPr>
          <w:rFonts w:ascii="Arial" w:cs="Arial" w:eastAsia="Arial" w:hAnsi="Arial"/>
          <w:sz w:val="18"/>
          <w:szCs w:val="18"/>
          <w:color w:val="auto"/>
        </w:rPr>
      </w:pPr>
    </w:p>
    <w:p>
      <w:pPr>
        <w:ind w:left="880" w:hanging="40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Exploitation of synthetic lethality</w:t>
      </w:r>
    </w:p>
    <w:p>
      <w:pPr>
        <w:spacing w:after="0" w:line="117" w:lineRule="exact"/>
        <w:rPr>
          <w:rFonts w:ascii="Arial" w:cs="Arial" w:eastAsia="Arial" w:hAnsi="Arial"/>
          <w:sz w:val="18"/>
          <w:szCs w:val="18"/>
          <w:color w:val="auto"/>
        </w:rPr>
      </w:pPr>
    </w:p>
    <w:p>
      <w:pPr>
        <w:ind w:left="880" w:hanging="40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Brain penetrant molecules to address primary or metastatic CNS tumors</w:t>
      </w:r>
    </w:p>
    <w:p>
      <w:pPr>
        <w:spacing w:after="0" w:line="198" w:lineRule="exact"/>
        <w:rPr>
          <w:sz w:val="20"/>
          <w:szCs w:val="20"/>
          <w:color w:val="auto"/>
        </w:rPr>
      </w:pPr>
    </w:p>
    <w:p>
      <w:pPr>
        <w:ind w:right="180" w:firstLine="478"/>
        <w:spacing w:after="0" w:line="259" w:lineRule="auto"/>
        <w:rPr>
          <w:sz w:val="20"/>
          <w:szCs w:val="20"/>
          <w:color w:val="auto"/>
        </w:rPr>
      </w:pPr>
      <w:r>
        <w:rPr>
          <w:rFonts w:ascii="Arial" w:cs="Arial" w:eastAsia="Arial" w:hAnsi="Arial"/>
          <w:sz w:val="18"/>
          <w:szCs w:val="18"/>
          <w:color w:val="auto"/>
        </w:rPr>
        <w:t xml:space="preserve">PRMT5 is a prime example of a target with strong scientific rationale that we are well-suited to address. We believe the target can be exploited to address underserved cancers such as ACC with an undruggable oncogenic driver (such as myeloblastosis, or </w:t>
      </w:r>
      <w:r>
        <w:rPr>
          <w:rFonts w:ascii="Arial" w:cs="Arial" w:eastAsia="Arial" w:hAnsi="Arial"/>
          <w:sz w:val="18"/>
          <w:szCs w:val="18"/>
          <w:i w:val="1"/>
          <w:iCs w:val="1"/>
          <w:color w:val="auto"/>
        </w:rPr>
        <w:t>MYB</w:t>
      </w:r>
      <w:r>
        <w:rPr>
          <w:rFonts w:ascii="Arial" w:cs="Arial" w:eastAsia="Arial" w:hAnsi="Arial"/>
          <w:sz w:val="18"/>
          <w:szCs w:val="18"/>
          <w:color w:val="auto"/>
        </w:rPr>
        <w:t xml:space="preserve">), as well as to address resistance to several existing, approved targeted agents, including ruxolitinib, venetoclax and CDK4/6 inhibitors. Also, </w:t>
      </w:r>
      <w:r>
        <w:rPr>
          <w:rFonts w:ascii="Arial" w:cs="Arial" w:eastAsia="Arial" w:hAnsi="Arial"/>
          <w:sz w:val="18"/>
          <w:szCs w:val="18"/>
          <w:i w:val="1"/>
          <w:iCs w:val="1"/>
          <w:color w:val="auto"/>
        </w:rPr>
        <w:t>PRMT5</w:t>
      </w:r>
      <w:r>
        <w:rPr>
          <w:rFonts w:ascii="Arial" w:cs="Arial" w:eastAsia="Arial" w:hAnsi="Arial"/>
          <w:sz w:val="18"/>
          <w:szCs w:val="18"/>
          <w:color w:val="auto"/>
        </w:rPr>
        <w:t xml:space="preserve"> is a potential driver mechanism in GBM, for which a differentiated product with high brain exposure is required.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1" w:name="page12"/>
    <w:bookmarkEnd w:id="11"/>
    <w:p>
      <w:pPr>
        <w:ind w:left="480"/>
        <w:spacing w:after="0"/>
        <w:rPr>
          <w:sz w:val="20"/>
          <w:szCs w:val="20"/>
          <w:color w:val="auto"/>
        </w:rPr>
      </w:pPr>
      <w:r>
        <w:rPr>
          <w:rFonts w:ascii="Arial" w:cs="Arial" w:eastAsia="Arial" w:hAnsi="Arial"/>
          <w:sz w:val="18"/>
          <w:szCs w:val="18"/>
          <w:i w:val="1"/>
          <w:iCs w:val="1"/>
          <w:color w:val="auto"/>
        </w:rPr>
        <w:t>2) Leverage our advanced medicinal chemistry capabilities to create better product candidates</w:t>
      </w:r>
    </w:p>
    <w:p>
      <w:pPr>
        <w:spacing w:after="0" w:line="117"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We deploy our integrated medicinal and process chemistry expertise to rationally design and synthesize complex chemical entities and rapidly advance through various stages of development. We view all target classes, including enzyme inhibitors (PRMT5, CDK9), protein-protein interactions (MCL1), targeted protein degradation (SMARCA2) and those that require high levels of brain exposure, with equal interest and strive to invent clinical candidates that meet our desired target product profiles.</w:t>
      </w:r>
    </w:p>
    <w:p>
      <w:pPr>
        <w:spacing w:after="0" w:line="160" w:lineRule="exact"/>
        <w:rPr>
          <w:sz w:val="20"/>
          <w:szCs w:val="20"/>
          <w:color w:val="auto"/>
        </w:rPr>
      </w:pPr>
    </w:p>
    <w:p>
      <w:pPr>
        <w:ind w:right="200" w:firstLine="478"/>
        <w:spacing w:after="0" w:line="263" w:lineRule="auto"/>
        <w:rPr>
          <w:sz w:val="20"/>
          <w:szCs w:val="20"/>
          <w:color w:val="auto"/>
        </w:rPr>
      </w:pPr>
      <w:r>
        <w:rPr>
          <w:rFonts w:ascii="Arial" w:cs="Arial" w:eastAsia="Arial" w:hAnsi="Arial"/>
          <w:sz w:val="18"/>
          <w:szCs w:val="18"/>
          <w:color w:val="auto"/>
        </w:rPr>
        <w:t>Our ability to design and develop molecules with potential high brain exposures allows us to target validated mechanisms in cancers with CNS metastasis, as many current treatments do not have adequate brain exposure. Our discovery programs are not only driven by potency, selectivity and PK, but also incorporate optimized physicochemical properties to provide well-balanced clinical candidates.</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3) Pursue targets that drive cancers with high unmet need</w:t>
      </w:r>
    </w:p>
    <w:p>
      <w:pPr>
        <w:spacing w:after="0" w:line="117" w:lineRule="exact"/>
        <w:rPr>
          <w:sz w:val="20"/>
          <w:szCs w:val="20"/>
          <w:color w:val="auto"/>
        </w:rPr>
      </w:pPr>
    </w:p>
    <w:p>
      <w:pPr>
        <w:ind w:right="100" w:firstLine="478"/>
        <w:spacing w:after="0" w:line="263" w:lineRule="auto"/>
        <w:rPr>
          <w:sz w:val="20"/>
          <w:szCs w:val="20"/>
          <w:color w:val="auto"/>
        </w:rPr>
      </w:pPr>
      <w:r>
        <w:rPr>
          <w:rFonts w:ascii="Arial" w:cs="Arial" w:eastAsia="Arial" w:hAnsi="Arial"/>
          <w:sz w:val="18"/>
          <w:szCs w:val="18"/>
          <w:color w:val="auto"/>
        </w:rPr>
        <w:t>We believe taking a patient-centric approach to target selection provides opportunities to generate proof-of- concept early in clinical development, can form the basis for the design of pivotal studies with potential for accelerated approval in the most relevant patient population and rapidly advance into earlier lines of treatment.</w:t>
      </w:r>
    </w:p>
    <w:p>
      <w:pPr>
        <w:spacing w:after="0" w:line="157" w:lineRule="exact"/>
        <w:rPr>
          <w:sz w:val="20"/>
          <w:szCs w:val="20"/>
          <w:color w:val="auto"/>
        </w:rPr>
      </w:pPr>
    </w:p>
    <w:p>
      <w:pPr>
        <w:ind w:right="60" w:firstLine="478"/>
        <w:spacing w:after="0" w:line="257" w:lineRule="auto"/>
        <w:rPr>
          <w:sz w:val="20"/>
          <w:szCs w:val="20"/>
          <w:color w:val="auto"/>
        </w:rPr>
      </w:pPr>
      <w:r>
        <w:rPr>
          <w:rFonts w:ascii="Arial" w:cs="Arial" w:eastAsia="Arial" w:hAnsi="Arial"/>
          <w:sz w:val="18"/>
          <w:szCs w:val="18"/>
          <w:color w:val="auto"/>
        </w:rPr>
        <w:t xml:space="preserve">We focus on targets that allow us to select patients and cancers with high medical unmet need with no approved therapies, or patient populations underserved by approved treatments. We plan to utilize multiple approaches to patient selection, which include biomarker-based enrichment. For example, one cancer of interest with no approved or effective treatments is ACC, which is predominantly driven by a specific oncogenic mechanism such as </w:t>
      </w:r>
      <w:r>
        <w:rPr>
          <w:rFonts w:ascii="Arial" w:cs="Arial" w:eastAsia="Arial" w:hAnsi="Arial"/>
          <w:sz w:val="18"/>
          <w:szCs w:val="18"/>
          <w:i w:val="1"/>
          <w:iCs w:val="1"/>
          <w:color w:val="auto"/>
        </w:rPr>
        <w:t>MYB</w:t>
      </w:r>
      <w:r>
        <w:rPr>
          <w:rFonts w:ascii="Arial" w:cs="Arial" w:eastAsia="Arial" w:hAnsi="Arial"/>
          <w:sz w:val="18"/>
          <w:szCs w:val="18"/>
          <w:color w:val="auto"/>
        </w:rPr>
        <w:t xml:space="preserve">, where a biomarker selection strategy may not be needed. Alternatively, </w:t>
      </w:r>
      <w:r>
        <w:rPr>
          <w:rFonts w:ascii="Arial" w:cs="Arial" w:eastAsia="Arial" w:hAnsi="Arial"/>
          <w:sz w:val="18"/>
          <w:szCs w:val="18"/>
          <w:i w:val="1"/>
          <w:iCs w:val="1"/>
          <w:color w:val="auto"/>
        </w:rPr>
        <w:t>SMARCA4</w:t>
      </w:r>
      <w:r>
        <w:rPr>
          <w:rFonts w:ascii="Arial" w:cs="Arial" w:eastAsia="Arial" w:hAnsi="Arial"/>
          <w:sz w:val="18"/>
          <w:szCs w:val="18"/>
          <w:color w:val="auto"/>
        </w:rPr>
        <w:t xml:space="preserve"> mutated cancers are more amenable to a biomarker-based selection strategy.</w:t>
      </w:r>
    </w:p>
    <w:p>
      <w:pPr>
        <w:spacing w:after="0" w:line="26" w:lineRule="exact"/>
        <w:rPr>
          <w:sz w:val="20"/>
          <w:szCs w:val="20"/>
          <w:color w:val="auto"/>
        </w:rPr>
      </w:pPr>
    </w:p>
    <w:p>
      <w:pPr>
        <w:jc w:val="both"/>
        <w:ind w:right="400" w:firstLine="478"/>
        <w:spacing w:after="0" w:line="286" w:lineRule="auto"/>
        <w:rPr>
          <w:sz w:val="20"/>
          <w:szCs w:val="20"/>
          <w:color w:val="auto"/>
        </w:rPr>
      </w:pPr>
      <w:r>
        <w:rPr>
          <w:rFonts w:ascii="Arial" w:cs="Arial" w:eastAsia="Arial" w:hAnsi="Arial"/>
          <w:sz w:val="17"/>
          <w:szCs w:val="17"/>
          <w:color w:val="auto"/>
        </w:rPr>
        <w:t xml:space="preserve">Lastly, we interrogate targets in pathways that drive resistance to approved treatments in clearly defined patient populations. Specific examples include: AML patients who progress on venetoclax in which </w:t>
      </w:r>
      <w:r>
        <w:rPr>
          <w:rFonts w:ascii="Arial" w:cs="Arial" w:eastAsia="Arial" w:hAnsi="Arial"/>
          <w:sz w:val="17"/>
          <w:szCs w:val="17"/>
          <w:i w:val="1"/>
          <w:iCs w:val="1"/>
          <w:color w:val="auto"/>
        </w:rPr>
        <w:t>MCL1</w:t>
      </w:r>
      <w:r>
        <w:rPr>
          <w:rFonts w:ascii="Arial" w:cs="Arial" w:eastAsia="Arial" w:hAnsi="Arial"/>
          <w:sz w:val="17"/>
          <w:szCs w:val="17"/>
          <w:color w:val="auto"/>
        </w:rPr>
        <w:t xml:space="preserve"> is a known resistance driver; and patients progressing on ruxolitinib in whom inhibiting PRMT5 can potentially block alternative pathways of resistance such as the transcription factor E2F1.</w:t>
      </w:r>
    </w:p>
    <w:p>
      <w:pPr>
        <w:spacing w:after="0" w:line="26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Discovery Engine</w:t>
      </w:r>
    </w:p>
    <w:p>
      <w:pPr>
        <w:spacing w:after="0" w:line="117"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Once we have identified optimal targets using the three pillars above, we engage our unique discovery engine to rapidly and efficiently invent and develop molecules with optimized properties. Central to our internal discovery capability is the interplay between our highly experienced biologists and chemists who collaborate in an iterative fashion to rapidly design, synthesize and test novel chemical entities. By coupling our synthetic organic chemistry expertise and analytical technologies, our medicinal chemistry team has rapidly and efficiently synthesized thousands of rationally-designed novel compounds since inception.</w:t>
      </w:r>
    </w:p>
    <w:p>
      <w:pPr>
        <w:spacing w:after="0" w:line="188" w:lineRule="exact"/>
        <w:rPr>
          <w:sz w:val="20"/>
          <w:szCs w:val="20"/>
          <w:color w:val="auto"/>
        </w:rPr>
      </w:pPr>
    </w:p>
    <w:p>
      <w:pPr>
        <w:ind w:right="20" w:firstLine="478"/>
        <w:spacing w:after="0" w:line="290" w:lineRule="auto"/>
        <w:rPr>
          <w:sz w:val="20"/>
          <w:szCs w:val="20"/>
          <w:color w:val="auto"/>
        </w:rPr>
      </w:pPr>
      <w:r>
        <w:rPr>
          <w:rFonts w:ascii="Arial" w:cs="Arial" w:eastAsia="Arial" w:hAnsi="Arial"/>
          <w:sz w:val="16"/>
          <w:szCs w:val="16"/>
          <w:color w:val="auto"/>
        </w:rPr>
        <w:t>Our deep understanding of cancer biology enables a rigorous drug selection process that has allowed us to optimize our lead molecules to interrogate validated cancer pathways with high translational success. We focus on stereochemically-rich molecules with a high degree of 3-dimensional character, which has been shown to correlate with success as compounds transition from discovery, through clinical testing, to drug. Our unique ability to leverage medicinal chemistry to look beyond classic drug-like spaces, such as those involved in protein-protein interaction and targeted protein degradation and to incorporate critical elements of drug-like properties into our candidate compounds is a key aspect of our unique discovery engine. Our internal and external teams utilize a suite of capabilities in crystallography; absorption, distribution, metabolism and excretion, or ADME; PK and pharmacodynamic, or PD, analysis; preclinical efficacy models using cell line xenograft and patient-derived xenograft, or PDX, models; and process scale synthesis and toxicology to evaluate and optimize the lead molecules we invent until they meet rigorous and pre-specified criteria.</w:t>
      </w:r>
    </w:p>
    <w:p>
      <w:pPr>
        <w:spacing w:after="0" w:line="165" w:lineRule="exact"/>
        <w:rPr>
          <w:sz w:val="20"/>
          <w:szCs w:val="20"/>
          <w:color w:val="auto"/>
        </w:rPr>
      </w:pPr>
    </w:p>
    <w:p>
      <w:pPr>
        <w:ind w:right="160" w:firstLine="478"/>
        <w:spacing w:after="0" w:line="263" w:lineRule="auto"/>
        <w:rPr>
          <w:sz w:val="20"/>
          <w:szCs w:val="20"/>
          <w:color w:val="auto"/>
        </w:rPr>
      </w:pPr>
      <w:r>
        <w:rPr>
          <w:rFonts w:ascii="Arial" w:cs="Arial" w:eastAsia="Arial" w:hAnsi="Arial"/>
          <w:sz w:val="18"/>
          <w:szCs w:val="18"/>
          <w:color w:val="auto"/>
        </w:rPr>
        <w:t>Finally, we design our clinical trials to leverage the broad utility of our compounds with a focus on efficient regulatory pathways that enable potentially transformative medicines to quickly reach cancer patients with high unmet medical need. By focusing on validated cancer signaling pathways and early clinical proof-of-concept, we seek to advance our programs through expedited approval processes.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12" w:name="page13"/>
    <w:bookmarkEnd w:id="12"/>
    <w:p>
      <w:pPr>
        <w:ind w:right="60" w:firstLine="478"/>
        <w:spacing w:after="0" w:line="255" w:lineRule="auto"/>
        <w:rPr>
          <w:sz w:val="20"/>
          <w:szCs w:val="20"/>
          <w:color w:val="auto"/>
        </w:rPr>
      </w:pPr>
      <w:r>
        <w:rPr>
          <w:rFonts w:ascii="Arial" w:cs="Arial" w:eastAsia="Arial" w:hAnsi="Arial"/>
          <w:sz w:val="18"/>
          <w:szCs w:val="18"/>
          <w:color w:val="auto"/>
        </w:rPr>
        <w:t>We believe our rapid progress in creating a wholly-owned, internally developed pipeline with three differentiated clinical-development-stage compounds, a fourth program expected to enter clinical development in the first half of 2021, and multiple additional molecules in various stages of preclinical development across a range of target classes validates our discovery excellence. We have structured and resourced our R&amp;D organization with the goal and expectation of continuing to deliver a new IND every 12 to 18 months. We believe our expertise, capabilities and experience to select high value biological targets and invent molecules with an optimized balance of biological and chemical properties differentiates us from others in the precision oncology space.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PRMT5 Inhibitors: PRT543 &amp; PRT811</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Rationale for targeting the PRMT5 pathway in cancer</w:t>
      </w:r>
    </w:p>
    <w:p>
      <w:pPr>
        <w:spacing w:after="0" w:line="117" w:lineRule="exact"/>
        <w:rPr>
          <w:sz w:val="20"/>
          <w:szCs w:val="20"/>
          <w:color w:val="auto"/>
        </w:rPr>
      </w:pPr>
    </w:p>
    <w:p>
      <w:pPr>
        <w:ind w:right="260" w:firstLine="478"/>
        <w:spacing w:after="0" w:line="263" w:lineRule="auto"/>
        <w:rPr>
          <w:sz w:val="20"/>
          <w:szCs w:val="20"/>
          <w:color w:val="auto"/>
        </w:rPr>
      </w:pPr>
      <w:r>
        <w:rPr>
          <w:rFonts w:ascii="Arial" w:cs="Arial" w:eastAsia="Arial" w:hAnsi="Arial"/>
          <w:sz w:val="18"/>
          <w:szCs w:val="18"/>
          <w:color w:val="auto"/>
        </w:rPr>
        <w:t>Cancer is a disease of the genome and all cancers have genomic lesions that must be addressed to develop effective treatments. These genomic changes are important at all stages of cancer progression, including initial formation, growth, and metastasis, and result in the upregulation of genes that promote cell growth and survival together with the downregulation of genes that suppress tumor growth.</w:t>
      </w:r>
    </w:p>
    <w:p>
      <w:pPr>
        <w:spacing w:after="0" w:line="184"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PRMT5 controls a number of the biological processes that drive cancer including transcription, translation, DNA repair and cell signaling. Overexpression and increased enzymatic activity of PRMT5 are associated with poor outcome and decreased survival in multiple human cancer settings, as outlined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2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Sample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Median</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Median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Log rank</w:t>
            </w:r>
          </w:p>
        </w:tc>
        <w:tc>
          <w:tcPr>
            <w:tcW w:w="0" w:type="dxa"/>
            <w:vAlign w:val="bottom"/>
          </w:tcPr>
          <w:p>
            <w:pPr>
              <w:spacing w:after="0"/>
              <w:rPr>
                <w:sz w:val="1"/>
                <w:szCs w:val="1"/>
                <w:color w:val="auto"/>
              </w:rPr>
            </w:pPr>
          </w:p>
        </w:tc>
      </w:tr>
      <w:tr>
        <w:trPr>
          <w:trHeight w:val="148"/>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Tumor type</w:t>
            </w:r>
          </w:p>
        </w:tc>
        <w:tc>
          <w:tcPr>
            <w:tcW w:w="8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8"/>
              </w:rPr>
              <w:t>Size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Survival</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Survival</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vMerge w:val="continue"/>
          </w:tcPr>
          <w:p>
            <w:pPr>
              <w:spacing w:after="0"/>
              <w:rPr>
                <w:sz w:val="14"/>
                <w:szCs w:val="14"/>
                <w:color w:val="auto"/>
              </w:rPr>
            </w:pPr>
          </w:p>
        </w:tc>
        <w:tc>
          <w:tcPr>
            <w:tcW w:w="8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Patients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(High PRMT5)</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(Low PRMT5)</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p-value</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Ovarian</w:t>
            </w: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118</w:t>
            </w:r>
          </w:p>
        </w:tc>
        <w:tc>
          <w:tcPr>
            <w:tcW w:w="2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0"/>
              </w:rPr>
              <w:t>~40 mos *</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0"/>
              </w:rPr>
              <w:t>&gt;80 mos *</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Lung</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400</w:t>
            </w:r>
          </w:p>
        </w:tc>
        <w:tc>
          <w:tcPr>
            <w:tcW w:w="220" w:type="dxa"/>
            <w:vAlign w:val="bottom"/>
          </w:tcPr>
          <w:p>
            <w:pPr>
              <w:spacing w:after="0"/>
              <w:rPr>
                <w:sz w:val="19"/>
                <w:szCs w:val="19"/>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~45 mos *</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~75 mos *</w:t>
            </w:r>
          </w:p>
        </w:tc>
        <w:tc>
          <w:tcPr>
            <w:tcW w:w="1140" w:type="dxa"/>
            <w:vAlign w:val="bottom"/>
          </w:tcPr>
          <w:p>
            <w:pPr>
              <w:jc w:val="right"/>
              <w:spacing w:after="0"/>
              <w:rPr>
                <w:sz w:val="20"/>
                <w:szCs w:val="20"/>
                <w:color w:val="auto"/>
              </w:rPr>
            </w:pPr>
            <w:r>
              <w:rPr>
                <w:rFonts w:ascii="Arial" w:cs="Arial" w:eastAsia="Arial" w:hAnsi="Arial"/>
                <w:sz w:val="18"/>
                <w:szCs w:val="18"/>
                <w:color w:val="auto"/>
              </w:rPr>
              <w:t>&lt;0.0001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Lymphoma</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~1.6y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~5.8y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&lt;0.0001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GBM</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108 days</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726 days</w:t>
            </w:r>
          </w:p>
        </w:tc>
        <w:tc>
          <w:tcPr>
            <w:tcW w:w="1140" w:type="dxa"/>
            <w:vAlign w:val="bottom"/>
          </w:tcPr>
          <w:p>
            <w:pPr>
              <w:jc w:val="right"/>
              <w:spacing w:after="0"/>
              <w:rPr>
                <w:sz w:val="20"/>
                <w:szCs w:val="20"/>
                <w:color w:val="auto"/>
              </w:rPr>
            </w:pPr>
            <w:r>
              <w:rPr>
                <w:rFonts w:ascii="Arial" w:cs="Arial" w:eastAsia="Arial" w:hAnsi="Arial"/>
                <w:sz w:val="18"/>
                <w:szCs w:val="18"/>
                <w:color w:val="auto"/>
              </w:rPr>
              <w:t>0.0001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Head and Neck</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209</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~4y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~10y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Pancreatic</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~15 mos *</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~30 mos *</w:t>
            </w:r>
          </w:p>
        </w:tc>
        <w:tc>
          <w:tcPr>
            <w:tcW w:w="1140" w:type="dxa"/>
            <w:vAlign w:val="bottom"/>
          </w:tcPr>
          <w:p>
            <w:pPr>
              <w:jc w:val="right"/>
              <w:spacing w:after="0"/>
              <w:rPr>
                <w:sz w:val="20"/>
                <w:szCs w:val="20"/>
                <w:color w:val="auto"/>
              </w:rPr>
            </w:pPr>
            <w:r>
              <w:rPr>
                <w:rFonts w:ascii="Arial" w:cs="Arial" w:eastAsia="Arial" w:hAnsi="Arial"/>
                <w:sz w:val="18"/>
                <w:szCs w:val="18"/>
                <w:color w:val="auto"/>
              </w:rPr>
              <w:t>0.015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Colon</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~34 mos *</w:t>
            </w:r>
          </w:p>
        </w:tc>
        <w:tc>
          <w:tcPr>
            <w:tcW w:w="14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~83 mos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This information is based on published data in peer-reviewed journals and reflects standard therapeutic intervention.</w:t>
      </w:r>
    </w:p>
    <w:p>
      <w:pPr>
        <w:spacing w:after="0" w:line="11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median survival was not explicitly provided in the text, we estimated values from the graphs provided in the publications.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PRMT5 Regulates Transcription and Translation of Cancer-related Genes</w:t>
      </w:r>
    </w:p>
    <w:p>
      <w:pPr>
        <w:spacing w:after="0" w:line="131" w:lineRule="exact"/>
        <w:rPr>
          <w:sz w:val="20"/>
          <w:szCs w:val="20"/>
          <w:color w:val="auto"/>
        </w:rPr>
      </w:pPr>
    </w:p>
    <w:p>
      <w:pPr>
        <w:ind w:right="60" w:firstLine="478"/>
        <w:spacing w:after="0" w:line="257" w:lineRule="auto"/>
        <w:rPr>
          <w:sz w:val="20"/>
          <w:szCs w:val="20"/>
          <w:color w:val="auto"/>
        </w:rPr>
      </w:pPr>
      <w:r>
        <w:rPr>
          <w:rFonts w:ascii="Arial" w:cs="Arial" w:eastAsia="Arial" w:hAnsi="Arial"/>
          <w:sz w:val="18"/>
          <w:szCs w:val="18"/>
          <w:color w:val="auto"/>
        </w:rPr>
        <w:t>The oncogenic process controlled by PRMT5 is mediated through the symmetric dimethylation of arginines on its substrate proteins (Figure 1). PRMT5, an intracellular enzyme, transfers two methyl groups from a co- factor S-adenosyl methionine, or SAM, and deposits them on its substrate proteins resulting in the formation of a symmetric dimethylarginine, or sDMA, mark. This post-translational modification alters the protein structure, impacts interactions with DNA, and also generates docking sites for effector molecules that can promote tumor cell growth and survival. PRMT5 substrate proteins include:</w:t>
      </w:r>
    </w:p>
    <w:p>
      <w:pPr>
        <w:spacing w:after="0" w:line="76" w:lineRule="exact"/>
        <w:rPr>
          <w:sz w:val="20"/>
          <w:szCs w:val="20"/>
          <w:color w:val="auto"/>
        </w:rPr>
      </w:pPr>
    </w:p>
    <w:p>
      <w:pPr>
        <w:ind w:left="880" w:hanging="40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Histones</w:t>
      </w:r>
      <w:r>
        <w:rPr>
          <w:rFonts w:ascii="Arial" w:cs="Arial" w:eastAsia="Arial" w:hAnsi="Arial"/>
          <w:sz w:val="18"/>
          <w:szCs w:val="18"/>
          <w:color w:val="auto"/>
        </w:rPr>
        <w:t>—basic proteins that associate with DNA in the nucleus and help condense it into chromatin</w:t>
      </w:r>
    </w:p>
    <w:p>
      <w:pPr>
        <w:spacing w:after="0" w:line="130" w:lineRule="exact"/>
        <w:rPr>
          <w:rFonts w:ascii="Arial" w:cs="Arial" w:eastAsia="Arial" w:hAnsi="Arial"/>
          <w:sz w:val="18"/>
          <w:szCs w:val="18"/>
          <w:color w:val="auto"/>
        </w:rPr>
      </w:pPr>
    </w:p>
    <w:p>
      <w:pPr>
        <w:ind w:left="880" w:hanging="40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Transcription factors</w:t>
      </w:r>
      <w:r>
        <w:rPr>
          <w:rFonts w:ascii="Arial" w:cs="Arial" w:eastAsia="Arial" w:hAnsi="Arial"/>
          <w:sz w:val="18"/>
          <w:szCs w:val="18"/>
          <w:color w:val="auto"/>
        </w:rPr>
        <w:t>—proteins involved in the process of transcribing DNA into ribonucleic acid, or</w:t>
      </w:r>
    </w:p>
    <w:p>
      <w:pPr>
        <w:spacing w:after="0" w:line="2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RNA</w:t>
      </w:r>
    </w:p>
    <w:p>
      <w:pPr>
        <w:spacing w:after="0" w:line="112" w:lineRule="exact"/>
        <w:rPr>
          <w:rFonts w:ascii="Arial" w:cs="Arial" w:eastAsia="Arial" w:hAnsi="Arial"/>
          <w:sz w:val="18"/>
          <w:szCs w:val="18"/>
          <w:color w:val="auto"/>
        </w:rPr>
      </w:pPr>
    </w:p>
    <w:p>
      <w:pPr>
        <w:ind w:left="880" w:hanging="40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Spliceosomal proteins</w:t>
      </w:r>
      <w:r>
        <w:rPr>
          <w:rFonts w:ascii="Arial" w:cs="Arial" w:eastAsia="Arial" w:hAnsi="Arial"/>
          <w:sz w:val="18"/>
          <w:szCs w:val="18"/>
          <w:color w:val="auto"/>
        </w:rPr>
        <w:t>—large protein complex that removes introns from pre-mRNA to yield mature</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RNA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u w:val="single" w:color="auto"/>
          <w:color w:val="auto"/>
        </w:rPr>
        <w:t>Figure 1. PRMT5 Regulates Oncogenesis and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168910</wp:posOffset>
            </wp:positionV>
            <wp:extent cx="4680585" cy="1611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8058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Through arginine methylation of histones, transcription factors and the spliceosome complex, PRMT5 regulates the expression of genes involved in promoting cancer cell growth and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These include cell cycle genes, tumor suppressors, oncogenes, and genes involved in proliferation and signaling.</w:t>
      </w:r>
    </w:p>
    <w:p>
      <w:pPr>
        <w:spacing w:after="0" w:line="34" w:lineRule="exact"/>
        <w:rPr>
          <w:sz w:val="20"/>
          <w:szCs w:val="20"/>
          <w:color w:val="auto"/>
        </w:rPr>
      </w:pPr>
    </w:p>
    <w:p>
      <w:pPr>
        <w:ind w:right="180" w:firstLine="478"/>
        <w:spacing w:after="0" w:line="272" w:lineRule="auto"/>
        <w:rPr>
          <w:sz w:val="20"/>
          <w:szCs w:val="20"/>
          <w:color w:val="auto"/>
        </w:rPr>
      </w:pPr>
      <w:r>
        <w:rPr>
          <w:rFonts w:ascii="Arial" w:cs="Arial" w:eastAsia="Arial" w:hAnsi="Arial"/>
          <w:sz w:val="17"/>
          <w:szCs w:val="17"/>
          <w:color w:val="auto"/>
        </w:rPr>
        <w:t xml:space="preserve">PRMT5-regulated transcription factors, including cyclin D1 and MYC, have a well-established role in a number of cancers. Conversely, PRMT5-mediated methylation of histones such as H3 and H4 represses a number of tumor suppressor genes including retinoblastoma, or </w:t>
      </w:r>
      <w:r>
        <w:rPr>
          <w:rFonts w:ascii="Arial" w:cs="Arial" w:eastAsia="Arial" w:hAnsi="Arial"/>
          <w:sz w:val="17"/>
          <w:szCs w:val="17"/>
          <w:i w:val="1"/>
          <w:iCs w:val="1"/>
          <w:color w:val="auto"/>
        </w:rPr>
        <w:t>RB</w:t>
      </w:r>
      <w:r>
        <w:rPr>
          <w:rFonts w:ascii="Arial" w:cs="Arial" w:eastAsia="Arial" w:hAnsi="Arial"/>
          <w:sz w:val="17"/>
          <w:szCs w:val="17"/>
          <w:color w:val="auto"/>
        </w:rPr>
        <w:t>, family members, contributing to unchecked proliferation of malignant cells. In addition, PRMT5 symmetrically dimethylates ribosomal binding proteins and modulates mRNA translation of internal ribosome entry site-containing mRNAs, further promoting the generation of oncogenic proteins. Consistent with its role in promoting cancer, PRMT5 inhibition has been shown to decrease tumor growth in preclinical models. Therefore, PRMT5 is believed to serve as an important mediator of cancer progression and can be targeted to treat a range of solid tumors and hematological malignancies. These attributes make PRMT5 an ideal therapeutic target for cancer.</w:t>
      </w:r>
    </w:p>
    <w:p>
      <w:pPr>
        <w:spacing w:after="0" w:line="177" w:lineRule="exact"/>
        <w:rPr>
          <w:sz w:val="20"/>
          <w:szCs w:val="20"/>
          <w:color w:val="auto"/>
        </w:rPr>
      </w:pPr>
    </w:p>
    <w:p>
      <w:pPr>
        <w:ind w:right="60" w:firstLine="478"/>
        <w:spacing w:after="0" w:line="273" w:lineRule="auto"/>
        <w:rPr>
          <w:sz w:val="20"/>
          <w:szCs w:val="20"/>
          <w:color w:val="auto"/>
        </w:rPr>
      </w:pPr>
      <w:r>
        <w:rPr>
          <w:rFonts w:ascii="Arial" w:cs="Arial" w:eastAsia="Arial" w:hAnsi="Arial"/>
          <w:sz w:val="17"/>
          <w:szCs w:val="17"/>
          <w:color w:val="auto"/>
        </w:rPr>
        <w:t xml:space="preserve">The role of PRMT5 in regulating gene transcription and translation may be particularly relevant in cancers such as ACC where up to 86% of patients harbor the gene fusion of the </w:t>
      </w:r>
      <w:r>
        <w:rPr>
          <w:rFonts w:ascii="Arial" w:cs="Arial" w:eastAsia="Arial" w:hAnsi="Arial"/>
          <w:sz w:val="17"/>
          <w:szCs w:val="17"/>
          <w:i w:val="1"/>
          <w:iCs w:val="1"/>
          <w:color w:val="auto"/>
        </w:rPr>
        <w:t>MYB</w:t>
      </w:r>
      <w:r>
        <w:rPr>
          <w:rFonts w:ascii="Arial" w:cs="Arial" w:eastAsia="Arial" w:hAnsi="Arial"/>
          <w:sz w:val="17"/>
          <w:szCs w:val="17"/>
          <w:color w:val="auto"/>
        </w:rPr>
        <w:t xml:space="preserve"> family members </w:t>
      </w:r>
      <w:r>
        <w:rPr>
          <w:rFonts w:ascii="Arial" w:cs="Arial" w:eastAsia="Arial" w:hAnsi="Arial"/>
          <w:sz w:val="17"/>
          <w:szCs w:val="17"/>
          <w:i w:val="1"/>
          <w:iCs w:val="1"/>
          <w:color w:val="auto"/>
        </w:rPr>
        <w:t>MYB</w:t>
      </w:r>
      <w:r>
        <w:rPr>
          <w:rFonts w:ascii="Arial" w:cs="Arial" w:eastAsia="Arial" w:hAnsi="Arial"/>
          <w:sz w:val="17"/>
          <w:szCs w:val="17"/>
          <w:color w:val="auto"/>
        </w:rPr>
        <w:t xml:space="preserve"> or </w:t>
      </w:r>
      <w:r>
        <w:rPr>
          <w:rFonts w:ascii="Arial" w:cs="Arial" w:eastAsia="Arial" w:hAnsi="Arial"/>
          <w:sz w:val="17"/>
          <w:szCs w:val="17"/>
          <w:i w:val="1"/>
          <w:iCs w:val="1"/>
          <w:color w:val="auto"/>
        </w:rPr>
        <w:t>MYBL</w:t>
      </w:r>
      <w:r>
        <w:rPr>
          <w:rFonts w:ascii="Arial" w:cs="Arial" w:eastAsia="Arial" w:hAnsi="Arial"/>
          <w:sz w:val="17"/>
          <w:szCs w:val="17"/>
          <w:color w:val="auto"/>
        </w:rPr>
        <w:t xml:space="preserve">1 with the Nuclear Factor 1B, or </w:t>
      </w:r>
      <w:r>
        <w:rPr>
          <w:rFonts w:ascii="Arial" w:cs="Arial" w:eastAsia="Arial" w:hAnsi="Arial"/>
          <w:sz w:val="17"/>
          <w:szCs w:val="17"/>
          <w:i w:val="1"/>
          <w:iCs w:val="1"/>
          <w:color w:val="auto"/>
        </w:rPr>
        <w:t>NFIB</w:t>
      </w:r>
      <w:r>
        <w:rPr>
          <w:rFonts w:ascii="Arial" w:cs="Arial" w:eastAsia="Arial" w:hAnsi="Arial"/>
          <w:sz w:val="17"/>
          <w:szCs w:val="17"/>
          <w:color w:val="auto"/>
        </w:rPr>
        <w:t xml:space="preserve">, gene. </w:t>
      </w:r>
      <w:r>
        <w:rPr>
          <w:rFonts w:ascii="Arial" w:cs="Arial" w:eastAsia="Arial" w:hAnsi="Arial"/>
          <w:sz w:val="17"/>
          <w:szCs w:val="17"/>
          <w:i w:val="1"/>
          <w:iCs w:val="1"/>
          <w:color w:val="auto"/>
        </w:rPr>
        <w:t>MYB or MYBL1</w:t>
      </w:r>
      <w:r>
        <w:rPr>
          <w:rFonts w:ascii="Arial" w:cs="Arial" w:eastAsia="Arial" w:hAnsi="Arial"/>
          <w:sz w:val="17"/>
          <w:szCs w:val="17"/>
          <w:color w:val="auto"/>
        </w:rPr>
        <w:t xml:space="preserve"> gene fusions lead to overexpression of the MYB/ MYBL1 protein. Published data demonstrate that </w:t>
      </w:r>
      <w:r>
        <w:rPr>
          <w:rFonts w:ascii="Arial" w:cs="Arial" w:eastAsia="Arial" w:hAnsi="Arial"/>
          <w:sz w:val="17"/>
          <w:szCs w:val="17"/>
          <w:i w:val="1"/>
          <w:iCs w:val="1"/>
          <w:color w:val="auto"/>
        </w:rPr>
        <w:t>MYB</w:t>
      </w:r>
      <w:r>
        <w:rPr>
          <w:rFonts w:ascii="Arial" w:cs="Arial" w:eastAsia="Arial" w:hAnsi="Arial"/>
          <w:sz w:val="17"/>
          <w:szCs w:val="17"/>
          <w:color w:val="auto"/>
        </w:rPr>
        <w:t xml:space="preserve"> overexpression is important for driving cell proliferation and tumor growth in preclinical ACC models. In addition, our internal data illustrate that PRMT5 inhibition decreased </w:t>
      </w:r>
      <w:r>
        <w:rPr>
          <w:rFonts w:ascii="Arial" w:cs="Arial" w:eastAsia="Arial" w:hAnsi="Arial"/>
          <w:sz w:val="17"/>
          <w:szCs w:val="17"/>
          <w:i w:val="1"/>
          <w:iCs w:val="1"/>
          <w:color w:val="auto"/>
        </w:rPr>
        <w:t>MYB</w:t>
      </w:r>
      <w:r>
        <w:rPr>
          <w:rFonts w:ascii="Arial" w:cs="Arial" w:eastAsia="Arial" w:hAnsi="Arial"/>
          <w:sz w:val="17"/>
          <w:szCs w:val="17"/>
          <w:color w:val="auto"/>
        </w:rPr>
        <w:t xml:space="preserve"> expression levels in </w:t>
      </w:r>
      <w:r>
        <w:rPr>
          <w:rFonts w:ascii="Arial" w:cs="Arial" w:eastAsia="Arial" w:hAnsi="Arial"/>
          <w:sz w:val="17"/>
          <w:szCs w:val="17"/>
          <w:i w:val="1"/>
          <w:iCs w:val="1"/>
          <w:color w:val="auto"/>
        </w:rPr>
        <w:t>MYB</w:t>
      </w:r>
      <w:r>
        <w:rPr>
          <w:rFonts w:ascii="Arial" w:cs="Arial" w:eastAsia="Arial" w:hAnsi="Arial"/>
          <w:sz w:val="17"/>
          <w:szCs w:val="17"/>
          <w:color w:val="auto"/>
        </w:rPr>
        <w:t>-dependent preclinical models and inhibited tumor growth in PDX models of ACC. Recent evidence of clinical activity with a third party PRMT5 inhibitor in patients with ACC further validates PRMT5 as a potential target mechanism in this highly underserved cancer.</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PRMT5 Regulates mRNA Splicing in Cancer Cells</w:t>
      </w:r>
    </w:p>
    <w:p>
      <w:pPr>
        <w:spacing w:after="0" w:line="117" w:lineRule="exact"/>
        <w:rPr>
          <w:sz w:val="20"/>
          <w:szCs w:val="20"/>
          <w:color w:val="auto"/>
        </w:rPr>
      </w:pPr>
    </w:p>
    <w:p>
      <w:pPr>
        <w:ind w:right="20" w:firstLine="478"/>
        <w:spacing w:after="0" w:line="254" w:lineRule="auto"/>
        <w:rPr>
          <w:sz w:val="20"/>
          <w:szCs w:val="20"/>
          <w:color w:val="auto"/>
        </w:rPr>
      </w:pPr>
      <w:r>
        <w:rPr>
          <w:rFonts w:ascii="Arial" w:cs="Arial" w:eastAsia="Arial" w:hAnsi="Arial"/>
          <w:sz w:val="18"/>
          <w:szCs w:val="18"/>
          <w:color w:val="auto"/>
        </w:rPr>
        <w:t xml:space="preserve">In addition to regulating transcription, PRMT5 also modulates gene expression by controlling mRNA splicing. Splicing is a fundamental cellular process that involves the removal of noncoding sequences from the precursor mRNA to produce the mature form that encodes for protein. In the absence of correct mRNA splicing, mutated or unstable proteins are produced, ultimately leading to cell cycle defects, senescence and apoptosis. The splicing reaction is carried out by a multi-protein/RNA complex called the spliceosome. PRMT5 plays an important role in the splicing of mRNA through methylation of spliceosome protein, which is critical for the assembly of the spliceosome complex and its function. In preclinical models, tumors with high degrees of proliferation, such as </w:t>
      </w:r>
      <w:r>
        <w:rPr>
          <w:rFonts w:ascii="Arial" w:cs="Arial" w:eastAsia="Arial" w:hAnsi="Arial"/>
          <w:sz w:val="18"/>
          <w:szCs w:val="18"/>
          <w:i w:val="1"/>
          <w:iCs w:val="1"/>
          <w:color w:val="auto"/>
        </w:rPr>
        <w:t>MYC</w:t>
      </w:r>
      <w:r>
        <w:rPr>
          <w:rFonts w:ascii="Arial" w:cs="Arial" w:eastAsia="Arial" w:hAnsi="Arial"/>
          <w:sz w:val="18"/>
          <w:szCs w:val="18"/>
          <w:color w:val="auto"/>
        </w:rPr>
        <w:t>-driven tumors, were associated with increased activity of PRMT5 to maintain the fidelity of the spliceosome, demonstrating the importance of PRMT5 in this process.</w:t>
      </w:r>
    </w:p>
    <w:p>
      <w:pPr>
        <w:spacing w:after="0" w:line="195" w:lineRule="exact"/>
        <w:rPr>
          <w:sz w:val="20"/>
          <w:szCs w:val="20"/>
          <w:color w:val="auto"/>
        </w:rPr>
      </w:pPr>
    </w:p>
    <w:p>
      <w:pPr>
        <w:ind w:right="120" w:firstLine="478"/>
        <w:spacing w:after="0" w:line="255" w:lineRule="auto"/>
        <w:rPr>
          <w:sz w:val="20"/>
          <w:szCs w:val="20"/>
          <w:color w:val="auto"/>
        </w:rPr>
      </w:pPr>
      <w:r>
        <w:rPr>
          <w:rFonts w:ascii="Arial" w:cs="Arial" w:eastAsia="Arial" w:hAnsi="Arial"/>
          <w:sz w:val="18"/>
          <w:szCs w:val="18"/>
          <w:color w:val="auto"/>
        </w:rPr>
        <w:t>The role of PRMT5 in regulating mRNA splicing may be most relevant in cancers with spliceosomal mutations or those that are dependent on high splicing fidelity, such as GBM. Spliceosomal mutations also occur in more than 50% of MDS patients and at lower frequencies in other tumor types including MF, chronic myelomonocytic leukemia, AML, NHL, MM, chronic lymphocytic leukemia, or CLL, and uveal melanoma. These spliceosomal alterations are often correlated with higher mutational burden and/or poor prognosis. In models of AML, preclinical data demonstrated that PRMT5 inhibition resulted in higher levels of suppression of the growth of cancer cells containing mutated spliceosome proteins compared to those containing unmutated spliceosome proteins.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Synthetic lethality from PRMT5 inhibition in certain settings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80" w:firstLine="478"/>
        <w:spacing w:after="0" w:line="254" w:lineRule="auto"/>
        <w:rPr>
          <w:sz w:val="20"/>
          <w:szCs w:val="20"/>
          <w:color w:val="auto"/>
        </w:rPr>
      </w:pPr>
      <w:r>
        <w:rPr>
          <w:rFonts w:ascii="Arial" w:cs="Arial" w:eastAsia="Arial" w:hAnsi="Arial"/>
          <w:sz w:val="18"/>
          <w:szCs w:val="18"/>
          <w:color w:val="auto"/>
        </w:rPr>
        <w:t xml:space="preserve">Synthetic lethality applies to specific pairs of genes. A synthetic lethal interaction occurs when a deficiency in either gene alone is viable whereas a deficiency in both genes simultaneously results in cell death. In cancer, synthetic lethality can be exploited to selectively kill cancer cells in which one gene in the pair is mutated or deleted in the tumor cell and the remaining second gene is therapeutically inhibited. This leads to death of the cancer cells whereas normal cells, which lack the specific genetic alteration, are spared the effect of the drug. In the case of PRMT5, it has been demonstrated that certain genomic alterations confer a selective dependence on PRMT5 so that PRMT5 inhibition can be utilized to produce a synthetic lethal effect. For example, PRMT5 inhibition shows a modest preferential impairment of cell viability in methylthioadenosine phosphorylase, or </w:t>
      </w:r>
      <w:r>
        <w:rPr>
          <w:rFonts w:ascii="Arial" w:cs="Arial" w:eastAsia="Arial" w:hAnsi="Arial"/>
          <w:sz w:val="18"/>
          <w:szCs w:val="18"/>
          <w:i w:val="1"/>
          <w:iCs w:val="1"/>
          <w:color w:val="auto"/>
        </w:rPr>
        <w:t>MTAP</w:t>
      </w:r>
      <w:r>
        <w:rPr>
          <w:rFonts w:ascii="Arial" w:cs="Arial" w:eastAsia="Arial" w:hAnsi="Arial"/>
          <w:sz w:val="18"/>
          <w:szCs w:val="18"/>
          <w:color w:val="auto"/>
        </w:rPr>
        <w:t xml:space="preserve">, -null cancer cells compared to normal cells, suggesting that PRMT5 inhibitors could produce a synthetic lethal effect in GBM, in which nearly half of the patients carry the </w:t>
      </w:r>
      <w:r>
        <w:rPr>
          <w:rFonts w:ascii="Arial" w:cs="Arial" w:eastAsia="Arial" w:hAnsi="Arial"/>
          <w:sz w:val="18"/>
          <w:szCs w:val="18"/>
          <w:i w:val="1"/>
          <w:iCs w:val="1"/>
          <w:color w:val="auto"/>
        </w:rPr>
        <w:t xml:space="preserve">MTAP </w:t>
      </w:r>
      <w:r>
        <w:rPr>
          <w:rFonts w:ascii="Arial" w:cs="Arial" w:eastAsia="Arial" w:hAnsi="Arial"/>
          <w:sz w:val="18"/>
          <w:szCs w:val="18"/>
          <w:color w:val="auto"/>
        </w:rPr>
        <w:t>deletion.</w:t>
      </w:r>
    </w:p>
    <w:p>
      <w:pPr>
        <w:spacing w:after="0" w:line="192" w:lineRule="exact"/>
        <w:rPr>
          <w:sz w:val="20"/>
          <w:szCs w:val="20"/>
          <w:color w:val="auto"/>
        </w:rPr>
      </w:pPr>
    </w:p>
    <w:p>
      <w:pPr>
        <w:ind w:firstLine="478"/>
        <w:spacing w:after="0" w:line="273" w:lineRule="auto"/>
        <w:rPr>
          <w:sz w:val="20"/>
          <w:szCs w:val="20"/>
          <w:color w:val="auto"/>
        </w:rPr>
      </w:pPr>
      <w:r>
        <w:rPr>
          <w:rFonts w:ascii="Arial" w:cs="Arial" w:eastAsia="Arial" w:hAnsi="Arial"/>
          <w:sz w:val="17"/>
          <w:szCs w:val="17"/>
          <w:color w:val="auto"/>
        </w:rPr>
        <w:t xml:space="preserve">The synthetic lethal effect of pharmacological inhibitors of DNA repair mechanisms such as poly ADP- ribose polymerases, or PARPs, have been successfully utilized in the treatment of HRD+ cancers. HRD+ can occur as a result of genetic or epigenetic mechanisms that result in loss of genes such as breast cancer genes, or </w:t>
      </w:r>
      <w:r>
        <w:rPr>
          <w:rFonts w:ascii="Arial" w:cs="Arial" w:eastAsia="Arial" w:hAnsi="Arial"/>
          <w:sz w:val="17"/>
          <w:szCs w:val="17"/>
          <w:i w:val="1"/>
          <w:iCs w:val="1"/>
          <w:color w:val="auto"/>
        </w:rPr>
        <w:t>BRCA1</w:t>
      </w:r>
      <w:r>
        <w:rPr>
          <w:rFonts w:ascii="Arial" w:cs="Arial" w:eastAsia="Arial" w:hAnsi="Arial"/>
          <w:sz w:val="17"/>
          <w:szCs w:val="17"/>
          <w:color w:val="auto"/>
        </w:rPr>
        <w:t xml:space="preserve"> and </w:t>
      </w:r>
      <w:r>
        <w:rPr>
          <w:rFonts w:ascii="Arial" w:cs="Arial" w:eastAsia="Arial" w:hAnsi="Arial"/>
          <w:sz w:val="17"/>
          <w:szCs w:val="17"/>
          <w:i w:val="1"/>
          <w:iCs w:val="1"/>
          <w:color w:val="auto"/>
        </w:rPr>
        <w:t>BRCA2</w:t>
      </w:r>
      <w:r>
        <w:rPr>
          <w:rFonts w:ascii="Arial" w:cs="Arial" w:eastAsia="Arial" w:hAnsi="Arial"/>
          <w:sz w:val="17"/>
          <w:szCs w:val="17"/>
          <w:color w:val="auto"/>
        </w:rPr>
        <w:t>, that are required for efficient DNA repair. More recent data support the potential synthetic lethality of PRMT5 inhibition in tumors that are HRD+ due to the role of PRMT5 in DNA repair (Figure 2). PRMT5 upregulates the transcription of genes involved in HR repair to regulate the DNA damage repair response. PRMT5 inhibition has been shown preclinically to decrease expression of these genes to induce cell death, supporting the potential of PRMT5 inhibitors in HRD+ tumors.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u w:val="single" w:color="auto"/>
          <w:color w:val="auto"/>
        </w:rPr>
        <w:t>Figure 2. PRMT5 Inhibition in HRD+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168910</wp:posOffset>
            </wp:positionV>
            <wp:extent cx="3291840" cy="2297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918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right="40"/>
        <w:spacing w:after="0" w:line="253" w:lineRule="auto"/>
        <w:rPr>
          <w:sz w:val="20"/>
          <w:szCs w:val="20"/>
          <w:color w:val="auto"/>
        </w:rPr>
      </w:pPr>
      <w:r>
        <w:rPr>
          <w:rFonts w:ascii="Arial" w:cs="Arial" w:eastAsia="Arial" w:hAnsi="Arial"/>
          <w:sz w:val="14"/>
          <w:szCs w:val="14"/>
          <w:color w:val="auto"/>
        </w:rPr>
        <w:t xml:space="preserve">PRMT5 upregulates the expression of DNA repair genes including </w:t>
      </w:r>
      <w:r>
        <w:rPr>
          <w:rFonts w:ascii="Arial" w:cs="Arial" w:eastAsia="Arial" w:hAnsi="Arial"/>
          <w:sz w:val="14"/>
          <w:szCs w:val="14"/>
          <w:i w:val="1"/>
          <w:iCs w:val="1"/>
          <w:color w:val="auto"/>
        </w:rPr>
        <w:t>BRCA1</w:t>
      </w:r>
      <w:r>
        <w:rPr>
          <w:rFonts w:ascii="Arial" w:cs="Arial" w:eastAsia="Arial" w:hAnsi="Arial"/>
          <w:sz w:val="14"/>
          <w:szCs w:val="14"/>
          <w:color w:val="auto"/>
        </w:rPr>
        <w:t xml:space="preserve">, </w:t>
      </w:r>
      <w:r>
        <w:rPr>
          <w:rFonts w:ascii="Arial" w:cs="Arial" w:eastAsia="Arial" w:hAnsi="Arial"/>
          <w:sz w:val="14"/>
          <w:szCs w:val="14"/>
          <w:i w:val="1"/>
          <w:iCs w:val="1"/>
          <w:color w:val="auto"/>
        </w:rPr>
        <w:t>BRCA2</w:t>
      </w:r>
      <w:r>
        <w:rPr>
          <w:rFonts w:ascii="Arial" w:cs="Arial" w:eastAsia="Arial" w:hAnsi="Arial"/>
          <w:sz w:val="14"/>
          <w:szCs w:val="14"/>
          <w:color w:val="auto"/>
        </w:rPr>
        <w:t xml:space="preserve">, </w:t>
      </w:r>
      <w:r>
        <w:rPr>
          <w:rFonts w:ascii="Arial" w:cs="Arial" w:eastAsia="Arial" w:hAnsi="Arial"/>
          <w:sz w:val="14"/>
          <w:szCs w:val="14"/>
          <w:i w:val="1"/>
          <w:iCs w:val="1"/>
          <w:color w:val="auto"/>
        </w:rPr>
        <w:t>RAD51</w:t>
      </w:r>
      <w:r>
        <w:rPr>
          <w:rFonts w:ascii="Arial" w:cs="Arial" w:eastAsia="Arial" w:hAnsi="Arial"/>
          <w:sz w:val="14"/>
          <w:szCs w:val="14"/>
          <w:color w:val="auto"/>
        </w:rPr>
        <w:t xml:space="preserve">, </w:t>
      </w:r>
      <w:r>
        <w:rPr>
          <w:rFonts w:ascii="Arial" w:cs="Arial" w:eastAsia="Arial" w:hAnsi="Arial"/>
          <w:sz w:val="14"/>
          <w:szCs w:val="14"/>
          <w:i w:val="1"/>
          <w:iCs w:val="1"/>
          <w:color w:val="auto"/>
        </w:rPr>
        <w:t>RAD51D</w:t>
      </w:r>
      <w:r>
        <w:rPr>
          <w:rFonts w:ascii="Arial" w:cs="Arial" w:eastAsia="Arial" w:hAnsi="Arial"/>
          <w:sz w:val="14"/>
          <w:szCs w:val="14"/>
          <w:color w:val="auto"/>
        </w:rPr>
        <w:t xml:space="preserve"> and </w:t>
      </w:r>
      <w:r>
        <w:rPr>
          <w:rFonts w:ascii="Arial" w:cs="Arial" w:eastAsia="Arial" w:hAnsi="Arial"/>
          <w:sz w:val="14"/>
          <w:szCs w:val="14"/>
          <w:i w:val="1"/>
          <w:iCs w:val="1"/>
          <w:color w:val="auto"/>
        </w:rPr>
        <w:t>Ku80</w:t>
      </w:r>
      <w:r>
        <w:rPr>
          <w:rFonts w:ascii="Arial" w:cs="Arial" w:eastAsia="Arial" w:hAnsi="Arial"/>
          <w:sz w:val="14"/>
          <w:szCs w:val="14"/>
          <w:color w:val="auto"/>
        </w:rPr>
        <w:t>. Inhibition of PRMT5 reduces expression of these genes and prevents DNA repair, inducing a state of “</w:t>
      </w:r>
      <w:r>
        <w:rPr>
          <w:rFonts w:ascii="Arial" w:cs="Arial" w:eastAsia="Arial" w:hAnsi="Arial"/>
          <w:sz w:val="14"/>
          <w:szCs w:val="14"/>
          <w:i w:val="1"/>
          <w:iCs w:val="1"/>
          <w:color w:val="auto"/>
        </w:rPr>
        <w:t>BRCA</w:t>
      </w:r>
      <w:r>
        <w:rPr>
          <w:rFonts w:ascii="Arial" w:cs="Arial" w:eastAsia="Arial" w:hAnsi="Arial"/>
          <w:sz w:val="14"/>
          <w:szCs w:val="14"/>
          <w:color w:val="auto"/>
        </w:rPr>
        <w:t>ness” and leading to tumor cell death as well as synergy in combination with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Together, these data support the development of PRMT5 inhibitors in select solid tumors and hematologic malignancies.</w:t>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Approach to Designing Optimized PRMT5 Inhibitors</w:t>
      </w:r>
    </w:p>
    <w:p>
      <w:pPr>
        <w:spacing w:after="0" w:line="117" w:lineRule="exact"/>
        <w:rPr>
          <w:sz w:val="20"/>
          <w:szCs w:val="20"/>
          <w:color w:val="auto"/>
        </w:rPr>
      </w:pPr>
    </w:p>
    <w:p>
      <w:pPr>
        <w:ind w:firstLine="478"/>
        <w:spacing w:after="0" w:line="255" w:lineRule="auto"/>
        <w:rPr>
          <w:sz w:val="20"/>
          <w:szCs w:val="20"/>
          <w:color w:val="auto"/>
        </w:rPr>
      </w:pPr>
      <w:r>
        <w:rPr>
          <w:rFonts w:ascii="Arial" w:cs="Arial" w:eastAsia="Arial" w:hAnsi="Arial"/>
          <w:sz w:val="18"/>
          <w:szCs w:val="18"/>
          <w:color w:val="auto"/>
        </w:rPr>
        <w:t>PRMT5 has strong scientific rationale for its targeting in the treatment of cancer, as its inhibition has been shown to suppress tumor growth and produce synthetic lethality preclinically. PRMT5 contains two binding sites, a substrate and a cofactor (SAM), providing two distinct modes-of-inhibition of PRMT5 (Figure 3). We utilized X-ray crystal structures of PRMT5 to rapidly design and synthesize SAM cofactor mimetic inhibitors that are highly selective for PRMT5, distinct from a substrate competitive inhibitor approach. Given that SAM contributes the methyl group to all of the PRMT5 substrates, we believe this approach gives us an opportunity to more broadly modulate the activity of PRMT5 compared to a substrate competitive inhibitor.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Figure 3. Binding Mode of Prelude PRMT5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168910</wp:posOffset>
            </wp:positionV>
            <wp:extent cx="3206115" cy="1577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478"/>
        <w:spacing w:after="0" w:line="301" w:lineRule="auto"/>
        <w:rPr>
          <w:sz w:val="20"/>
          <w:szCs w:val="20"/>
          <w:color w:val="auto"/>
        </w:rPr>
      </w:pPr>
      <w:r>
        <w:rPr>
          <w:rFonts w:ascii="Arial" w:cs="Arial" w:eastAsia="Arial" w:hAnsi="Arial"/>
          <w:sz w:val="16"/>
          <w:szCs w:val="16"/>
          <w:color w:val="auto"/>
        </w:rPr>
        <w:t xml:space="preserve">We rationally designed and synthesized more than 600 compounds during the optimization of our lead product candidates to not only improve potency, but also to simultaneously build in ADME and pharmaceutical properties. These efforts led to selection of our first compound, PRT543, a novel SAM mimetic, that is designed to be a highly potent and selective PRMT5 inhibitor. In addition, to create a PRMT5 inhibitor with the potential for high brain exposure, we optimized the molecular and physicochemical properties of our SAM competitive leads using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screen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right="200"/>
        <w:spacing w:after="0" w:line="279" w:lineRule="auto"/>
        <w:rPr>
          <w:sz w:val="20"/>
          <w:szCs w:val="20"/>
          <w:color w:val="auto"/>
        </w:rPr>
      </w:pPr>
      <w:r>
        <w:rPr>
          <w:rFonts w:ascii="Arial" w:cs="Arial" w:eastAsia="Arial" w:hAnsi="Arial"/>
          <w:sz w:val="17"/>
          <w:szCs w:val="17"/>
          <w:color w:val="auto"/>
        </w:rPr>
        <w:t xml:space="preserve">for compounds with low efflux potential followed by confirmatory brain exposure studies </w:t>
      </w:r>
      <w:r>
        <w:rPr>
          <w:rFonts w:ascii="Arial" w:cs="Arial" w:eastAsia="Arial" w:hAnsi="Arial"/>
          <w:sz w:val="17"/>
          <w:szCs w:val="17"/>
          <w:i w:val="1"/>
          <w:iCs w:val="1"/>
          <w:color w:val="auto"/>
        </w:rPr>
        <w:t>in vivo</w:t>
      </w:r>
      <w:r>
        <w:rPr>
          <w:rFonts w:ascii="Arial" w:cs="Arial" w:eastAsia="Arial" w:hAnsi="Arial"/>
          <w:sz w:val="17"/>
          <w:szCs w:val="17"/>
          <w:color w:val="auto"/>
        </w:rPr>
        <w:t>. Our second compound, PRT811, is a novel brain penetrant PRMT5 inhibitor. These molecules are differentiated by their mode of inhibition and their potency, which compare favorably to the most advanced PRMT5 inhibitor in development, GSK3326595. PRT543 and PRT811 were selected to advance into clinical development because they have well balanced properties, which we believe will lead to an increase in the probability of clinical activity.</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PRT543</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are currently advancing our first clinical candidate PRT543, an oral inhibitor of PRMT5 in a Phase 1 clinical trial in advanced solid tumors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select myeloid malignancies. Upon establishing a recommended expansion dose, we plan to begin enrolling patients in the expansion portion of the Phase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in select tumor types that are potentially driven by PRMT5 dysregulation. These tumor types include ACC, MF, genomically selected MDS,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genomically selected HRD+ tumors. We have recently completed the dose escalation portion of the trial. The dose expansion portion of the Phase 1 trial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open for the patient cohort with adenoid cystic carcinoma and we now expect to begin patient enrollment into additional solid tumor and myeloid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malignancies expansion cohorts early in the second quarter of 2021. We anticipate presenting initial clinical data from the trial at medical meetings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second 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Preclinical Results—Summary</w:t>
      </w:r>
    </w:p>
    <w:p>
      <w:pPr>
        <w:spacing w:after="0" w:line="90" w:lineRule="exact"/>
        <w:rPr>
          <w:sz w:val="20"/>
          <w:szCs w:val="20"/>
          <w:color w:val="auto"/>
        </w:rPr>
      </w:pPr>
    </w:p>
    <w:p>
      <w:pPr>
        <w:ind w:right="100" w:firstLine="478"/>
        <w:spacing w:after="0" w:line="259" w:lineRule="auto"/>
        <w:rPr>
          <w:sz w:val="20"/>
          <w:szCs w:val="20"/>
          <w:color w:val="auto"/>
        </w:rPr>
      </w:pPr>
      <w:r>
        <w:rPr>
          <w:rFonts w:ascii="Arial" w:cs="Arial" w:eastAsia="Arial" w:hAnsi="Arial"/>
          <w:sz w:val="18"/>
          <w:szCs w:val="18"/>
          <w:i w:val="1"/>
          <w:iCs w:val="1"/>
          <w:color w:val="auto"/>
        </w:rPr>
        <w:t>In vitro</w:t>
      </w:r>
      <w:r>
        <w:rPr>
          <w:rFonts w:ascii="Arial" w:cs="Arial" w:eastAsia="Arial" w:hAnsi="Arial"/>
          <w:sz w:val="18"/>
          <w:szCs w:val="18"/>
          <w:color w:val="auto"/>
        </w:rPr>
        <w:t>, we observed that PRT543 is potent and highly selective in biochemical assays. In cellular assays PRT543 treatment resulted in a dose-dependent reduction in symmetric dimethylation of arginine, or sDMA, levels, a direct readout of PRMT5 activity, in tumor cell lines. PRT543 inhibited the proliferation of a panel of cell lines representative of both hematologic and solid tumor types both as monotherapy and in combination with other targeted therapies. PRT543 was active in cell lines that are resistant to other targeted agents.</w:t>
      </w:r>
    </w:p>
    <w:p>
      <w:pPr>
        <w:spacing w:after="0" w:line="146"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i w:val="1"/>
          <w:iCs w:val="1"/>
          <w:color w:val="auto"/>
        </w:rPr>
        <w:t>In vivo</w:t>
      </w:r>
      <w:r>
        <w:rPr>
          <w:rFonts w:ascii="Arial" w:cs="Arial" w:eastAsia="Arial" w:hAnsi="Arial"/>
          <w:sz w:val="18"/>
          <w:szCs w:val="18"/>
          <w:color w:val="auto"/>
        </w:rPr>
        <w:t>, PRT543 demonstrated high oral bioavailability (F%&gt;100% in rats; 65%, in dogs) and a long half- life (~5-10h in rats and ~20h dogs).</w:t>
      </w:r>
      <w:r>
        <w:rPr>
          <w:rFonts w:ascii="Arial" w:cs="Arial" w:eastAsia="Arial" w:hAnsi="Arial"/>
          <w:sz w:val="18"/>
          <w:szCs w:val="18"/>
          <w:i w:val="1"/>
          <w:iCs w:val="1"/>
          <w:color w:val="auto"/>
        </w:rPr>
        <w:t xml:space="preserve"> </w:t>
      </w:r>
      <w:r>
        <w:rPr>
          <w:rFonts w:ascii="Arial" w:cs="Arial" w:eastAsia="Arial" w:hAnsi="Arial"/>
          <w:sz w:val="18"/>
          <w:szCs w:val="18"/>
          <w:color w:val="auto"/>
        </w:rPr>
        <w:t>PRT543 exhibited activity in a range of xenograft and PDX models of solid tumors and hematologic malignancies, including ACC, AML and MF. In these tumor models, PRT543 demonstrated a clear dose-response relationship between suppression of sDMA levels and tumor growth inhibition, or TGI, establishing a link between target engagement and preclinical activity. These data define the target plasma drug concentration and sDMA inhibition goals in the dose escalation portion of human clinical trials.</w:t>
      </w:r>
    </w:p>
    <w:p>
      <w:pPr>
        <w:spacing w:after="0" w:line="26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 Vitro Potency and Selectivity</w:t>
      </w:r>
    </w:p>
    <w:p>
      <w:pPr>
        <w:spacing w:after="0" w:line="117"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 xml:space="preserve">We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of PRT543 to inhibit the methyltransferase activity of human recombinant PRMT5 by measuring its IC50. IC50 is a quantitative measure of how much of a compound is needed to inhibit a biological process by 50%. In this assay, we observed the IC50 of PRT543 to be 10.8 nM. We also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selectivity of PRT543 for PRMT5 as compared to a panel of 36 other human methyltransferases. When tested at a concentration 1,000 times above its IC50 for PRMT5, we observed that PRT543 exhibited minimal inhibition of CARM1 (36.5% at 10 μM) and no inhibition of any other human methyltransferase tested.</w:t>
      </w:r>
    </w:p>
    <w:p>
      <w:pPr>
        <w:spacing w:after="0" w:line="26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PRT543 potently reduced sDMA levels, a direct readout of PRMT5 activity, in cells</w:t>
      </w:r>
    </w:p>
    <w:p>
      <w:pPr>
        <w:spacing w:after="0" w:line="117"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 xml:space="preserve">We determined the potency of PRT543 to inhibit PRMT5 in cells by measuring levels of sDMA, a direct measure of PRMT5 activity. Tumor cell lines were treated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various concentrations of PRT543 for three days and the PRT543 IC50 value to inhibit sDMA determined. We observed that PRT543 potently and dose-dependently reduced sDMA levels in tumor cell lines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nanomolar IC50 values (Figure 4). These data demonstrate on-target effects of PRT543 in cells.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u w:val="single" w:color="auto"/>
          <w:color w:val="auto"/>
        </w:rPr>
        <w:t xml:space="preserve">Figure 4. PRT543 Dose-Dependently Reduced sDMA Levels in Tumor Cell Lines </w:t>
      </w:r>
      <w:r>
        <w:rPr>
          <w:rFonts w:ascii="Arial" w:cs="Arial" w:eastAsia="Arial" w:hAnsi="Arial"/>
          <w:sz w:val="18"/>
          <w:szCs w:val="18"/>
          <w:i w:val="1"/>
          <w:iCs w:val="1"/>
          <w:u w:val="single" w:color="auto"/>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151765</wp:posOffset>
            </wp:positionV>
            <wp:extent cx="2897505" cy="1354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750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right="2920"/>
        <w:spacing w:after="0" w:line="290" w:lineRule="auto"/>
        <w:rPr>
          <w:sz w:val="20"/>
          <w:szCs w:val="20"/>
          <w:color w:val="auto"/>
        </w:rPr>
      </w:pPr>
      <w:r>
        <w:rPr>
          <w:rFonts w:ascii="Arial" w:cs="Arial" w:eastAsia="Arial" w:hAnsi="Arial"/>
          <w:sz w:val="13"/>
          <w:szCs w:val="13"/>
          <w:color w:val="auto"/>
        </w:rPr>
        <w:t>Western blot demonstrating concentration-dependent reduction of symmetrically dimethylated SMD3, a known PRMT5 substrate, following 3 days of PRT543 treatment in indicated cell lines. Granta-519 is a MCL cell line and SET-2 is a JAK2 V617F mutant AML cell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PRT543 inhibits the proliferation of a broad panel of cell lines in vitro</w:t>
      </w:r>
    </w:p>
    <w:p>
      <w:pPr>
        <w:spacing w:after="0" w:line="117"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 xml:space="preserve">We investigated the potency of PRT543 to inhibit the proliferation of a panel of cell lines representative of both hematologic malignancies and solid tumors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Tumor cell lines were treated with various concentrations of PRT543 and the number of viable cells was measured after ten days in culture. We observed that PRT543 inhibited the growth of cell lines representative of both solid tumors and hematologic malignancies with nanomolar potencies, demonstrating its broad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5).</w:t>
      </w:r>
    </w:p>
    <w:p>
      <w:pPr>
        <w:spacing w:after="0" w:line="160"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 xml:space="preserve">We also explored whether PRT543 was active in primary cells or cell lines known to be resistant to specific targeted therapies. </w:t>
      </w:r>
      <w:r>
        <w:rPr>
          <w:rFonts w:ascii="Arial" w:cs="Arial" w:eastAsia="Arial" w:hAnsi="Arial"/>
          <w:sz w:val="18"/>
          <w:szCs w:val="18"/>
          <w:i w:val="1"/>
          <w:iCs w:val="1"/>
          <w:color w:val="auto"/>
        </w:rPr>
        <w:t>In vitro</w:t>
      </w:r>
      <w:r>
        <w:rPr>
          <w:rFonts w:ascii="Arial" w:cs="Arial" w:eastAsia="Arial" w:hAnsi="Arial"/>
          <w:sz w:val="18"/>
          <w:szCs w:val="18"/>
          <w:color w:val="auto"/>
        </w:rPr>
        <w:t>, we observed that PRT543 inhibited the growth of primary AML patient samples, including those shown to be resistant to the BCL2 inhibitor, venetoclax, or the FLT3 inhibitor, gilteritinib, two currently approved therapies for AML patients. Additionally, PRT543 demonstrated activity in a cell line rendered insensitive to JAK inhibitors, suggesting that PRMT5 inhibition may overcome resistance to other targeted therapies.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Figure 5: Broad Antiproliferative Activity of PRT543 in a Cancer Cell Line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151765</wp:posOffset>
            </wp:positionV>
            <wp:extent cx="4663440" cy="128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6344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Profile of the anti-proliferative response to PRT543 in a panel of 85 cell lines following 10 days of treatment. Baseline corresponds to IC50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250 nM. Bars below the baseline represent cell lines where PRT543 demonstrates more potent IC50 values and bars above the baseline are less potent.</w:t>
      </w:r>
    </w:p>
    <w:p>
      <w:pPr>
        <w:spacing w:after="0" w:line="196"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 xml:space="preserve">Given the role of PRMT5 in DNA repair, we investigated the effects of PRT543 to inhibit the growth of HRD+ tumor cell lines. Two HRD+ breast cancer cell lines, MDA-MB-436 and MDA-MB-468, were treated with various concentrations of PRT543 and the number of viable cells was measured after 10 days in culture. We observed that PRT543 demonstrated potent activity in blocking the growth of these cell lines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IC50 values of 50-150 nM (Figure 6). Consistent with this, PRT543 decreased levels of expression of a number of genes involved in DNA repair, including </w:t>
      </w:r>
      <w:r>
        <w:rPr>
          <w:rFonts w:ascii="Arial" w:cs="Arial" w:eastAsia="Arial" w:hAnsi="Arial"/>
          <w:sz w:val="18"/>
          <w:szCs w:val="18"/>
          <w:i w:val="1"/>
          <w:iCs w:val="1"/>
          <w:color w:val="auto"/>
        </w:rPr>
        <w:t>BRCA1</w:t>
      </w:r>
      <w:r>
        <w:rPr>
          <w:rFonts w:ascii="Arial" w:cs="Arial" w:eastAsia="Arial" w:hAnsi="Arial"/>
          <w:sz w:val="18"/>
          <w:szCs w:val="18"/>
          <w:color w:val="auto"/>
        </w:rPr>
        <w:t xml:space="preserve">, </w:t>
      </w:r>
      <w:r>
        <w:rPr>
          <w:rFonts w:ascii="Arial" w:cs="Arial" w:eastAsia="Arial" w:hAnsi="Arial"/>
          <w:sz w:val="18"/>
          <w:szCs w:val="18"/>
          <w:i w:val="1"/>
          <w:iCs w:val="1"/>
          <w:color w:val="auto"/>
        </w:rPr>
        <w:t>BRCA2</w:t>
      </w:r>
      <w:r>
        <w:rPr>
          <w:rFonts w:ascii="Arial" w:cs="Arial" w:eastAsia="Arial" w:hAnsi="Arial"/>
          <w:sz w:val="18"/>
          <w:szCs w:val="18"/>
          <w:color w:val="auto"/>
        </w:rPr>
        <w:t>,</w:t>
      </w:r>
      <w:r>
        <w:rPr>
          <w:rFonts w:ascii="Arial" w:cs="Arial" w:eastAsia="Arial" w:hAnsi="Arial"/>
          <w:sz w:val="18"/>
          <w:szCs w:val="18"/>
          <w:i w:val="1"/>
          <w:iCs w:val="1"/>
          <w:color w:val="auto"/>
        </w:rPr>
        <w:t xml:space="preserve"> ATM </w:t>
      </w:r>
      <w:r>
        <w:rPr>
          <w:rFonts w:ascii="Arial" w:cs="Arial" w:eastAsia="Arial" w:hAnsi="Arial"/>
          <w:sz w:val="18"/>
          <w:szCs w:val="18"/>
          <w:color w:val="auto"/>
        </w:rPr>
        <w:t>and</w:t>
      </w:r>
      <w:r>
        <w:rPr>
          <w:rFonts w:ascii="Arial" w:cs="Arial" w:eastAsia="Arial" w:hAnsi="Arial"/>
          <w:sz w:val="18"/>
          <w:szCs w:val="18"/>
          <w:i w:val="1"/>
          <w:iCs w:val="1"/>
          <w:color w:val="auto"/>
        </w:rPr>
        <w:t xml:space="preserve"> ATR</w:t>
      </w:r>
      <w:r>
        <w:rPr>
          <w:rFonts w:ascii="Arial" w:cs="Arial" w:eastAsia="Arial" w:hAnsi="Arial"/>
          <w:sz w:val="18"/>
          <w:szCs w:val="18"/>
          <w:color w:val="auto"/>
        </w:rPr>
        <w:t>, and was synergistic in combination with PARP inhibitors.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u w:val="single" w:color="auto"/>
          <w:color w:val="auto"/>
        </w:rPr>
        <w:t>Figure 6. PRT543 Inhibits the Growth of HRD+ Breast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30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Two HRD+ breast cancer cell lines, MDA-MB-436 and MDA-MB-468, were treated for 10 days with PRT543 and effects on cell proliferation determined. Data are plotted relative to DMSO control.</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 vivo, PRT543 demonstrated a correlation between sDMA inhibition and efficacy</w:t>
      </w:r>
    </w:p>
    <w:p>
      <w:pPr>
        <w:spacing w:after="0" w:line="117" w:lineRule="exact"/>
        <w:rPr>
          <w:sz w:val="20"/>
          <w:szCs w:val="20"/>
          <w:color w:val="auto"/>
        </w:rPr>
      </w:pPr>
    </w:p>
    <w:p>
      <w:pPr>
        <w:ind w:firstLine="478"/>
        <w:spacing w:after="0" w:line="291" w:lineRule="auto"/>
        <w:rPr>
          <w:sz w:val="20"/>
          <w:szCs w:val="20"/>
          <w:color w:val="auto"/>
        </w:rPr>
      </w:pPr>
      <w:r>
        <w:rPr>
          <w:rFonts w:ascii="Arial" w:cs="Arial" w:eastAsia="Arial" w:hAnsi="Arial"/>
          <w:sz w:val="16"/>
          <w:szCs w:val="16"/>
          <w:i w:val="1"/>
          <w:iCs w:val="1"/>
          <w:color w:val="auto"/>
        </w:rPr>
        <w:t>In vivo</w:t>
      </w:r>
      <w:r>
        <w:rPr>
          <w:rFonts w:ascii="Arial" w:cs="Arial" w:eastAsia="Arial" w:hAnsi="Arial"/>
          <w:sz w:val="16"/>
          <w:szCs w:val="16"/>
          <w:color w:val="auto"/>
        </w:rPr>
        <w:t>, we investigated the ability of PRT543 to reduce sDMA levels in tumor tissues and in plasma in several models, including the SET2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model of AML. PRT543 doses of 5 mg/kg, 15 mg/kg or 30 mg/kg were administered orally to tumor-bearing mice, once daily, for 28 days. As shown in Figure 7, we observed that PRT543 dose-dependently reduced sDMA levels in the tumor, indicating it inhibited cellular PRMT5 activity </w:t>
      </w:r>
      <w:r>
        <w:rPr>
          <w:rFonts w:ascii="Arial" w:cs="Arial" w:eastAsia="Arial" w:hAnsi="Arial"/>
          <w:sz w:val="16"/>
          <w:szCs w:val="16"/>
          <w:i w:val="1"/>
          <w:iCs w:val="1"/>
          <w:color w:val="auto"/>
        </w:rPr>
        <w:t>in vivo</w:t>
      </w:r>
      <w:r>
        <w:rPr>
          <w:rFonts w:ascii="Arial" w:cs="Arial" w:eastAsia="Arial" w:hAnsi="Arial"/>
          <w:sz w:val="16"/>
          <w:szCs w:val="16"/>
          <w:color w:val="auto"/>
        </w:rPr>
        <w:t>. PRT543 demonstrated approximately 90% inhibition of sDMA levels in the tumor at the 30 mg/kg and 15 mg/kg once-a-day, or q.d., doses. It should be noted that at doses that result in a 90% reduction in tumor sDMA, approximately 50% reduction in plasma sDMA levels was observed, suggesting that tumor sDMA may be a more sensitive readout. PRT543 at both dose levels demonstrated significant anti-tumor activity (Figure 7). Collectively, results from these preclinical models support targeting 50% inhibition of plasma or serum sDMA in Phase 1 dose escalation to establish a pharmacologically active dose.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9" w:name="page20"/>
    <w:bookmarkEnd w:id="19"/>
    <w:p>
      <w:pPr>
        <w:ind w:left="3240"/>
        <w:spacing w:after="0"/>
        <w:rPr>
          <w:sz w:val="20"/>
          <w:szCs w:val="20"/>
          <w:color w:val="auto"/>
        </w:rPr>
      </w:pPr>
      <w:r>
        <w:rPr>
          <w:rFonts w:ascii="Arial" w:cs="Arial" w:eastAsia="Arial" w:hAnsi="Arial"/>
          <w:sz w:val="18"/>
          <w:szCs w:val="18"/>
          <w:u w:val="single" w:color="auto"/>
          <w:color w:val="auto"/>
        </w:rPr>
        <w:t>Figure 7. PRT543 PD/Efficacy Relationship in Preclinical Models</w:t>
      </w:r>
    </w:p>
    <w:p>
      <w:pPr>
        <w:spacing w:after="0" w:line="248" w:lineRule="exact"/>
        <w:rPr>
          <w:sz w:val="20"/>
          <w:szCs w:val="20"/>
          <w:color w:val="auto"/>
        </w:rPr>
      </w:pPr>
    </w:p>
    <w:p>
      <w:pPr>
        <w:ind w:left="3280"/>
        <w:spacing w:after="0"/>
        <w:tabs>
          <w:tab w:leader="none" w:pos="7700" w:val="left"/>
        </w:tabs>
        <w:rPr>
          <w:sz w:val="20"/>
          <w:szCs w:val="20"/>
          <w:color w:val="auto"/>
        </w:rPr>
      </w:pPr>
      <w:r>
        <w:rPr>
          <w:rFonts w:ascii="Arial" w:cs="Arial" w:eastAsia="Arial" w:hAnsi="Arial"/>
          <w:sz w:val="18"/>
          <w:szCs w:val="18"/>
          <w:b w:val="1"/>
          <w:bCs w:val="1"/>
          <w:color w:val="auto"/>
        </w:rPr>
        <w:t>PD</w:t>
      </w:r>
      <w:r>
        <w:rPr>
          <w:sz w:val="20"/>
          <w:szCs w:val="20"/>
          <w:color w:val="auto"/>
        </w:rPr>
        <w:tab/>
      </w:r>
      <w:r>
        <w:rPr>
          <w:rFonts w:ascii="Arial" w:cs="Arial" w:eastAsia="Arial" w:hAnsi="Arial"/>
          <w:sz w:val="18"/>
          <w:szCs w:val="18"/>
          <w:b w:val="1"/>
          <w:bCs w:val="1"/>
          <w:color w:val="auto"/>
        </w:rPr>
        <w:t>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423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 xml:space="preserve">Oral administration of PRT543 leads to dose-dependent decreases in tumor sDMA and TGI in the SET-2 AML model, Western blot showing sDMA reduction in SET-2 tumor tissue collected 4 hours after the last dose, at the end of a 28-day study. Efficacy data represent mean ± SEM with 8 mice/group. * </w:t>
      </w:r>
      <w:r>
        <w:rPr>
          <w:rFonts w:ascii="Arial" w:cs="Arial" w:eastAsia="Arial" w:hAnsi="Arial"/>
          <w:sz w:val="13"/>
          <w:szCs w:val="13"/>
          <w:i w:val="1"/>
          <w:iCs w:val="1"/>
          <w:color w:val="auto"/>
        </w:rPr>
        <w:t>P</w:t>
      </w:r>
      <w:r>
        <w:rPr>
          <w:rFonts w:ascii="Arial" w:cs="Arial" w:eastAsia="Arial" w:hAnsi="Arial"/>
          <w:sz w:val="13"/>
          <w:szCs w:val="13"/>
          <w:color w:val="auto"/>
        </w:rPr>
        <w:t xml:space="preserve"> &lt; 0.05, ** </w:t>
      </w:r>
      <w:r>
        <w:rPr>
          <w:rFonts w:ascii="Arial" w:cs="Arial" w:eastAsia="Arial" w:hAnsi="Arial"/>
          <w:sz w:val="13"/>
          <w:szCs w:val="13"/>
          <w:i w:val="1"/>
          <w:iCs w:val="1"/>
          <w:color w:val="auto"/>
        </w:rPr>
        <w:t>P</w:t>
      </w:r>
      <w:r>
        <w:rPr>
          <w:rFonts w:ascii="Arial" w:cs="Arial" w:eastAsia="Arial" w:hAnsi="Arial"/>
          <w:sz w:val="13"/>
          <w:szCs w:val="13"/>
          <w:color w:val="auto"/>
        </w:rPr>
        <w:t xml:space="preserve"> &lt; 0.01 vs. vehicle by Mann-Whitney U test.</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PRT543 is active in models of ACC and MF in vivo</w:t>
      </w:r>
    </w:p>
    <w:p>
      <w:pPr>
        <w:spacing w:after="0" w:line="117"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i w:val="1"/>
          <w:iCs w:val="1"/>
          <w:color w:val="auto"/>
        </w:rPr>
        <w:t>In vitro</w:t>
      </w:r>
      <w:r>
        <w:rPr>
          <w:rFonts w:ascii="Arial" w:cs="Arial" w:eastAsia="Arial" w:hAnsi="Arial"/>
          <w:sz w:val="18"/>
          <w:szCs w:val="18"/>
          <w:color w:val="auto"/>
        </w:rPr>
        <w:t>, we observed that PRT543 decreased the expression of the</w:t>
      </w:r>
      <w:r>
        <w:rPr>
          <w:rFonts w:ascii="Arial" w:cs="Arial" w:eastAsia="Arial" w:hAnsi="Arial"/>
          <w:sz w:val="18"/>
          <w:szCs w:val="18"/>
          <w:i w:val="1"/>
          <w:iCs w:val="1"/>
          <w:color w:val="auto"/>
        </w:rPr>
        <w:t xml:space="preserve"> MYB </w:t>
      </w:r>
      <w:r>
        <w:rPr>
          <w:rFonts w:ascii="Arial" w:cs="Arial" w:eastAsia="Arial" w:hAnsi="Arial"/>
          <w:sz w:val="18"/>
          <w:szCs w:val="18"/>
          <w:color w:val="auto"/>
        </w:rPr>
        <w:t>oncogene as well as</w:t>
      </w:r>
      <w:r>
        <w:rPr>
          <w:rFonts w:ascii="Arial" w:cs="Arial" w:eastAsia="Arial" w:hAnsi="Arial"/>
          <w:sz w:val="18"/>
          <w:szCs w:val="18"/>
          <w:i w:val="1"/>
          <w:iCs w:val="1"/>
          <w:color w:val="auto"/>
        </w:rPr>
        <w:t xml:space="preserve"> MYB</w:t>
      </w:r>
      <w:r>
        <w:rPr>
          <w:rFonts w:ascii="Arial" w:cs="Arial" w:eastAsia="Arial" w:hAnsi="Arial"/>
          <w:sz w:val="18"/>
          <w:szCs w:val="18"/>
          <w:color w:val="auto"/>
        </w:rPr>
        <w:t>-regulated genes in head and neck cancer cell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lines. Because the activity of the MYB oncogene may be important in ACC, where approximately 90% of patients have </w:t>
      </w:r>
      <w:r>
        <w:rPr>
          <w:rFonts w:ascii="Arial" w:cs="Arial" w:eastAsia="Arial" w:hAnsi="Arial"/>
          <w:sz w:val="18"/>
          <w:szCs w:val="18"/>
          <w:i w:val="1"/>
          <w:iCs w:val="1"/>
          <w:color w:val="auto"/>
        </w:rPr>
        <w:t>MYB</w:t>
      </w:r>
      <w:r>
        <w:rPr>
          <w:rFonts w:ascii="Arial" w:cs="Arial" w:eastAsia="Arial" w:hAnsi="Arial"/>
          <w:sz w:val="18"/>
          <w:szCs w:val="18"/>
          <w:color w:val="auto"/>
        </w:rPr>
        <w:t xml:space="preserve"> alterations, we investigated whether PRT543 was active in a PDX model of ACC, ACCx9. PRT543 doses of 25 mg/kg and 35 mg/kg were administered orally to tumor-bearing mice, twice daily, for 28 days. We observed that both doses of PRT543 inhibited tumor growth in this PDX model of ACC (Figure 8). These data support the clinical development of PRT543 in ACC.</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 xml:space="preserve">Figure 8. PRT543 Demonstrated Activity in PDX Models of ACC </w:t>
      </w:r>
      <w:r>
        <w:rPr>
          <w:rFonts w:ascii="Arial" w:cs="Arial" w:eastAsia="Arial" w:hAnsi="Arial"/>
          <w:sz w:val="18"/>
          <w:szCs w:val="18"/>
          <w:i w:val="1"/>
          <w:iCs w:val="1"/>
          <w:u w:val="single" w:color="auto"/>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508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PRT543 oral administration decreased tumor growth in the ACCX9 PDX model of ACC. Data represent mean ± SEM with 8 mice/group.</w:t>
      </w:r>
    </w:p>
    <w:p>
      <w:pPr>
        <w:spacing w:after="0" w:line="237"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 xml:space="preserve">In addition to studies in ACC models, we observed that PRT543 was active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solid tumor models representative of bladder cancer and small cell lung cancer at well-tolerated doses. PRT543 was also active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models of hematological malignancies, including AML and mantle cell lymphoma. In the Granta-519 model of mantle cell lymphoma, PRT543 demonstrated single agent activity and was synergistic in combination with the approved BCL2 inhibitor, venetoclax (Figure 9).</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u w:val="single" w:color="auto"/>
          <w:color w:val="auto"/>
        </w:rPr>
        <w:t xml:space="preserve">Figure 9. PRT543 is Active as Monotherapy and in Combination </w:t>
      </w:r>
      <w:r>
        <w:rPr>
          <w:rFonts w:ascii="Arial" w:cs="Arial" w:eastAsia="Arial" w:hAnsi="Arial"/>
          <w:sz w:val="18"/>
          <w:szCs w:val="18"/>
          <w:i w:val="1"/>
          <w:iCs w:val="1"/>
          <w:u w:val="single" w:color="auto"/>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151765</wp:posOffset>
            </wp:positionV>
            <wp:extent cx="5246370" cy="1748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4637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27" w:lineRule="auto"/>
        <w:rPr>
          <w:sz w:val="20"/>
          <w:szCs w:val="20"/>
          <w:color w:val="auto"/>
        </w:rPr>
      </w:pPr>
      <w:r>
        <w:rPr>
          <w:rFonts w:ascii="Arial" w:cs="Arial" w:eastAsia="Arial" w:hAnsi="Arial"/>
          <w:sz w:val="14"/>
          <w:szCs w:val="14"/>
          <w:color w:val="auto"/>
        </w:rPr>
        <w:t>Oral administration of PRT543 led to dose-dependent TGI in the Granta-519 MCL xenograft model. Combination of PRT543 and venetoclax resulted in significant TGI at doses that did not show activity as monotherapy for both agents in the Granta-519 xenograft model. The doses tested in the combination arm of the study were 20 mg/kg QD of PRT543 and 30 mg/kg QD of venetoclax. Data represent mean ± 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P</w:t>
      </w:r>
      <w:r>
        <w:rPr>
          <w:rFonts w:ascii="Arial" w:cs="Arial" w:eastAsia="Arial" w:hAnsi="Arial"/>
          <w:sz w:val="14"/>
          <w:szCs w:val="14"/>
          <w:color w:val="auto"/>
        </w:rPr>
        <w:t xml:space="preserve"> &lt; 0.01 vs. Vehicle by Mann-Whitney U test.</w:t>
      </w:r>
    </w:p>
    <w:p>
      <w:pPr>
        <w:spacing w:after="0" w:line="263" w:lineRule="exact"/>
        <w:rPr>
          <w:sz w:val="20"/>
          <w:szCs w:val="20"/>
          <w:color w:val="auto"/>
        </w:rPr>
      </w:pPr>
    </w:p>
    <w:p>
      <w:pPr>
        <w:ind w:right="160" w:firstLine="478"/>
        <w:spacing w:after="0" w:line="257" w:lineRule="auto"/>
        <w:rPr>
          <w:sz w:val="20"/>
          <w:szCs w:val="20"/>
          <w:color w:val="auto"/>
        </w:rPr>
      </w:pPr>
      <w:r>
        <w:rPr>
          <w:rFonts w:ascii="Arial" w:cs="Arial" w:eastAsia="Arial" w:hAnsi="Arial"/>
          <w:sz w:val="18"/>
          <w:szCs w:val="18"/>
          <w:color w:val="auto"/>
        </w:rPr>
        <w:t xml:space="preserve">Finally, we investigated the activity of PRT543 in a model of </w:t>
      </w:r>
      <w:r>
        <w:rPr>
          <w:rFonts w:ascii="Arial" w:cs="Arial" w:eastAsia="Arial" w:hAnsi="Arial"/>
          <w:sz w:val="18"/>
          <w:szCs w:val="18"/>
          <w:i w:val="1"/>
          <w:iCs w:val="1"/>
          <w:color w:val="auto"/>
        </w:rPr>
        <w:t>JAK2V617F</w:t>
      </w:r>
      <w:r>
        <w:rPr>
          <w:rFonts w:ascii="Arial" w:cs="Arial" w:eastAsia="Arial" w:hAnsi="Arial"/>
          <w:sz w:val="18"/>
          <w:szCs w:val="18"/>
          <w:color w:val="auto"/>
        </w:rPr>
        <w:t xml:space="preserve"> mutant myeloproliferative neoplasms, or MPN. In this model, we observed that PRT543 led to a reduction in spleen size and normalization of white blood cells and reticulocytes counts, key phenotypic effects of </w:t>
      </w:r>
      <w:r>
        <w:rPr>
          <w:rFonts w:ascii="Arial" w:cs="Arial" w:eastAsia="Arial" w:hAnsi="Arial"/>
          <w:sz w:val="18"/>
          <w:szCs w:val="18"/>
          <w:i w:val="1"/>
          <w:iCs w:val="1"/>
          <w:color w:val="auto"/>
        </w:rPr>
        <w:t>JAK2</w:t>
      </w:r>
      <w:r>
        <w:rPr>
          <w:rFonts w:ascii="Arial" w:cs="Arial" w:eastAsia="Arial" w:hAnsi="Arial"/>
          <w:sz w:val="18"/>
          <w:szCs w:val="18"/>
          <w:color w:val="auto"/>
        </w:rPr>
        <w:t xml:space="preserve"> dyrsegulation through the </w:t>
      </w:r>
      <w:r>
        <w:rPr>
          <w:rFonts w:ascii="Arial" w:cs="Arial" w:eastAsia="Arial" w:hAnsi="Arial"/>
          <w:sz w:val="18"/>
          <w:szCs w:val="18"/>
          <w:i w:val="1"/>
          <w:iCs w:val="1"/>
          <w:color w:val="auto"/>
        </w:rPr>
        <w:t>JAK2V617F</w:t>
      </w:r>
      <w:r>
        <w:rPr>
          <w:rFonts w:ascii="Arial" w:cs="Arial" w:eastAsia="Arial" w:hAnsi="Arial"/>
          <w:sz w:val="18"/>
          <w:szCs w:val="18"/>
          <w:color w:val="auto"/>
        </w:rPr>
        <w:t xml:space="preserve"> mutation, both as monotherapy and in combination with the approved JAK inhibitor, ruxolitinib. Importantly, the observed level of suppression of disease specific effects following treatment with PRT543 were similar to those achieved with the approved therapy, ruxolitinib (Figure 10).</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 xml:space="preserve">Figure 10. PRT543 Was Active in a Model of </w:t>
      </w:r>
      <w:r>
        <w:rPr>
          <w:rFonts w:ascii="Arial" w:cs="Arial" w:eastAsia="Arial" w:hAnsi="Arial"/>
          <w:sz w:val="18"/>
          <w:szCs w:val="18"/>
          <w:i w:val="1"/>
          <w:iCs w:val="1"/>
          <w:u w:val="single" w:color="auto"/>
          <w:color w:val="auto"/>
        </w:rPr>
        <w:t>JAK2V617F</w:t>
      </w:r>
      <w:r>
        <w:rPr>
          <w:rFonts w:ascii="Arial" w:cs="Arial" w:eastAsia="Arial" w:hAnsi="Arial"/>
          <w:sz w:val="18"/>
          <w:szCs w:val="18"/>
          <w:u w:val="single" w:color="auto"/>
          <w:color w:val="auto"/>
        </w:rPr>
        <w:t xml:space="preserve"> Mutant MPN.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457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140" w:right="2840"/>
        <w:spacing w:after="0" w:line="238" w:lineRule="auto"/>
        <w:rPr>
          <w:sz w:val="20"/>
          <w:szCs w:val="20"/>
          <w:color w:val="auto"/>
        </w:rPr>
      </w:pPr>
      <w:r>
        <w:rPr>
          <w:rFonts w:ascii="Arial" w:cs="Arial" w:eastAsia="Arial" w:hAnsi="Arial"/>
          <w:sz w:val="14"/>
          <w:szCs w:val="14"/>
          <w:color w:val="auto"/>
        </w:rPr>
        <w:t xml:space="preserve">Oral administration of PRT543 as monotherapy and in combination with ruxolitinib led to significant decrease in spleen size in the </w:t>
      </w:r>
      <w:r>
        <w:rPr>
          <w:rFonts w:ascii="Arial" w:cs="Arial" w:eastAsia="Arial" w:hAnsi="Arial"/>
          <w:sz w:val="14"/>
          <w:szCs w:val="14"/>
          <w:i w:val="1"/>
          <w:iCs w:val="1"/>
          <w:color w:val="auto"/>
        </w:rPr>
        <w:t>JAK2VF</w:t>
      </w:r>
      <w:r>
        <w:rPr>
          <w:rFonts w:ascii="Arial" w:cs="Arial" w:eastAsia="Arial" w:hAnsi="Arial"/>
          <w:sz w:val="14"/>
          <w:szCs w:val="14"/>
          <w:color w:val="auto"/>
        </w:rPr>
        <w:t xml:space="preserve"> bone marrow transplant model of MF. Data represent mean ± SEM. Dotted line indicates mean spleen weight of WT transplanted mice. * </w:t>
      </w:r>
      <w:r>
        <w:rPr>
          <w:rFonts w:ascii="Arial" w:cs="Arial" w:eastAsia="Arial" w:hAnsi="Arial"/>
          <w:sz w:val="14"/>
          <w:szCs w:val="14"/>
          <w:i w:val="1"/>
          <w:iCs w:val="1"/>
          <w:color w:val="auto"/>
        </w:rPr>
        <w:t>P</w:t>
      </w:r>
      <w:r>
        <w:rPr>
          <w:rFonts w:ascii="Arial" w:cs="Arial" w:eastAsia="Arial" w:hAnsi="Arial"/>
          <w:sz w:val="14"/>
          <w:szCs w:val="14"/>
          <w:color w:val="auto"/>
        </w:rPr>
        <w:t xml:space="preserve"> &lt; 0.05, ** </w:t>
      </w:r>
      <w:r>
        <w:rPr>
          <w:rFonts w:ascii="Arial" w:cs="Arial" w:eastAsia="Arial" w:hAnsi="Arial"/>
          <w:sz w:val="14"/>
          <w:szCs w:val="14"/>
          <w:i w:val="1"/>
          <w:iCs w:val="1"/>
          <w:color w:val="auto"/>
        </w:rPr>
        <w:t>P</w:t>
      </w:r>
      <w:r>
        <w:rPr>
          <w:rFonts w:ascii="Arial" w:cs="Arial" w:eastAsia="Arial" w:hAnsi="Arial"/>
          <w:sz w:val="14"/>
          <w:szCs w:val="14"/>
          <w:color w:val="auto"/>
        </w:rPr>
        <w:t xml:space="preserve"> &lt; 0.01, *** </w:t>
      </w:r>
      <w:r>
        <w:rPr>
          <w:rFonts w:ascii="Arial" w:cs="Arial" w:eastAsia="Arial" w:hAnsi="Arial"/>
          <w:sz w:val="14"/>
          <w:szCs w:val="14"/>
          <w:i w:val="1"/>
          <w:iCs w:val="1"/>
          <w:color w:val="auto"/>
        </w:rPr>
        <w:t>P</w:t>
      </w:r>
      <w:r>
        <w:rPr>
          <w:rFonts w:ascii="Arial" w:cs="Arial" w:eastAsia="Arial" w:hAnsi="Arial"/>
          <w:sz w:val="14"/>
          <w:szCs w:val="14"/>
          <w:color w:val="auto"/>
        </w:rPr>
        <w:t xml:space="preserve"> &lt; 0.001 vs. vehicle by Mann-Whitney U test.</w:t>
      </w:r>
    </w:p>
    <w:p>
      <w:pPr>
        <w:spacing w:after="0" w:line="254" w:lineRule="exact"/>
        <w:rPr>
          <w:sz w:val="20"/>
          <w:szCs w:val="20"/>
          <w:color w:val="auto"/>
        </w:rPr>
      </w:pPr>
    </w:p>
    <w:p>
      <w:pPr>
        <w:ind w:firstLine="478"/>
        <w:spacing w:after="0" w:line="311" w:lineRule="auto"/>
        <w:rPr>
          <w:sz w:val="20"/>
          <w:szCs w:val="20"/>
          <w:color w:val="auto"/>
        </w:rPr>
      </w:pPr>
      <w:r>
        <w:rPr>
          <w:rFonts w:ascii="Arial" w:cs="Arial" w:eastAsia="Arial" w:hAnsi="Arial"/>
          <w:sz w:val="16"/>
          <w:szCs w:val="16"/>
          <w:color w:val="auto"/>
        </w:rPr>
        <w:t xml:space="preserve">Together, these data provide strong rationale for advancing PRT543 into patients with solid tumors such as ACC and HRD+ tumors as well as myeloid malignancies including MF and MDS, and provide opportunities for patient selection (ruxolitinib failures in MF, patients with spliceosomal mutations, HRD+ tumors, </w:t>
      </w:r>
      <w:r>
        <w:rPr>
          <w:rFonts w:ascii="Arial" w:cs="Arial" w:eastAsia="Arial" w:hAnsi="Arial"/>
          <w:sz w:val="16"/>
          <w:szCs w:val="16"/>
          <w:i w:val="1"/>
          <w:iCs w:val="1"/>
          <w:color w:val="auto"/>
        </w:rPr>
        <w:t>MYB+</w:t>
      </w:r>
      <w:r>
        <w:rPr>
          <w:rFonts w:ascii="Arial" w:cs="Arial" w:eastAsia="Arial" w:hAnsi="Arial"/>
          <w:sz w:val="16"/>
          <w:szCs w:val="16"/>
          <w:color w:val="auto"/>
        </w:rPr>
        <w:t xml:space="preserve"> ACC) and combination strategies (with ruxolitinib in MF, venetoclax in MDS/AML, PARP inhibitors in HRD+ tumors).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Experience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All data are reflective of a data cutoff of September 1, 2020 unless otherwise stated.</w:t>
      </w:r>
    </w:p>
    <w:p>
      <w:pPr>
        <w:spacing w:after="0" w:line="225" w:lineRule="exact"/>
        <w:rPr>
          <w:sz w:val="20"/>
          <w:szCs w:val="20"/>
          <w:color w:val="auto"/>
        </w:rPr>
      </w:pPr>
    </w:p>
    <w:p>
      <w:pPr>
        <w:jc w:val="both"/>
        <w:ind w:right="100" w:firstLine="478"/>
        <w:spacing w:after="0" w:line="263" w:lineRule="auto"/>
        <w:rPr>
          <w:sz w:val="20"/>
          <w:szCs w:val="20"/>
          <w:color w:val="auto"/>
        </w:rPr>
      </w:pPr>
      <w:r>
        <w:rPr>
          <w:rFonts w:ascii="Arial" w:cs="Arial" w:eastAsia="Arial" w:hAnsi="Arial"/>
          <w:sz w:val="18"/>
          <w:szCs w:val="18"/>
          <w:color w:val="auto"/>
        </w:rPr>
        <w:t>We are currently enrolling a Phase 1, open-label, multicenter, dose expansion clinical trial of monotherapy PRT543 in patients with advanced solid tumors, MF or MDS. We have been encouraged by both the clinical activity and tolerability data that has been observed in 41 patients (29 with advanced solid tumors, one with NHL, nine with MF and two with MDS) that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7"/>
          <w:szCs w:val="17"/>
          <w:color w:val="auto"/>
        </w:rPr>
        <w:t>have enrolled into the dose escalation portion of the study as of our data cutoff date of September 1, 2020. We have observed early signs of clinical activity, including a confirmed CR per RECIST v1.1, in a patient with HRD+ high grade serous ovarian cancer, at the 35 mg 5x/week dose level. In addition, one MF patient at the 20 mg twice a week, or b.i.w., dose level has demonstrated a best response of clinical improvement per International Working Group, or IWG, criteria as of September 1, 2020. This patient has exceeded one year on study. A second MF patient at the 40 mg three times a week, or t.i.w., dose level demonstrated an approximately 66% reduction in TSS. Improvement in isolated symptoms and extended duration of therapy have been seen in other MF patients. The safety profile has consisted predominantly of Grade 1-2 adverse events and was similar across both solid tumor and myeloid malignancies patients. As of September 1, 2020, the dose-limiting toxicity experienced at the highest dose level evaluated in both groups has been thrombocytopenia, which in all cases has been reversible without sequalae after a one to two week drug holiday. There have been no deaths or study discontinuation attributed to PRT543. PK/PD analysis reveals dose-dependent increases in drug exposure across doses and schedules with associated decreases in serum sDMA levels. We have recently completed the dose escalation portion of the trial. The dose expansion portion of the Phase 1 trial is open for the patient cohort with adenoid cystic carcinoma and we now expect to begin patient enrollment into additional solid tumor and myeloid malignancies expansion cohorts early in the second quarter of 2021. While early in development and there is no guarantee of approval by the FDA or other regulatory authorities, we are encouraged by the clinical activity of PRT543.</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Clinical Trial Design and Schema</w:t>
      </w:r>
    </w:p>
    <w:p>
      <w:pPr>
        <w:spacing w:after="0" w:line="117" w:lineRule="exact"/>
        <w:rPr>
          <w:sz w:val="20"/>
          <w:szCs w:val="20"/>
          <w:color w:val="auto"/>
        </w:rPr>
      </w:pPr>
    </w:p>
    <w:p>
      <w:pPr>
        <w:ind w:right="40" w:firstLine="478"/>
        <w:spacing w:after="0" w:line="255" w:lineRule="auto"/>
        <w:rPr>
          <w:sz w:val="20"/>
          <w:szCs w:val="20"/>
          <w:color w:val="auto"/>
        </w:rPr>
      </w:pPr>
      <w:r>
        <w:rPr>
          <w:rFonts w:ascii="Arial" w:cs="Arial" w:eastAsia="Arial" w:hAnsi="Arial"/>
          <w:sz w:val="18"/>
          <w:szCs w:val="18"/>
          <w:color w:val="auto"/>
        </w:rPr>
        <w:t>Our PRT543 Phase 1 clinical trial design seeks to leverage PRT543’s broad potential therapeutic utility to rapidly generate proof-of-concept across multiple solid tumors and myeloid malignancies. Trial enrollment of patients with relapsed/refractory, or R/R, advanced solid tumors, NHL (Group A) or R/R MF or MDS (Group B) commenced in February 2019 and is being conducted at approximately 25 sites throughout the United States. This clinical trial consists of two parts, a dose escalation portion followed by dose expansion into separate tumor-specific cohorts. Enrollment into the additional dose expansion cohorts is expected to begin early in the second quarter of 2021. Total expected enrollment is anticipated to be approximately 160 patients. The schema is shown below in Figure 11.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Figure 11. PRT543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151765</wp:posOffset>
            </wp:positionV>
            <wp:extent cx="4114800" cy="26060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148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Interim and Preliminary Clinical Results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Interim and Preliminary Safety Data: Group A &amp; Group B</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safety profiles of the 41 patients enrolled have been similar between Group A (solid tumor; 30 patients) and Group B (MF and MDS;</w:t>
      </w:r>
    </w:p>
    <w:p>
      <w:pPr>
        <w:spacing w:after="0" w:line="3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11 patients) treated at doses and schedules ranging from 5 mg b.i.w to 50 mg once a day, or q.d,. Nine patient deaths were reported, none of which were related to PRT543. There were no patients that discontinued study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therapy due to an adverse event. A total of 18 SAEs have been reported amongst six patients and of those, only one event (grade 4 thrombocytopenia) in one patient was deemed related to PRT543.</w:t>
      </w:r>
    </w:p>
    <w:p>
      <w:pPr>
        <w:spacing w:after="0" w:line="170" w:lineRule="exact"/>
        <w:rPr>
          <w:sz w:val="20"/>
          <w:szCs w:val="20"/>
          <w:color w:val="auto"/>
        </w:rPr>
      </w:pPr>
    </w:p>
    <w:p>
      <w:pPr>
        <w:jc w:val="both"/>
        <w:ind w:right="60" w:firstLine="478"/>
        <w:spacing w:after="0" w:line="263" w:lineRule="auto"/>
        <w:rPr>
          <w:sz w:val="20"/>
          <w:szCs w:val="20"/>
          <w:color w:val="auto"/>
        </w:rPr>
      </w:pPr>
      <w:r>
        <w:rPr>
          <w:rFonts w:ascii="Arial" w:cs="Arial" w:eastAsia="Arial" w:hAnsi="Arial"/>
          <w:sz w:val="18"/>
          <w:szCs w:val="18"/>
          <w:color w:val="auto"/>
        </w:rPr>
        <w:t>Adverse events were similar between patient groups with the majority of these adverse events (84.6%) being Grades 1-2. The most common adverse events were diarrhea, nausea and fatigue, ranging from 30% to 50% in both groups and were manageable with standard treatment routine amongst patients with cancer.</w:t>
      </w:r>
    </w:p>
    <w:p>
      <w:pPr>
        <w:spacing w:after="0" w:line="184" w:lineRule="exact"/>
        <w:rPr>
          <w:sz w:val="20"/>
          <w:szCs w:val="20"/>
          <w:color w:val="auto"/>
        </w:rPr>
      </w:pPr>
    </w:p>
    <w:p>
      <w:pPr>
        <w:ind w:right="60" w:firstLine="478"/>
        <w:spacing w:after="0" w:line="296" w:lineRule="auto"/>
        <w:rPr>
          <w:sz w:val="20"/>
          <w:szCs w:val="20"/>
          <w:color w:val="auto"/>
        </w:rPr>
      </w:pPr>
      <w:r>
        <w:rPr>
          <w:rFonts w:ascii="Arial" w:cs="Arial" w:eastAsia="Arial" w:hAnsi="Arial"/>
          <w:sz w:val="16"/>
          <w:szCs w:val="16"/>
          <w:color w:val="auto"/>
        </w:rPr>
        <w:t>Dose limiting toxicity of grade 4 thrombocytopenia has been observed in two out of three Group A patients at the 50 mg q.d. dose level and one out of six Group B patients at the 40 mg t.i.w. dose level, one of which was deemed to be a serious adverse event, or SAE. However, in all of these patients, platelets recovered to baseline levels after a one to two week drug holiday and they remained on the study and restarted at a lower dose. At the 35 mg q.d. dose level, three of the four patients have experienced grade 3 thrombocytopenia. Patients had their doses reduced and remained on study. Among the eight patients who either started or were dose reduced to the 35 mg 5x/week dose level, only one experienced any thrombocytopenia (grade 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 (Solid Tumors)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Pharmacokinetic Data; Group A (Solid Tumors)</w:t>
      </w:r>
    </w:p>
    <w:p>
      <w:pPr>
        <w:spacing w:after="0" w:line="117" w:lineRule="exact"/>
        <w:rPr>
          <w:sz w:val="20"/>
          <w:szCs w:val="20"/>
          <w:color w:val="auto"/>
        </w:rPr>
      </w:pPr>
    </w:p>
    <w:p>
      <w:pPr>
        <w:ind w:right="100" w:firstLine="478"/>
        <w:spacing w:after="0" w:line="290" w:lineRule="auto"/>
        <w:rPr>
          <w:sz w:val="20"/>
          <w:szCs w:val="20"/>
          <w:color w:val="auto"/>
        </w:rPr>
      </w:pPr>
      <w:r>
        <w:rPr>
          <w:rFonts w:ascii="Arial" w:cs="Arial" w:eastAsia="Arial" w:hAnsi="Arial"/>
          <w:sz w:val="16"/>
          <w:szCs w:val="16"/>
          <w:color w:val="auto"/>
        </w:rPr>
        <w:t xml:space="preserve">Preliminary PK data were available for 30 solid tumor patients administered various regimens of oral doses of PRT543 (mean values are shown in Table 2). We observed that PRT543 demonstrated rapid absorption with the Tmax generally occurring between one to three hours with dose-proportional increases in exposure. Half-life values for different doses ranged from approximately 7-18 hours, consistent with the long half-life predicted by preclinical data. Exposures were generally similar between Day 1 (first dose of cycle) and Day 25 at doses up to 35 mg. However, the 50 mg q.d. dose demonstrated significant accumulation of PRT543, which was likely associated with dose-limiting exposure. The calculated weekly exposure of the 50 mg q.d. dose was &gt;2-fold higher than the 35 mg dose administered 5x/week, with a weekly AUC of 243 µM h versus 96 µM h. Our preliminary PK data showed plasma levels at doses of 22.5 mg and above achieved the concentrations required to inhibit PRMT5 in our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and hence support continued clinical development. We believe our optimal dose will be between 22.5 mg and 50 mg.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2. Preliminary Day 1 Pharmacokinetics in Solid Tumor Cohort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Parameter</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left="660"/>
              <w:spacing w:after="0"/>
              <w:rPr>
                <w:sz w:val="20"/>
                <w:szCs w:val="20"/>
                <w:color w:val="auto"/>
              </w:rPr>
            </w:pPr>
            <w:r>
              <w:rPr>
                <w:rFonts w:ascii="Arial" w:cs="Arial" w:eastAsia="Arial" w:hAnsi="Arial"/>
                <w:sz w:val="14"/>
                <w:szCs w:val="14"/>
                <w:b w:val="1"/>
                <w:bCs w:val="1"/>
                <w:color w:val="auto"/>
                <w:w w:val="87"/>
              </w:rPr>
              <w:t>Doses and Schedules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4260" w:type="dxa"/>
            <w:vAlign w:val="bottom"/>
          </w:tcPr>
          <w:p>
            <w:pPr>
              <w:spacing w:after="0"/>
              <w:rPr>
                <w:sz w:val="11"/>
                <w:szCs w:val="11"/>
                <w:color w:val="auto"/>
              </w:rPr>
            </w:pPr>
          </w:p>
        </w:tc>
        <w:tc>
          <w:tcPr>
            <w:tcW w:w="106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rPr>
              <w:t>5 mg</w:t>
            </w: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10 mg</w:t>
            </w:r>
          </w:p>
        </w:tc>
        <w:tc>
          <w:tcPr>
            <w:tcW w:w="10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15 mg</w:t>
            </w: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22.5 mg</w:t>
            </w:r>
          </w:p>
        </w:tc>
        <w:tc>
          <w:tcPr>
            <w:tcW w:w="100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45 mg</w:t>
            </w: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35 mg</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50 mg</w:t>
            </w:r>
          </w:p>
        </w:tc>
        <w:tc>
          <w:tcPr>
            <w:tcW w:w="60" w:type="dxa"/>
            <w:vAlign w:val="bottom"/>
          </w:tcPr>
          <w:p>
            <w:pPr>
              <w:spacing w:after="0"/>
              <w:rPr>
                <w:sz w:val="11"/>
                <w:szCs w:val="11"/>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(n=1)</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(n=3)</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(n=4)</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(n=5)</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(n=9)*</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(n=4)</w:t>
            </w:r>
          </w:p>
        </w:tc>
      </w:tr>
      <w:tr>
        <w:trPr>
          <w:trHeight w:val="155"/>
        </w:trPr>
        <w:tc>
          <w:tcPr>
            <w:tcW w:w="42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b.i.w</w:t>
            </w:r>
          </w:p>
        </w:tc>
        <w:tc>
          <w:tcPr>
            <w:tcW w:w="24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b.i.w</w:t>
            </w:r>
          </w:p>
        </w:tc>
        <w:tc>
          <w:tcPr>
            <w:tcW w:w="2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b.i.w</w:t>
            </w:r>
          </w:p>
        </w:tc>
        <w:tc>
          <w:tcPr>
            <w:tcW w:w="2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b.i.w</w:t>
            </w:r>
          </w:p>
        </w:tc>
        <w:tc>
          <w:tcPr>
            <w:tcW w:w="22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b.i.w.</w:t>
            </w:r>
          </w:p>
        </w:tc>
        <w:tc>
          <w:tcPr>
            <w:tcW w:w="2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5x /q.d.</w:t>
            </w:r>
          </w:p>
        </w:tc>
        <w:tc>
          <w:tcPr>
            <w:tcW w:w="2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q.d</w:t>
            </w:r>
          </w:p>
        </w:tc>
        <w:tc>
          <w:tcPr>
            <w:tcW w:w="6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Cmax (nM)</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6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Tmax (h)</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AUC0-t (nM h)</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23,200</w:t>
            </w:r>
          </w:p>
        </w:tc>
        <w:tc>
          <w:tcPr>
            <w:tcW w:w="6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Day 1 exposure from 35 mg, q.d. and 35mg, 5x dose levels combined. 5x means once a day, for five days, with two days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right="100" w:firstLine="478"/>
        <w:spacing w:after="0" w:line="277" w:lineRule="auto"/>
        <w:rPr>
          <w:sz w:val="20"/>
          <w:szCs w:val="20"/>
          <w:color w:val="auto"/>
        </w:rPr>
      </w:pPr>
      <w:r>
        <w:rPr>
          <w:rFonts w:ascii="Arial" w:cs="Arial" w:eastAsia="Arial" w:hAnsi="Arial"/>
          <w:sz w:val="18"/>
          <w:szCs w:val="18"/>
          <w:color w:val="auto"/>
        </w:rPr>
        <w:t>Cmax means the observed maximum plasma concentration after dosing. Tmax means the time to reach the Cmax. AUC0-t means the area under the plasma concentration time curve from time 0 to the last measurable time point.</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Pharmacodynamic Data: Group A (Solid Tumors)</w:t>
      </w:r>
    </w:p>
    <w:p>
      <w:pPr>
        <w:spacing w:after="0" w:line="117" w:lineRule="exact"/>
        <w:rPr>
          <w:sz w:val="20"/>
          <w:szCs w:val="20"/>
          <w:color w:val="auto"/>
        </w:rPr>
      </w:pPr>
    </w:p>
    <w:p>
      <w:pPr>
        <w:ind w:right="40" w:firstLine="478"/>
        <w:spacing w:after="0" w:line="254" w:lineRule="auto"/>
        <w:rPr>
          <w:sz w:val="20"/>
          <w:szCs w:val="20"/>
          <w:color w:val="auto"/>
        </w:rPr>
      </w:pPr>
      <w:r>
        <w:rPr>
          <w:rFonts w:ascii="Arial" w:cs="Arial" w:eastAsia="Arial" w:hAnsi="Arial"/>
          <w:sz w:val="18"/>
          <w:szCs w:val="18"/>
          <w:color w:val="auto"/>
        </w:rPr>
        <w:t xml:space="preserve">Serum sDMA levels, a PD measurement of PRMT5 target engagement, were assessed at baseline and on Day 15 of the treatment cycle. Dose-dependent inhibition of PRMT5 as demonstrated by serum sDMA reduction was observed across groups in the solid tumor cohort. The mean reduction in sDMA level was approximately 75% at both the 35 mg q.d. and 50 mg q.d. doses, which are the highest dose groups evaluated as of September 1, 2020, demonstrating maximum inhibition of PRMT5 activity. In the other cohorts where the dosing was intermittent (b.i.w. and 5x/week doses), serum for sDMA analyses was collected at least 72 hours after the last dose of PRT543 was administered. Therefore, the extent of PRMT5 inhibition was likely underestimated due to rebound in sDMA when the compound is no longer present. In preclinical models, 50% inhibition of sDMA was associated with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u w:val="single" w:color="auto"/>
          <w:color w:val="auto"/>
        </w:rPr>
        <w:t>Figure 12. PRT543 PD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151765</wp:posOffset>
            </wp:positionV>
            <wp:extent cx="4303395" cy="1405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0339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0" w:firstLine="478"/>
        <w:spacing w:after="0" w:line="277" w:lineRule="auto"/>
        <w:rPr>
          <w:sz w:val="20"/>
          <w:szCs w:val="20"/>
          <w:color w:val="auto"/>
        </w:rPr>
      </w:pPr>
      <w:r>
        <w:rPr>
          <w:rFonts w:ascii="Arial" w:cs="Arial" w:eastAsia="Arial" w:hAnsi="Arial"/>
          <w:sz w:val="18"/>
          <w:szCs w:val="18"/>
          <w:color w:val="auto"/>
        </w:rPr>
        <w:t>Serum was obtained from patients at various times following administration of PRT543 and analyzed for sDMA levels by LC/MS. The data are shown as % relative to pre-dose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Interim and Preliminary Efficacy Data: Group A (Solid Tumors/NHL)</w:t>
      </w:r>
    </w:p>
    <w:p>
      <w:pPr>
        <w:spacing w:after="0" w:line="117" w:lineRule="exact"/>
        <w:rPr>
          <w:sz w:val="20"/>
          <w:szCs w:val="20"/>
          <w:color w:val="auto"/>
        </w:rPr>
      </w:pPr>
    </w:p>
    <w:p>
      <w:pPr>
        <w:ind w:firstLine="478"/>
        <w:spacing w:after="0" w:line="286" w:lineRule="auto"/>
        <w:rPr>
          <w:sz w:val="20"/>
          <w:szCs w:val="20"/>
          <w:color w:val="auto"/>
        </w:rPr>
      </w:pPr>
      <w:r>
        <w:rPr>
          <w:rFonts w:ascii="Arial" w:cs="Arial" w:eastAsia="Arial" w:hAnsi="Arial"/>
          <w:sz w:val="16"/>
          <w:szCs w:val="16"/>
          <w:color w:val="auto"/>
        </w:rPr>
        <w:t xml:space="preserve">Thirty patients have been enrolled into Group A (solid tumors/NHL). Thirteen patients have received doses ≥ 35 mg 5x/week and are response evaluable per RECIST 1.1. Of these patients, one patient demonstrated confirmed CR (HRD+ high grade serous ovarian cancer), four patients demonstrated stable disease (including an additional patient with HRD+ ovarian cancer) and four patients showed progressive disease. Seven patients remain on study, of whom four are awaiting their first response assessment. No objective responses were observed in patients that received doses below 35 mg 5x/week. Given that we are still in the dose escalation portion of a Phase 1 clinical trial in a refractory patient population, with the primary objective of evaluating safety and pharmacokinetic properties, and that a majority of patients are likely to be at subtherapeutic doses, we are encouraged by the confirmed CR in the first enrolled biomarker positive patient. The patient, diagnosed in 2014, and subsequently treated with seven prior lines of therapy for metastatic disease, including standards of care such as a PARP inhibitor, as well as experimental therapies, enrolled in the dose escalation portion of the trial at a dose/schedule of 35 mg, 5x/week. Genomic analysis demonstrated mutations in the DNA repair enzymes, </w:t>
      </w:r>
      <w:r>
        <w:rPr>
          <w:rFonts w:ascii="Arial" w:cs="Arial" w:eastAsia="Arial" w:hAnsi="Arial"/>
          <w:sz w:val="16"/>
          <w:szCs w:val="16"/>
          <w:i w:val="1"/>
          <w:iCs w:val="1"/>
          <w:color w:val="auto"/>
        </w:rPr>
        <w:t>RAD51D, ATR</w:t>
      </w:r>
      <w:r>
        <w:rPr>
          <w:rFonts w:ascii="Arial" w:cs="Arial" w:eastAsia="Arial" w:hAnsi="Arial"/>
          <w:sz w:val="16"/>
          <w:szCs w:val="16"/>
          <w:color w:val="auto"/>
        </w:rPr>
        <w:t xml:space="preserve"> and </w:t>
      </w:r>
      <w:r>
        <w:rPr>
          <w:rFonts w:ascii="Arial" w:cs="Arial" w:eastAsia="Arial" w:hAnsi="Arial"/>
          <w:sz w:val="16"/>
          <w:szCs w:val="16"/>
          <w:i w:val="1"/>
          <w:iCs w:val="1"/>
          <w:color w:val="auto"/>
        </w:rPr>
        <w:t>BRCA1</w:t>
      </w:r>
      <w:r>
        <w:rPr>
          <w:rFonts w:ascii="Arial" w:cs="Arial" w:eastAsia="Arial" w:hAnsi="Arial"/>
          <w:sz w:val="16"/>
          <w:szCs w:val="16"/>
          <w:color w:val="auto"/>
        </w:rPr>
        <w:t>. At baseline, the patient was noted to have one target lesion lymph node, per RECIST, measuring 19mm across the shortest axis. Baseline CA-125 tumor marker levels measured 37.8 U/mL. At the first follow up response assessment, occurring eight weeks after enrollment, the patient’s target lesion demonstrated regression to 8mm with an associated drop in CA-125 levels to 2.6 U/mL. At the second follow up scan performed 16 weeks after enrollment, the target lesion regressed in size to 5 mm, confirming the CR. CA-125 levels measured 4.6 U/mL. At the third response assessment, performed 24 weeks after enrollment, the patient’s target lesion remained at 5 mm, further supporting the durability of the CR, and CA-125 levels measured 3.3 U/mL. The patient remains on study. Images from the patient’s computer tomography scans from baseline and 8 weeks, with highlighted target lesions, are shown below in Figure 13.</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Figure 13. Baseline and 8 Week Tumor Assessment CT Scans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1560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6344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Group B (MF and MDS)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Pharmacokinetic and Pharmacodynamic Data: Group B (MF and MDS)</w:t>
      </w:r>
    </w:p>
    <w:p>
      <w:pPr>
        <w:spacing w:after="0" w:line="117" w:lineRule="exact"/>
        <w:rPr>
          <w:sz w:val="20"/>
          <w:szCs w:val="20"/>
          <w:color w:val="auto"/>
        </w:rPr>
      </w:pPr>
    </w:p>
    <w:p>
      <w:pPr>
        <w:ind w:right="20" w:firstLine="478"/>
        <w:spacing w:after="0" w:line="257" w:lineRule="auto"/>
        <w:rPr>
          <w:sz w:val="20"/>
          <w:szCs w:val="20"/>
          <w:color w:val="auto"/>
        </w:rPr>
      </w:pPr>
      <w:r>
        <w:rPr>
          <w:rFonts w:ascii="Arial" w:cs="Arial" w:eastAsia="Arial" w:hAnsi="Arial"/>
          <w:sz w:val="18"/>
          <w:szCs w:val="18"/>
          <w:color w:val="auto"/>
        </w:rPr>
        <w:t xml:space="preserve">As of the data cutoff, preliminary PK data were available for 11 participants in this cohort (mean values shown in Table 3). As of September 1, 2020, the PRT543 PK profiles have been similar between solid tumor and MF and MDS patients demonstrating rapid absorption and dose-proportional increases in exposure. Exposures were generally similar between Day 1 (first dose of cycle) and Day 25 (last dose of cycle). Our preliminary PK data showed plasma levels at doses of 20 mg and above that achieved the concentrations required to inhibit PRMT5 in our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and hence support continued clinical development.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3. Preliminary Day 1 Pharmacokinetics in Myeloid Malignancies Cohort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Parameter</w:t>
            </w: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Doses and Schedules</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840" w:type="dxa"/>
            <w:vAlign w:val="bottom"/>
          </w:tcPr>
          <w:p>
            <w:pPr>
              <w:spacing w:after="0"/>
              <w:rPr>
                <w:sz w:val="11"/>
                <w:szCs w:val="11"/>
                <w:color w:val="auto"/>
              </w:rPr>
            </w:pPr>
          </w:p>
        </w:tc>
        <w:tc>
          <w:tcPr>
            <w:tcW w:w="1380" w:type="dxa"/>
            <w:vAlign w:val="bottom"/>
            <w:gridSpan w:val="2"/>
          </w:tcPr>
          <w:p>
            <w:pPr>
              <w:ind w:left="420"/>
              <w:spacing w:after="0" w:line="133" w:lineRule="exact"/>
              <w:rPr>
                <w:sz w:val="20"/>
                <w:szCs w:val="20"/>
                <w:color w:val="auto"/>
              </w:rPr>
            </w:pPr>
            <w:r>
              <w:rPr>
                <w:rFonts w:ascii="Arial" w:cs="Arial" w:eastAsia="Arial" w:hAnsi="Arial"/>
                <w:sz w:val="14"/>
                <w:szCs w:val="14"/>
                <w:b w:val="1"/>
                <w:bCs w:val="1"/>
                <w:color w:val="auto"/>
              </w:rPr>
              <w:t>5 mg</w:t>
            </w:r>
          </w:p>
        </w:tc>
        <w:tc>
          <w:tcPr>
            <w:tcW w:w="13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10 mg</w:t>
            </w:r>
          </w:p>
        </w:tc>
        <w:tc>
          <w:tcPr>
            <w:tcW w:w="13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20 mg</w:t>
            </w: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40 mg</w:t>
            </w:r>
          </w:p>
        </w:tc>
        <w:tc>
          <w:tcPr>
            <w:tcW w:w="100" w:type="dxa"/>
            <w:vAlign w:val="bottom"/>
          </w:tcPr>
          <w:p>
            <w:pPr>
              <w:spacing w:after="0"/>
              <w:rPr>
                <w:sz w:val="11"/>
                <w:szCs w:val="11"/>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(n=1)</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(n=1)</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(n=2)</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(n=7)*</w:t>
            </w:r>
          </w:p>
        </w:tc>
      </w:tr>
      <w:tr>
        <w:trPr>
          <w:trHeight w:val="171"/>
        </w:trPr>
        <w:tc>
          <w:tcPr>
            <w:tcW w:w="5840" w:type="dxa"/>
            <w:vAlign w:val="bottom"/>
          </w:tcPr>
          <w:p>
            <w:pPr>
              <w:spacing w:after="0"/>
              <w:rPr>
                <w:sz w:val="14"/>
                <w:szCs w:val="14"/>
                <w:color w:val="auto"/>
              </w:rPr>
            </w:pP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b.i.w</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b.i.w</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b.i.w</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b.i.w/t.i.w</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Cmax (nM)</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Tmax (h)</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AUC0-t (nM h)</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10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Exposures from 40 mg, b.i.w. and t.i.w. dose levels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both"/>
        <w:ind w:right="20" w:firstLine="478"/>
        <w:spacing w:after="0" w:line="263" w:lineRule="auto"/>
        <w:rPr>
          <w:sz w:val="20"/>
          <w:szCs w:val="20"/>
          <w:color w:val="auto"/>
        </w:rPr>
      </w:pPr>
      <w:r>
        <w:rPr>
          <w:rFonts w:ascii="Arial" w:cs="Arial" w:eastAsia="Arial" w:hAnsi="Arial"/>
          <w:sz w:val="18"/>
          <w:szCs w:val="18"/>
          <w:color w:val="auto"/>
        </w:rPr>
        <w:t>Similar to the data in the solid tumor cohort, dose-dependent inhibition in sDMA levels was observed in the heme cohort. A maximum inhibition of approximately 40% was observed at the 40 mg doses, but since only intermittent dosing was tested in this cohort, this reduction may be underestimated due to the sample collection 72 hours after the compound was administered.</w:t>
      </w:r>
    </w:p>
    <w:p>
      <w:pPr>
        <w:spacing w:after="0" w:line="184" w:lineRule="exact"/>
        <w:rPr>
          <w:sz w:val="20"/>
          <w:szCs w:val="20"/>
          <w:color w:val="auto"/>
        </w:rPr>
      </w:pPr>
    </w:p>
    <w:p>
      <w:pPr>
        <w:ind w:right="60" w:firstLine="478"/>
        <w:spacing w:after="0" w:line="263" w:lineRule="auto"/>
        <w:rPr>
          <w:sz w:val="20"/>
          <w:szCs w:val="20"/>
          <w:color w:val="auto"/>
        </w:rPr>
      </w:pPr>
      <w:r>
        <w:rPr>
          <w:rFonts w:ascii="Arial" w:cs="Arial" w:eastAsia="Arial" w:hAnsi="Arial"/>
          <w:sz w:val="18"/>
          <w:szCs w:val="18"/>
          <w:color w:val="auto"/>
        </w:rPr>
        <w:t>In addition to changes in sDMA, changes in cytokine levels and other markers of inflammation were measured in the patients in this cohort. Patients with MF have been shown to demonstrate elevated levels of inflammatory markers such as C-reactive protein, serum amyloid A, interleukin-6, tumor necrosis factor, and interleukin-12. PRT543 treatment was associated with reductions in these markers.</w:t>
      </w:r>
    </w:p>
    <w:p>
      <w:pPr>
        <w:spacing w:after="0" w:line="184" w:lineRule="exact"/>
        <w:rPr>
          <w:sz w:val="20"/>
          <w:szCs w:val="20"/>
          <w:color w:val="auto"/>
        </w:rPr>
      </w:pPr>
    </w:p>
    <w:p>
      <w:pPr>
        <w:ind w:right="120" w:firstLine="478"/>
        <w:spacing w:after="0" w:line="277" w:lineRule="auto"/>
        <w:rPr>
          <w:sz w:val="20"/>
          <w:szCs w:val="20"/>
          <w:color w:val="auto"/>
        </w:rPr>
      </w:pPr>
      <w:r>
        <w:rPr>
          <w:rFonts w:ascii="Arial" w:cs="Arial" w:eastAsia="Arial" w:hAnsi="Arial"/>
          <w:sz w:val="18"/>
          <w:szCs w:val="18"/>
          <w:color w:val="auto"/>
        </w:rPr>
        <w:t>Based on the PK and PD data, we anticipate that an additional two to three dose levels, as originally planned, will be required in order to establish a recommended expansion dose in this cohort.</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Interim and Preliminary Efficacy Data: Group B (MF and MDS)</w:t>
      </w:r>
    </w:p>
    <w:p>
      <w:pPr>
        <w:spacing w:after="0" w:line="117" w:lineRule="exact"/>
        <w:rPr>
          <w:sz w:val="20"/>
          <w:szCs w:val="20"/>
          <w:color w:val="auto"/>
        </w:rPr>
      </w:pPr>
    </w:p>
    <w:p>
      <w:pPr>
        <w:ind w:right="140" w:firstLine="478"/>
        <w:spacing w:after="0" w:line="275" w:lineRule="auto"/>
        <w:rPr>
          <w:sz w:val="20"/>
          <w:szCs w:val="20"/>
          <w:color w:val="auto"/>
        </w:rPr>
      </w:pPr>
      <w:r>
        <w:rPr>
          <w:rFonts w:ascii="Arial" w:cs="Arial" w:eastAsia="Arial" w:hAnsi="Arial"/>
          <w:sz w:val="17"/>
          <w:szCs w:val="17"/>
          <w:color w:val="auto"/>
        </w:rPr>
        <w:t>Among the 11 patients enrolled into Group B (nine MF and two MDS), all are evaluable for response assessments as per IWG criteria. One MF patient at the 20 mg b.i.w. dose level has demonstrated an objective response of clinical improvement and continues to receive therapy beyond one year to date. A second MF patient at the 40 mg t.i.w. dose level demonstrated an approximately 66% decrease in TSS. Several other MF patients have demonstrated reductions in individual symptoms, notably pruritis, night sweats and fever. Eight patients achieved a best response of SD. We are encouraged by the extended duration of therapy in two additional patients who remained on study for approximately one year.</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Clinical Update as of December 16, 2020</w:t>
      </w:r>
    </w:p>
    <w:p>
      <w:pPr>
        <w:spacing w:after="0" w:line="117" w:lineRule="exact"/>
        <w:rPr>
          <w:sz w:val="20"/>
          <w:szCs w:val="20"/>
          <w:color w:val="auto"/>
        </w:rPr>
      </w:pPr>
    </w:p>
    <w:p>
      <w:pPr>
        <w:ind w:right="80" w:firstLine="478"/>
        <w:spacing w:after="0" w:line="255" w:lineRule="auto"/>
        <w:rPr>
          <w:sz w:val="20"/>
          <w:szCs w:val="20"/>
          <w:color w:val="auto"/>
        </w:rPr>
      </w:pPr>
      <w:r>
        <w:rPr>
          <w:rFonts w:ascii="Arial" w:cs="Arial" w:eastAsia="Arial" w:hAnsi="Arial"/>
          <w:sz w:val="18"/>
          <w:szCs w:val="18"/>
          <w:color w:val="auto"/>
        </w:rPr>
        <w:t>As of December 16, 2020, the Phase 1 clinical trial of PRT543 has currently enrolled 61 patients (42 with advanced solid tumors, one with NHL, 11 with MF and seven with MDS). The overall safety profile is unchanged from the September 1, 2020 data cutoff and consistent between both Groups A and B. The majority of drug related adverse events continue to be grade 1-2 with anemia and thrombocytopenia being the most common grade 3-4 adverse events. Thrombocytopenia is the only dose-limiting toxicity. There have been no patients that have discontinued due to adverse events. Amongst the 61 patients, 24 SAEs have been reported amongst 11 patients, with 3 individual SAEs deemed drug related. No drug-related SAEs occurred more than once throughout the study.</w:t>
      </w:r>
    </w:p>
    <w:p>
      <w:pPr>
        <w:spacing w:after="0" w:line="84"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We have initiated the ACC expansion cohort of the trial at a dose/schedule of 35mg 5x weekly with the opportunity for intra-patient dose adjustment. Additionally, we have explored both 25mg q.d. and 45mg 5x weekly doses/schedules in the escalation phase, which may enable a dose titration algorithm in expansion. Enrollment into additional solid tumor and myeloid malignancies cohorts is expected to begin early in the second quarter of 2021.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Addressable Oncology Market for PRT543</w:t>
      </w:r>
    </w:p>
    <w:p>
      <w:pPr>
        <w:spacing w:after="0" w:line="121"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Our clinical development strategy is to focus first on indications where there is a patient selection strategy along with a high unmet medical need, no approved therapies and opportunity to utilize early clinical data to design registrational trials. Based on these criteria, the following are examples of indications where we believe we have significant opportunity. In addition to the indications outlined below, we believe there may be opportunity in additional indications in patients with genomically defined tumors.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Adenoid Cystic Carcinoma (ACC)</w:t>
      </w:r>
    </w:p>
    <w:p>
      <w:pPr>
        <w:spacing w:after="0" w:line="117" w:lineRule="exact"/>
        <w:rPr>
          <w:sz w:val="20"/>
          <w:szCs w:val="20"/>
          <w:color w:val="auto"/>
        </w:rPr>
      </w:pPr>
    </w:p>
    <w:p>
      <w:pPr>
        <w:ind w:right="20" w:firstLine="478"/>
        <w:spacing w:after="0" w:line="255" w:lineRule="auto"/>
        <w:rPr>
          <w:sz w:val="20"/>
          <w:szCs w:val="20"/>
          <w:color w:val="auto"/>
        </w:rPr>
      </w:pPr>
      <w:r>
        <w:rPr>
          <w:rFonts w:ascii="Arial" w:cs="Arial" w:eastAsia="Arial" w:hAnsi="Arial"/>
          <w:sz w:val="18"/>
          <w:szCs w:val="18"/>
          <w:color w:val="auto"/>
        </w:rPr>
        <w:t>Adenoid cystic carcinoma is a malignant tumor of the secretory glands often presenting in the oral cavity and pharynx (e.g., salivary glands), with approximately 1,200 patients diagnosed in the United States each year and 10-15,000 patients living with this cancer in the United States. ACC is characterized by indolent, locally invasive growth with a high propensity for recurrence and distant metastasis. The disease typically follows a slow course, with five-, ten-, and 15-year survival rates after surgical resection of 77.3%, 59.6%, and 44.9%, respectively. However, once ACC becomes metastatic, the prognosis worsens and most patients ultimately die from the disease. ACC affects a relatively young patient population, with a median age at diagnosis of 50-60 years.</w:t>
      </w:r>
    </w:p>
    <w:p>
      <w:pPr>
        <w:spacing w:after="0" w:line="192" w:lineRule="exact"/>
        <w:rPr>
          <w:sz w:val="20"/>
          <w:szCs w:val="20"/>
          <w:color w:val="auto"/>
        </w:rPr>
      </w:pPr>
    </w:p>
    <w:p>
      <w:pPr>
        <w:ind w:right="120" w:firstLine="478"/>
        <w:spacing w:after="0" w:line="259" w:lineRule="auto"/>
        <w:rPr>
          <w:sz w:val="20"/>
          <w:szCs w:val="20"/>
          <w:color w:val="auto"/>
        </w:rPr>
      </w:pPr>
      <w:r>
        <w:rPr>
          <w:rFonts w:ascii="Arial" w:cs="Arial" w:eastAsia="Arial" w:hAnsi="Arial"/>
          <w:sz w:val="18"/>
          <w:szCs w:val="18"/>
          <w:color w:val="auto"/>
        </w:rPr>
        <w:t>The vast majority of patients are initially treated with surgical resection, if possible, followed by radiation. Approximately 40-50% of patients progress to develop advanced or metastatic disease. Chemotherapy and tyrosine kinase inhibitor therapies are the most common systemic therapies for advanced/metastatic disease, yet have shown low response rates and limited durability of disease control in clinical trials. There are currently no approved therapies for the treatment of ACC.</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Homologous Recombinant Deficient Tumors (HRD+)</w:t>
      </w:r>
    </w:p>
    <w:p>
      <w:pPr>
        <w:spacing w:after="0" w:line="117"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 xml:space="preserve">Homologous recombination deficient positive tumors were described for the first time in cancers with germline mutations of the tumor suppressors </w:t>
      </w:r>
      <w:r>
        <w:rPr>
          <w:rFonts w:ascii="Arial" w:cs="Arial" w:eastAsia="Arial" w:hAnsi="Arial"/>
          <w:sz w:val="18"/>
          <w:szCs w:val="18"/>
          <w:i w:val="1"/>
          <w:iCs w:val="1"/>
          <w:color w:val="auto"/>
        </w:rPr>
        <w:t>BRCA1/2</w:t>
      </w:r>
      <w:r>
        <w:rPr>
          <w:rFonts w:ascii="Arial" w:cs="Arial" w:eastAsia="Arial" w:hAnsi="Arial"/>
          <w:sz w:val="18"/>
          <w:szCs w:val="18"/>
          <w:color w:val="auto"/>
        </w:rPr>
        <w:t>. Other genetic and epigenetic events can also result in inactivation of various homologous recombination repair components, leading to HRD+ in</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Arial" w:cs="Arial" w:eastAsia="Arial" w:hAnsi="Arial"/>
          <w:sz w:val="18"/>
          <w:szCs w:val="18"/>
          <w:i w:val="1"/>
          <w:iCs w:val="1"/>
          <w:color w:val="auto"/>
        </w:rPr>
        <w:t>BRCA1/2</w:t>
      </w:r>
      <w:r>
        <w:rPr>
          <w:rFonts w:ascii="Arial" w:cs="Arial" w:eastAsia="Arial" w:hAnsi="Arial"/>
          <w:sz w:val="18"/>
          <w:szCs w:val="18"/>
          <w:color w:val="auto"/>
        </w:rPr>
        <w:t xml:space="preserve"> mutated cancers.</w:t>
      </w:r>
    </w:p>
    <w:p>
      <w:pPr>
        <w:spacing w:after="0" w:line="184"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7"/>
          <w:szCs w:val="17"/>
          <w:color w:val="auto"/>
        </w:rPr>
        <w:t xml:space="preserve">Germline </w:t>
      </w:r>
      <w:r>
        <w:rPr>
          <w:rFonts w:ascii="Arial" w:cs="Arial" w:eastAsia="Arial" w:hAnsi="Arial"/>
          <w:sz w:val="17"/>
          <w:szCs w:val="17"/>
          <w:i w:val="1"/>
          <w:iCs w:val="1"/>
          <w:color w:val="auto"/>
        </w:rPr>
        <w:t>BRCA1/2</w:t>
      </w:r>
      <w:r>
        <w:rPr>
          <w:rFonts w:ascii="Arial" w:cs="Arial" w:eastAsia="Arial" w:hAnsi="Arial"/>
          <w:sz w:val="17"/>
          <w:szCs w:val="17"/>
          <w:color w:val="auto"/>
        </w:rPr>
        <w:t xml:space="preserve"> mutations resulting in HRD+ occur in 13% and 15% of ovarian and triple negative breast cancers. Furthermore, 50% and 40% of ovarian and TNBC, respectively, are characterized by harboring HRD+ in the absence of germline </w:t>
      </w:r>
      <w:r>
        <w:rPr>
          <w:rFonts w:ascii="Arial" w:cs="Arial" w:eastAsia="Arial" w:hAnsi="Arial"/>
          <w:sz w:val="17"/>
          <w:szCs w:val="17"/>
          <w:i w:val="1"/>
          <w:iCs w:val="1"/>
          <w:color w:val="auto"/>
        </w:rPr>
        <w:t>BRCA1/2</w:t>
      </w:r>
      <w:r>
        <w:rPr>
          <w:rFonts w:ascii="Arial" w:cs="Arial" w:eastAsia="Arial" w:hAnsi="Arial"/>
          <w:sz w:val="17"/>
          <w:szCs w:val="17"/>
          <w:color w:val="auto"/>
        </w:rPr>
        <w:t xml:space="preserve"> mutations. Additionally, 10–12% of advanced prostate cancer harbor germline or somatic </w:t>
      </w:r>
      <w:r>
        <w:rPr>
          <w:rFonts w:ascii="Arial" w:cs="Arial" w:eastAsia="Arial" w:hAnsi="Arial"/>
          <w:sz w:val="17"/>
          <w:szCs w:val="17"/>
          <w:i w:val="1"/>
          <w:iCs w:val="1"/>
          <w:color w:val="auto"/>
        </w:rPr>
        <w:t>BRCA2</w:t>
      </w:r>
      <w:r>
        <w:rPr>
          <w:rFonts w:ascii="Arial" w:cs="Arial" w:eastAsia="Arial" w:hAnsi="Arial"/>
          <w:sz w:val="17"/>
          <w:szCs w:val="17"/>
          <w:color w:val="auto"/>
        </w:rPr>
        <w:t xml:space="preserve"> inactivation and up to 25% contain a DNA repair defect.</w:t>
      </w:r>
    </w:p>
    <w:p>
      <w:pPr>
        <w:spacing w:after="0" w:line="165"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i w:val="1"/>
          <w:iCs w:val="1"/>
          <w:color w:val="auto"/>
        </w:rPr>
        <w:t>BRCA1/2</w:t>
      </w:r>
      <w:r>
        <w:rPr>
          <w:rFonts w:ascii="Arial" w:cs="Arial" w:eastAsia="Arial" w:hAnsi="Arial"/>
          <w:sz w:val="18"/>
          <w:szCs w:val="18"/>
          <w:color w:val="auto"/>
        </w:rPr>
        <w:t>-mutant cancers are sensitive to PARP inhibitors, a class of drugs that block single-strand break DNA repair, favoring accumulation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double-strand breaks that tumors harboring HRD+ cannot repair. Several PARP inhibitors have been approved for the treatment of HRD+ ovarian, breast, prostate, and pancreatic cancers and generated over $1.6 billion of revenue in 2019. There are currently no approved therapies for patients who progress on PARP inhibitors.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Myelofibrosis (MF)</w:t>
      </w:r>
    </w:p>
    <w:p>
      <w:pPr>
        <w:spacing w:after="0" w:line="117" w:lineRule="exact"/>
        <w:rPr>
          <w:sz w:val="20"/>
          <w:szCs w:val="20"/>
          <w:color w:val="auto"/>
        </w:rPr>
      </w:pPr>
    </w:p>
    <w:p>
      <w:pPr>
        <w:ind w:right="80" w:firstLine="478"/>
        <w:spacing w:after="0" w:line="291" w:lineRule="auto"/>
        <w:rPr>
          <w:sz w:val="20"/>
          <w:szCs w:val="20"/>
          <w:color w:val="auto"/>
        </w:rPr>
      </w:pPr>
      <w:r>
        <w:rPr>
          <w:rFonts w:ascii="Arial" w:cs="Arial" w:eastAsia="Arial" w:hAnsi="Arial"/>
          <w:sz w:val="16"/>
          <w:szCs w:val="16"/>
          <w:color w:val="auto"/>
        </w:rPr>
        <w:t>Myelofibrosis is part of a group of progressive blood cancers known as MPN. Approximately two-thirds of the 16,000-18,500 MF patients in the United States are classified as intermediate / high risk and are therefore eligible for systemic treatment. MF is associated with significantly reduced quality of life and shortened survival. As the disease progresses and the bone marrow produces fewer red blood cells, patients experience thrombocytopenia (low platelet counts) and anemia (low red blood cell counts) requiring increasing blood transfusions. Patients with MF suffer from multiple physical symptoms including splenic enlargement, excessive sweating, shortness of breath, bone pain, and fatigue. Demonstrated improvement in the Myelofibrosis Symptom Assessment Form TSS, which is comprised of six specific symptoms associated with MF (abdominal discomfort, pain under the left ribs, an early feeling of fullness, night sweats, bone and muscle pain and itching), has served as a key clinical endpoint in MF trials.</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current standard of care therapy for intermediate- and high-risk MF patients is ruxolitinib, a JAK1/JAK2 inhibitor that inhibits dysregulated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JAK. Ruxolitinib revenues in MF were $1.6 billion in 2019. However, patients with anemia and/or thrombocytopenia are ineligible to receive ruxolitinib.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Additionally, most patients will experience disease progression on ruxolitinib within three to five years.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6" w:name="page27"/>
    <w:bookmarkEnd w:id="26"/>
    <w:p>
      <w:pPr>
        <w:ind w:left="480"/>
        <w:spacing w:after="0"/>
        <w:rPr>
          <w:sz w:val="20"/>
          <w:szCs w:val="20"/>
          <w:color w:val="auto"/>
        </w:rPr>
      </w:pPr>
      <w:r>
        <w:rPr>
          <w:rFonts w:ascii="Arial" w:cs="Arial" w:eastAsia="Arial" w:hAnsi="Arial"/>
          <w:sz w:val="18"/>
          <w:szCs w:val="18"/>
          <w:b w:val="1"/>
          <w:bCs w:val="1"/>
          <w:i w:val="1"/>
          <w:iCs w:val="1"/>
          <w:color w:val="auto"/>
        </w:rPr>
        <w:t>Myelodysplastic Syndromes (MDS)</w:t>
      </w:r>
    </w:p>
    <w:p>
      <w:pPr>
        <w:spacing w:after="0" w:line="117" w:lineRule="exact"/>
        <w:rPr>
          <w:sz w:val="20"/>
          <w:szCs w:val="20"/>
          <w:color w:val="auto"/>
        </w:rPr>
      </w:pPr>
    </w:p>
    <w:p>
      <w:pPr>
        <w:ind w:right="160" w:firstLine="478"/>
        <w:spacing w:after="0" w:line="259" w:lineRule="auto"/>
        <w:rPr>
          <w:sz w:val="20"/>
          <w:szCs w:val="20"/>
          <w:color w:val="auto"/>
        </w:rPr>
      </w:pPr>
      <w:r>
        <w:rPr>
          <w:rFonts w:ascii="Arial" w:cs="Arial" w:eastAsia="Arial" w:hAnsi="Arial"/>
          <w:sz w:val="18"/>
          <w:szCs w:val="18"/>
          <w:color w:val="auto"/>
        </w:rPr>
        <w:t>Myelodysplastic syndromes are a group of blood disorders in which bone marrow becomes dysplastic or defective. The affected bone marrow produces aberrant blood cells, resulting in cytopenias (low healthy blood cell counts) that require transfusions. Bone marrow failure is progressive, and in advanced stages of the disease, blasts (immature blood cells) leave the bone marrow and enter the blood stream, leading to AML in approximately one-third of patients.</w:t>
      </w:r>
    </w:p>
    <w:p>
      <w:pPr>
        <w:spacing w:after="0" w:line="187" w:lineRule="exact"/>
        <w:rPr>
          <w:sz w:val="20"/>
          <w:szCs w:val="20"/>
          <w:color w:val="auto"/>
        </w:rPr>
      </w:pPr>
    </w:p>
    <w:p>
      <w:pPr>
        <w:ind w:right="200" w:firstLine="478"/>
        <w:spacing w:after="0" w:line="259" w:lineRule="auto"/>
        <w:rPr>
          <w:sz w:val="20"/>
          <w:szCs w:val="20"/>
          <w:color w:val="auto"/>
        </w:rPr>
      </w:pPr>
      <w:r>
        <w:rPr>
          <w:rFonts w:ascii="Arial" w:cs="Arial" w:eastAsia="Arial" w:hAnsi="Arial"/>
          <w:sz w:val="18"/>
          <w:szCs w:val="18"/>
          <w:color w:val="auto"/>
        </w:rPr>
        <w:t>The American Cancer Society estimates the annual incidence of MDS to be more than 10,000 cases, and studies suggest the prevalence of MDS to be more than 60,000 cases in the United States. Various risk criteria are used to stratify MDS patients, including the French-American-British classifications and the Revised International Prognostic Scoring System, with higher risk MDS patients having a median survival of less than two years. Approximately one-third of MDS patients in the United States are classified as higher risk.</w:t>
      </w:r>
    </w:p>
    <w:p>
      <w:pPr>
        <w:spacing w:after="0" w:line="187"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The standard of care treatment for higher risk MDS includes hypomethylating drugs azacitidine and/or decitabine. A significant number of higher risk MDS patients fail or cannot tolerate treatment with azacitidine or decitabine, and almost all patients who initially respond to therapy eventually relapse. Median survival time of MDS patients who have progressed on hypomethylating drugs is less than six months.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Uveal Melanoma (UM)</w:t>
      </w:r>
    </w:p>
    <w:p>
      <w:pPr>
        <w:spacing w:after="0" w:line="117" w:lineRule="exact"/>
        <w:rPr>
          <w:sz w:val="20"/>
          <w:szCs w:val="20"/>
          <w:color w:val="auto"/>
        </w:rPr>
      </w:pPr>
    </w:p>
    <w:p>
      <w:pPr>
        <w:ind w:right="480" w:firstLine="478"/>
        <w:spacing w:after="0" w:line="277" w:lineRule="auto"/>
        <w:rPr>
          <w:sz w:val="20"/>
          <w:szCs w:val="20"/>
          <w:color w:val="auto"/>
        </w:rPr>
      </w:pPr>
      <w:r>
        <w:rPr>
          <w:rFonts w:ascii="Arial" w:cs="Arial" w:eastAsia="Arial" w:hAnsi="Arial"/>
          <w:sz w:val="18"/>
          <w:szCs w:val="18"/>
          <w:color w:val="auto"/>
        </w:rPr>
        <w:t>Uveal melanoma, or UM, is the most common primary intraocular malignancy in adults and comprises 5% of all melanomas. UM is an orphan disease with an estimated annual incidence in the United States and Europe of 6 per million population per year.</w:t>
      </w:r>
    </w:p>
    <w:p>
      <w:pPr>
        <w:spacing w:after="0" w:line="170" w:lineRule="exact"/>
        <w:rPr>
          <w:sz w:val="20"/>
          <w:szCs w:val="20"/>
          <w:color w:val="auto"/>
        </w:rPr>
      </w:pPr>
    </w:p>
    <w:p>
      <w:pPr>
        <w:ind w:right="200" w:firstLine="478"/>
        <w:spacing w:after="0" w:line="257" w:lineRule="auto"/>
        <w:rPr>
          <w:sz w:val="20"/>
          <w:szCs w:val="20"/>
          <w:color w:val="auto"/>
        </w:rPr>
      </w:pPr>
      <w:r>
        <w:rPr>
          <w:rFonts w:ascii="Arial" w:cs="Arial" w:eastAsia="Arial" w:hAnsi="Arial"/>
          <w:sz w:val="18"/>
          <w:szCs w:val="18"/>
          <w:color w:val="auto"/>
        </w:rPr>
        <w:t>Localized treatment for UM, including radiotherapy, phototherapy, and local tumor resection, aims to preserve the eye and vision while preventing metastases. However, surgical removal of the eye can be indicated depending on the tumor size, position, and risk of metastasis. Almost 50% of patients with uveal melanoma will develop distant metastasis. The liver is the most common site of metastasis and is involved in 90% of patients who develop metastatic disease. The median survival of uveal melanoma patients with liver metastases is reported to be five to six months, with a one-year survival of 10% to 15%.</w:t>
      </w:r>
    </w:p>
    <w:p>
      <w:pPr>
        <w:spacing w:after="0" w:line="188" w:lineRule="exact"/>
        <w:rPr>
          <w:sz w:val="20"/>
          <w:szCs w:val="20"/>
          <w:color w:val="auto"/>
        </w:rPr>
      </w:pPr>
    </w:p>
    <w:p>
      <w:pPr>
        <w:ind w:right="160" w:firstLine="478"/>
        <w:spacing w:after="0" w:line="286" w:lineRule="auto"/>
        <w:rPr>
          <w:sz w:val="20"/>
          <w:szCs w:val="20"/>
          <w:color w:val="auto"/>
        </w:rPr>
      </w:pPr>
      <w:r>
        <w:rPr>
          <w:rFonts w:ascii="Arial" w:cs="Arial" w:eastAsia="Arial" w:hAnsi="Arial"/>
          <w:sz w:val="17"/>
          <w:szCs w:val="17"/>
          <w:color w:val="auto"/>
        </w:rPr>
        <w:t>While there have been numerous recent therapeutic advancements and approvals for patients with metastatic cutaneous melanoma, the situation for patients with metastatic uveal melanoma is quite different. Several targeted therapies and immunotherapies have been studied in patients with uveal melanoma; however, response rates have been low (&lt;10%) with median overall survival ranging from 4 to 15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PRT811</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478"/>
        <w:spacing w:after="0" w:line="296" w:lineRule="auto"/>
        <w:rPr>
          <w:sz w:val="20"/>
          <w:szCs w:val="20"/>
          <w:color w:val="auto"/>
        </w:rPr>
      </w:pPr>
      <w:r>
        <w:rPr>
          <w:rFonts w:ascii="Arial" w:cs="Arial" w:eastAsia="Arial" w:hAnsi="Arial"/>
          <w:sz w:val="16"/>
          <w:szCs w:val="16"/>
          <w:color w:val="auto"/>
        </w:rPr>
        <w:t>Our second PRMT5 inhibitor, PRT811 is currently advancing in the dose escalation portion of a Phase 1 clinical trial in solid tumors, including GBM and PCNSL. PRT811 is designed to be a highly potent, selective and orally bioavailable molecule optimized for high brain exposure and hence we believe is uniquely positioned to treat PRMT5-sensitive CNS cancers. Upon characterizing PK, PD and safety profile and selecting a recommended dose, we plan to begin enrolling patients, including patients with GBM and other CNS cancers determined to be sensitive to PRMT5 inhibition, in the expansion portion of the clinical trial. We expect these expansions to initiate by mid-2021 and anticipate initial clinical results from this trial by the end of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 vitro potency and selectivity</w:t>
      </w:r>
    </w:p>
    <w:p>
      <w:pPr>
        <w:spacing w:after="0" w:line="117" w:lineRule="exact"/>
        <w:rPr>
          <w:sz w:val="20"/>
          <w:szCs w:val="20"/>
          <w:color w:val="auto"/>
        </w:rPr>
      </w:pPr>
    </w:p>
    <w:p>
      <w:pPr>
        <w:ind w:right="100" w:firstLine="478"/>
        <w:spacing w:after="0" w:line="279" w:lineRule="auto"/>
        <w:rPr>
          <w:sz w:val="20"/>
          <w:szCs w:val="20"/>
          <w:color w:val="auto"/>
        </w:rPr>
      </w:pPr>
      <w:r>
        <w:rPr>
          <w:rFonts w:ascii="Arial" w:cs="Arial" w:eastAsia="Arial" w:hAnsi="Arial"/>
          <w:sz w:val="17"/>
          <w:szCs w:val="17"/>
          <w:color w:val="auto"/>
        </w:rPr>
        <w:t xml:space="preserve">We investigated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potency of PRT811 to inhibit the methyltransferase activity of human recombinant PRMT5 by measuring its IC50. In this assay, we observed the IC50 of PRT811 to be 3.9 nM. We also investigated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selectivity of PRT811 for PRMT5 as compared to a panel of 36 other human methyltransferases. When tested at a concentration &gt;1,000 times above its IC50 for PRMT5, we observed that PRT811 exhibited minimal inhibition of PRMT7 (53.9% at 10 µM) and no inhibition of any other human methyltransferase tested.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right="80" w:firstLine="478"/>
        <w:spacing w:after="0" w:line="257" w:lineRule="auto"/>
        <w:rPr>
          <w:sz w:val="20"/>
          <w:szCs w:val="20"/>
          <w:color w:val="auto"/>
        </w:rPr>
      </w:pPr>
      <w:r>
        <w:rPr>
          <w:rFonts w:ascii="Arial" w:cs="Arial" w:eastAsia="Arial" w:hAnsi="Arial"/>
          <w:sz w:val="18"/>
          <w:szCs w:val="18"/>
          <w:color w:val="auto"/>
        </w:rPr>
        <w:t xml:space="preserve">We determined the potency of PRT811 to inhibit PRMT5 in cells by measuring levels sDMA, a direct measure of PRMT5 activity. Tumor cell lines were treated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various concentrations of PRT811 for three days and the PRT811 IC50 value to inhibit sDMA determined. We observed that PRT811 potently and dose-dependently reduced sDMA levels in the U87 glioblastoma cell line with an IC50 value of 17 nM (Figure 14). The potency of PRT811 in blocking sDMA levels was confirmed in 11 additional cell lines, with IC50 values in the range of 7-40 nM. These data demonstrate on-target effects of PRT811 in cells.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Figure 14. PRT811 is Highly Selective and Demonstrated Potent Inhibition of sDMA in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611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firstLine="478"/>
        <w:spacing w:after="0" w:line="277" w:lineRule="auto"/>
        <w:rPr>
          <w:sz w:val="20"/>
          <w:szCs w:val="20"/>
          <w:color w:val="auto"/>
        </w:rPr>
      </w:pPr>
      <w:r>
        <w:rPr>
          <w:rFonts w:ascii="Arial" w:cs="Arial" w:eastAsia="Arial" w:hAnsi="Arial"/>
          <w:sz w:val="18"/>
          <w:szCs w:val="18"/>
          <w:color w:val="auto"/>
        </w:rPr>
        <w:t>Concentration-dependent inhibition of cellular sDMA by PRT811 in U-87 MG cells following three days of treatment in culture. sDMA IC50=17 ± 1 nM (n=12).</w:t>
      </w:r>
    </w:p>
    <w:p>
      <w:pPr>
        <w:spacing w:after="0" w:line="170"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 xml:space="preserve">We investigated the potency of PRT811 to inhibit the proliferation of a panel of cell lines representative of brain cancers as well as cancers known to have a high rate of brain metastasis (breast, lung, melanoma and hematological malignancies including lymphoma). Tumor cell lines were treated with various concentrations of PRT811 and the number of viable cells was measured after ten days in culture. Consistent with its effects in blocking sDMA levels, PRT811 inhibited the growth of the majority of cell lines in the panel with nanomolar potencies, demonstrating its broad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15).</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u w:val="single" w:color="auto"/>
          <w:color w:val="auto"/>
        </w:rPr>
        <w:t>Figure 15. Broad Antiproliferative Activity of PRT811 in a Cancer Cell Line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057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firstLine="478"/>
        <w:spacing w:after="0" w:line="277" w:lineRule="auto"/>
        <w:rPr>
          <w:sz w:val="20"/>
          <w:szCs w:val="20"/>
          <w:color w:val="auto"/>
        </w:rPr>
      </w:pPr>
      <w:r>
        <w:rPr>
          <w:rFonts w:ascii="Arial" w:cs="Arial" w:eastAsia="Arial" w:hAnsi="Arial"/>
          <w:sz w:val="18"/>
          <w:szCs w:val="18"/>
          <w:color w:val="auto"/>
        </w:rPr>
        <w:t>Waterfall plot showing anti-proliferative activity of PRT811 against a panel of 87 cell lines. Cell panel consists of brain cancer cell lines, as well as breast, lung, and melanoma cells lines, the predominant cancer types that metastasize to the brain.</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Preclinical pharmacokinetic profile</w:t>
      </w:r>
    </w:p>
    <w:p>
      <w:pPr>
        <w:spacing w:after="0" w:line="117"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 xml:space="preserve">The PK profile of PRT811 was characterized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multiple preclinical species including rat, dog and monkey. PRT811 was observed to have good oral bioavailability and high permeability and was not a substrate for P-glycoprotein, or P-gp, and other efflux mechanisms that typically result in low brain exposure. These data suggest PRT811 is not likely to have high efflux out of the brain due to transporters such as P-gp, an important feature of brain penetrant compounds. Accordingly, we observed that the brain exposure of PRT811 in rats after an IV infusion was high with an approximate brain/plasma ratio of two (Table 4). Although both compounds have equivalent potency to inhibit GBM cell line U87 proliferation, the brain:plasma ratio was approximately 100x higher for PRT811 compared to the GSK PRMT5 inhibitor currently in development, providing a clear differentiation for PRT811.</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Table 4. Comparison of Cellular Potency and Brain to Plasma Ratio of PRT811 vs. GSK3326595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577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 xml:space="preserve">Concentration-dependent inhibition of U87 glioblastoma tumor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following 10 days of treatment with PRT811 or GSK3326595. Concentration (total) of PRT811 and GSK3326595 in rat plasma and brain following a 4-h IV infusion at 5 mL/h/kg. Data are expressed as mean concentration (±SD) in naïve male animals (n = 3 per time point).</w:t>
      </w:r>
    </w:p>
    <w:p>
      <w:pPr>
        <w:spacing w:after="0" w:line="184" w:lineRule="exact"/>
        <w:rPr>
          <w:sz w:val="20"/>
          <w:szCs w:val="20"/>
          <w:color w:val="auto"/>
        </w:rPr>
      </w:pPr>
    </w:p>
    <w:p>
      <w:pPr>
        <w:ind w:right="120" w:firstLine="478"/>
        <w:spacing w:after="0" w:line="301" w:lineRule="auto"/>
        <w:rPr>
          <w:sz w:val="20"/>
          <w:szCs w:val="20"/>
          <w:color w:val="auto"/>
        </w:rPr>
      </w:pPr>
      <w:r>
        <w:rPr>
          <w:rFonts w:ascii="Arial" w:cs="Arial" w:eastAsia="Arial" w:hAnsi="Arial"/>
          <w:sz w:val="16"/>
          <w:szCs w:val="16"/>
          <w:color w:val="auto"/>
        </w:rPr>
        <w:t xml:space="preserve">The ability of a compound to effectively achieve high brain exposures has been highlighted most recently by the significantly improved activity of brain penetrant kinase inhibitors compared to their non-brain penetrant counterparts in patients with CNS cancers or with CNS metastasis. In addition, a clear role for PRMT5 inhibition in CNS cancers such as glioblastoma has been demonstrated in preclinical models. Glioblastoma has been shown to be highly dependent on correct mRNA splicing for growth and to have alterations in </w:t>
      </w:r>
      <w:r>
        <w:rPr>
          <w:rFonts w:ascii="Arial" w:cs="Arial" w:eastAsia="Arial" w:hAnsi="Arial"/>
          <w:sz w:val="16"/>
          <w:szCs w:val="16"/>
          <w:i w:val="1"/>
          <w:iCs w:val="1"/>
          <w:color w:val="auto"/>
        </w:rPr>
        <w:t>MTAP</w:t>
      </w:r>
      <w:r>
        <w:rPr>
          <w:rFonts w:ascii="Arial" w:cs="Arial" w:eastAsia="Arial" w:hAnsi="Arial"/>
          <w:sz w:val="16"/>
          <w:szCs w:val="16"/>
          <w:color w:val="auto"/>
        </w:rPr>
        <w:t xml:space="preserve"> and </w:t>
      </w:r>
      <w:r>
        <w:rPr>
          <w:rFonts w:ascii="Arial" w:cs="Arial" w:eastAsia="Arial" w:hAnsi="Arial"/>
          <w:sz w:val="16"/>
          <w:szCs w:val="16"/>
          <w:i w:val="1"/>
          <w:iCs w:val="1"/>
          <w:color w:val="auto"/>
        </w:rPr>
        <w:t>cyclin D1</w:t>
      </w:r>
      <w:r>
        <w:rPr>
          <w:rFonts w:ascii="Arial" w:cs="Arial" w:eastAsia="Arial" w:hAnsi="Arial"/>
          <w:sz w:val="16"/>
          <w:szCs w:val="16"/>
          <w:color w:val="auto"/>
        </w:rPr>
        <w:t>, all markers of enhanced sensitivity to PRMT5</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9" w:name="page30"/>
    <w:bookmarkEnd w:id="29"/>
    <w:p>
      <w:pPr>
        <w:ind w:right="80"/>
        <w:spacing w:after="0" w:line="277" w:lineRule="auto"/>
        <w:rPr>
          <w:sz w:val="20"/>
          <w:szCs w:val="20"/>
          <w:color w:val="auto"/>
        </w:rPr>
      </w:pPr>
      <w:r>
        <w:rPr>
          <w:rFonts w:ascii="Arial" w:cs="Arial" w:eastAsia="Arial" w:hAnsi="Arial"/>
          <w:sz w:val="18"/>
          <w:szCs w:val="18"/>
          <w:color w:val="auto"/>
        </w:rPr>
        <w:t>inhibition. High PRMT5 expression has been shown to reduce GBM median survival from over 700 days to approximately 100 days. Together, these data provide a clear rationale for selecting PRT811 for development in CNS cancers.</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PRT811 activity in models for GBM</w:t>
      </w:r>
    </w:p>
    <w:p>
      <w:pPr>
        <w:spacing w:after="0" w:line="117" w:lineRule="exact"/>
        <w:rPr>
          <w:sz w:val="20"/>
          <w:szCs w:val="20"/>
          <w:color w:val="auto"/>
        </w:rPr>
      </w:pPr>
    </w:p>
    <w:p>
      <w:pPr>
        <w:ind w:firstLine="478"/>
        <w:spacing w:after="0" w:line="275" w:lineRule="auto"/>
        <w:rPr>
          <w:sz w:val="20"/>
          <w:szCs w:val="20"/>
          <w:color w:val="auto"/>
        </w:rPr>
      </w:pPr>
      <w:r>
        <w:rPr>
          <w:rFonts w:ascii="Arial" w:cs="Arial" w:eastAsia="Arial" w:hAnsi="Arial"/>
          <w:sz w:val="17"/>
          <w:szCs w:val="17"/>
          <w:i w:val="1"/>
          <w:iCs w:val="1"/>
          <w:color w:val="auto"/>
        </w:rPr>
        <w:t>In vivo</w:t>
      </w:r>
      <w:r>
        <w:rPr>
          <w:rFonts w:ascii="Arial" w:cs="Arial" w:eastAsia="Arial" w:hAnsi="Arial"/>
          <w:sz w:val="17"/>
          <w:szCs w:val="17"/>
          <w:color w:val="auto"/>
        </w:rPr>
        <w:t>, we investigated the ability of PRT811 to reduce sDMA levels in tumor tissues in the U-87MG GBM xenograft tumor model. Tumor-bearing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mice were dosed orally once daily for 25 days with either 20 or 30 mg/kg of PRT811. PRT811 at both dose levels demonstrated significant anti-tumor activity in the U-87MG model with 91% inhibition at the 20 mg/kg dose and 100% inhibition at the 30 mg/kg dose (Figure 16). At the 20 mg/kg dose, the plasma concentrations of PRT811 were above the protein binding adjusted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IC50 value observed in the sDMA cellular assay for approximately six hours, suggesting that continual enzyme inhibition is not required for activity in the model.</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Figure 16. PRT811 Inhibited Tumor Growth in the U-87MG Subcutaneous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8605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firstLine="478"/>
        <w:spacing w:after="0" w:line="263" w:lineRule="auto"/>
        <w:rPr>
          <w:sz w:val="20"/>
          <w:szCs w:val="20"/>
          <w:color w:val="auto"/>
        </w:rPr>
      </w:pPr>
      <w:r>
        <w:rPr>
          <w:rFonts w:ascii="Arial" w:cs="Arial" w:eastAsia="Arial" w:hAnsi="Arial"/>
          <w:sz w:val="18"/>
          <w:szCs w:val="18"/>
          <w:color w:val="auto"/>
        </w:rPr>
        <w:t xml:space="preserve">Nude rats bearing subcutaneously implanted U-87 MG tumors were dosed orally with 20 or 30 mg/kg PRT811 q.d.. Significant antitumor activities were observed at both doses (tumor regression for 30 mg/kg). *: </w:t>
      </w:r>
      <w:r>
        <w:rPr>
          <w:rFonts w:ascii="Arial" w:cs="Arial" w:eastAsia="Arial" w:hAnsi="Arial"/>
          <w:sz w:val="18"/>
          <w:szCs w:val="18"/>
          <w:i w:val="1"/>
          <w:iCs w:val="1"/>
          <w:color w:val="auto"/>
        </w:rPr>
        <w:t>P</w:t>
      </w:r>
      <w:r>
        <w:rPr>
          <w:rFonts w:ascii="Arial" w:cs="Arial" w:eastAsia="Arial" w:hAnsi="Arial"/>
          <w:sz w:val="18"/>
          <w:szCs w:val="18"/>
          <w:color w:val="auto"/>
        </w:rPr>
        <w:t xml:space="preserve">&lt; 0.05; **: </w:t>
      </w:r>
      <w:r>
        <w:rPr>
          <w:rFonts w:ascii="Arial" w:cs="Arial" w:eastAsia="Arial" w:hAnsi="Arial"/>
          <w:sz w:val="18"/>
          <w:szCs w:val="18"/>
          <w:i w:val="1"/>
          <w:iCs w:val="1"/>
          <w:color w:val="auto"/>
        </w:rPr>
        <w:t>P</w:t>
      </w:r>
      <w:r>
        <w:rPr>
          <w:rFonts w:ascii="Arial" w:cs="Arial" w:eastAsia="Arial" w:hAnsi="Arial"/>
          <w:sz w:val="18"/>
          <w:szCs w:val="18"/>
          <w:color w:val="auto"/>
        </w:rPr>
        <w:t>&lt; 0.01. Student’s t test, 2 tailed. N=8/arm mg/kg, milligrams/kilogram; PO, oral; q.d., once daily; SEM, standard error of the mean.</w:t>
      </w:r>
    </w:p>
    <w:p>
      <w:pPr>
        <w:spacing w:after="0" w:line="184" w:lineRule="exact"/>
        <w:rPr>
          <w:sz w:val="20"/>
          <w:szCs w:val="20"/>
          <w:color w:val="auto"/>
        </w:rPr>
      </w:pPr>
    </w:p>
    <w:p>
      <w:pPr>
        <w:ind w:right="60" w:firstLine="478"/>
        <w:spacing w:after="0" w:line="296" w:lineRule="auto"/>
        <w:rPr>
          <w:sz w:val="20"/>
          <w:szCs w:val="20"/>
          <w:color w:val="auto"/>
        </w:rPr>
      </w:pPr>
      <w:r>
        <w:rPr>
          <w:rFonts w:ascii="Arial" w:cs="Arial" w:eastAsia="Arial" w:hAnsi="Arial"/>
          <w:sz w:val="16"/>
          <w:szCs w:val="16"/>
          <w:color w:val="auto"/>
        </w:rPr>
        <w:t>Since PRT811 was shown to have brain penetration, the effects of PRT811 treatment on sDMA levels in an orthotopic U-87MG model were also assessed. In this model, the U87 glioblastoma cells were implanted directly in the brain. This model requires compound penetration into the brain in order for the compound to inhibit tumor growth. PRT811 was dosed orally once daily for seven days at 80 mg/kg and sDMA levels measured by immunohistochemistry in the brain tumor tissues. We observed that PRT811 reduced sDMA levels in brain tumor tissues by approximately 50% (Figure 17), indicating that it effectively penetrated the brain tumor tissue and inhibited cellular PRMT5 activity in the brain tumor.</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Figure 17. PRT811 Decreased sDMA Levels in the U87 Orthotopic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440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firstLine="478"/>
        <w:spacing w:after="0" w:line="277" w:lineRule="auto"/>
        <w:rPr>
          <w:sz w:val="20"/>
          <w:szCs w:val="20"/>
          <w:color w:val="auto"/>
        </w:rPr>
      </w:pPr>
      <w:r>
        <w:rPr>
          <w:rFonts w:ascii="Arial" w:cs="Arial" w:eastAsia="Arial" w:hAnsi="Arial"/>
          <w:sz w:val="18"/>
          <w:szCs w:val="18"/>
          <w:color w:val="auto"/>
        </w:rPr>
        <w:t>Mice bearing orthotopic U-87 MG tumors were treated with vehicle or PRT811 (80 mg/kg, BID) for one week. Whole brain sections (FFPE) were stained with H&amp;E or sDMA antibody.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0" w:name="page31"/>
    <w:bookmarkEnd w:id="30"/>
    <w:p>
      <w:pPr>
        <w:jc w:val="both"/>
        <w:ind w:right="40" w:firstLine="478"/>
        <w:spacing w:after="0" w:line="263" w:lineRule="auto"/>
        <w:rPr>
          <w:sz w:val="20"/>
          <w:szCs w:val="20"/>
          <w:color w:val="auto"/>
        </w:rPr>
      </w:pPr>
      <w:r>
        <w:rPr>
          <w:rFonts w:ascii="Arial" w:cs="Arial" w:eastAsia="Arial" w:hAnsi="Arial"/>
          <w:sz w:val="18"/>
          <w:szCs w:val="18"/>
          <w:color w:val="auto"/>
        </w:rPr>
        <w:t xml:space="preserve">In summary, PRT811 was shown to have high brain exposure, to inhibit PRMT5 activity in a brain tumor model and to demonstrate significant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No evidence of CNS toxicity was observed in preclinical toxicology studies. Together, these data support the exploration of PRT811 in cancers, including in GBM, PCNSL and other CNS cancers.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Clinical Experience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All data are reflective of a data cutoff of September 1, 2020 unless otherwise stated.</w:t>
      </w:r>
    </w:p>
    <w:p>
      <w:pPr>
        <w:spacing w:after="0" w:line="225"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Data is available from 17 patients (ten with solid tumors, six with glioma, one with diagnosis pending) from the dose escalation portion of the ongoing Phase 1 clinical trial of monotherapy PRT811. The safety profile consists predominantly of Grades 1-2 adverse events and was similar across both solid tumor and glioma patients. As of September 1, 2020, no dose limiting toxicities have been seen. PK/PD analysis reveals dose-dependent increases in drug exposure across doses and schedules with associated decreases in sDMA levels. The dose escalation portion is ongoing. The dose expansion portion of the study is expected to begin in the second half of the year.</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Clinical Trial Design and Schema</w:t>
      </w:r>
    </w:p>
    <w:p>
      <w:pPr>
        <w:spacing w:after="0" w:line="117" w:lineRule="exact"/>
        <w:rPr>
          <w:sz w:val="20"/>
          <w:szCs w:val="20"/>
          <w:color w:val="auto"/>
        </w:rPr>
      </w:pPr>
    </w:p>
    <w:p>
      <w:pPr>
        <w:ind w:firstLine="478"/>
        <w:spacing w:after="0" w:line="279" w:lineRule="auto"/>
        <w:rPr>
          <w:sz w:val="20"/>
          <w:szCs w:val="20"/>
          <w:color w:val="auto"/>
        </w:rPr>
      </w:pPr>
      <w:r>
        <w:rPr>
          <w:rFonts w:ascii="Arial" w:cs="Arial" w:eastAsia="Arial" w:hAnsi="Arial"/>
          <w:sz w:val="17"/>
          <w:szCs w:val="17"/>
          <w:color w:val="auto"/>
        </w:rPr>
        <w:t>This is a multicenter, open-label, dose-escalation, dose-expansion Phase 1 clinical trial of PRT811. Enrollment into the dose escalation portion of the clinical trial includes patients with R/R solid tumors, PCNSL, and /or high-grade gliomas. Enrollment initiated in November 2019 and is being conducted across seven sites in the United States. We anticipate initiating enrollment of the dose expansion portion of the clinical trial in two patient cohorts consisting of patients with GBM and R/R PCNSL, respectively, by mid-2021. The total expected enrollment is approximately 60 patients.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Figure 18. PRT811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168910</wp:posOffset>
            </wp:positionV>
            <wp:extent cx="4354830" cy="1440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5483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Interim and Preliminary Clinical Data</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Interim and Preliminary Results: Dose Escalation</w:t>
      </w:r>
    </w:p>
    <w:p>
      <w:pPr>
        <w:spacing w:after="0" w:line="117" w:lineRule="exact"/>
        <w:rPr>
          <w:sz w:val="20"/>
          <w:szCs w:val="20"/>
          <w:color w:val="auto"/>
        </w:rPr>
      </w:pPr>
    </w:p>
    <w:p>
      <w:pPr>
        <w:ind w:right="140" w:firstLine="478"/>
        <w:spacing w:after="0" w:line="263" w:lineRule="auto"/>
        <w:rPr>
          <w:sz w:val="20"/>
          <w:szCs w:val="20"/>
          <w:color w:val="auto"/>
        </w:rPr>
      </w:pPr>
      <w:r>
        <w:rPr>
          <w:rFonts w:ascii="Arial" w:cs="Arial" w:eastAsia="Arial" w:hAnsi="Arial"/>
          <w:sz w:val="18"/>
          <w:szCs w:val="18"/>
          <w:color w:val="auto"/>
        </w:rPr>
        <w:t>As of September 1, 2020, the safety profile among 17 patients demonstrated that PRT811 has been well tolerated at the doses and schedule ranging from 15 mg to 200 mg (q.d. two weeks on/one week off). There were no deaths or study discontinuations related to PRT811. A total of five SAEs have been reported amongst five patients and of those, none were deemed related to PRT811.</w:t>
      </w:r>
    </w:p>
    <w:p>
      <w:pPr>
        <w:spacing w:after="0" w:line="184"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The most commonly reported adverse events, regardless of causality, include constipation (29.4%), nausea (23.5%), vomiting (11.8%) and hyponatremia (11.8%). When examining drug-related adverse events, nausea (17.6%) was most reported. It should be noted that the vast majority, 91.8%, of these adverse events were Grades 1-2 and adverse effects of this type and grade are routine amongst cancer patients and can be medically managed with relative ease.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dose limiting toxicities have been observed as of September 1, 2020.</w:t>
      </w:r>
    </w:p>
    <w:p>
      <w:pPr>
        <w:spacing w:after="0" w:line="225" w:lineRule="exact"/>
        <w:rPr>
          <w:sz w:val="20"/>
          <w:szCs w:val="20"/>
          <w:color w:val="auto"/>
        </w:rPr>
      </w:pPr>
    </w:p>
    <w:p>
      <w:pPr>
        <w:jc w:val="both"/>
        <w:ind w:right="60" w:firstLine="478"/>
        <w:spacing w:after="0" w:line="263" w:lineRule="auto"/>
        <w:rPr>
          <w:sz w:val="20"/>
          <w:szCs w:val="20"/>
          <w:color w:val="auto"/>
        </w:rPr>
      </w:pPr>
      <w:r>
        <w:rPr>
          <w:rFonts w:ascii="Arial" w:cs="Arial" w:eastAsia="Arial" w:hAnsi="Arial"/>
          <w:sz w:val="18"/>
          <w:szCs w:val="18"/>
          <w:color w:val="auto"/>
        </w:rPr>
        <w:t>Of the 17 patients including six GBM patients evaluated as of September 1, 2020, one patient has demonstrated evidence of tumor size reduction by MRI evaluation. This patient with recurrent GBM, who was originally diagnosed and treated with surgery and chemoradiation with Temodar in July 2019, presented with progressive disease in June 2020.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1" w:name="page32"/>
    <w:bookmarkEnd w:id="31"/>
    <w:p>
      <w:pPr>
        <w:ind w:right="20"/>
        <w:spacing w:after="0" w:line="291" w:lineRule="auto"/>
        <w:rPr>
          <w:sz w:val="20"/>
          <w:szCs w:val="20"/>
          <w:color w:val="auto"/>
        </w:rPr>
      </w:pPr>
      <w:r>
        <w:rPr>
          <w:rFonts w:ascii="Arial" w:cs="Arial" w:eastAsia="Arial" w:hAnsi="Arial"/>
          <w:sz w:val="16"/>
          <w:szCs w:val="16"/>
          <w:color w:val="auto"/>
        </w:rPr>
        <w:t>patient initiated study therapy with PRT811 in July 2020 and was placed into the 200 mg (q.d. two weeks on/one week off) dose cohort. The patient’s tumor is positive for IDH1(R132H) mutation and negative for methylation of O6-methylguanine-DNA methyltransferase (MGMT) promoter. Baseline MRI scans revealed a single target lesion, per response assessment in neuro-oncology (RANO) criteria, measuring 23 mm by 10 mm. In September 2020, we were notified that at the patient’s first follow-up scan performed on week seven, the lesion measured 13 mm by 6 mm, representing a 66% decrease from baseline. T2/FLAIR (fluid-attenuated inversion recovery) sequence, measured as a standard part of GBM MRI evaluation, was stable. The patient has not been treated with steroids or Avastin and their clinical status is stable. The patient remains on study with follow-up MRI evaluations to be conducted approximately every eight weeks. Figure 18.1 below shows baseline and the first follow up MRI images of the patient’s lesion.</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Figure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168910</wp:posOffset>
            </wp:positionV>
            <wp:extent cx="3651885" cy="2451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5188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Pharmacokinetic and Pharmacodynamic Data</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the data cutoff, preliminary PK data were available for 17 patients administered PRT811 at one schedule (q.d. two weeks on/one week 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 data are shown in Table 5.</w:t>
      </w:r>
    </w:p>
    <w:p>
      <w:pPr>
        <w:spacing w:after="0" w:line="211" w:lineRule="exact"/>
        <w:rPr>
          <w:sz w:val="20"/>
          <w:szCs w:val="20"/>
          <w:color w:val="auto"/>
        </w:rPr>
      </w:pPr>
    </w:p>
    <w:p>
      <w:pPr>
        <w:ind w:right="100" w:firstLine="478"/>
        <w:spacing w:after="0" w:line="293" w:lineRule="auto"/>
        <w:rPr>
          <w:sz w:val="20"/>
          <w:szCs w:val="20"/>
          <w:color w:val="auto"/>
        </w:rPr>
      </w:pPr>
      <w:r>
        <w:rPr>
          <w:rFonts w:ascii="Arial" w:cs="Arial" w:eastAsia="Arial" w:hAnsi="Arial"/>
          <w:sz w:val="16"/>
          <w:szCs w:val="16"/>
          <w:color w:val="auto"/>
        </w:rPr>
        <w:t xml:space="preserve">We observed that PRT811 demonstrated rapid absorption with dose-proportional increases in exposure. Half-life values for different doses are similar, ranging from two to four hours, as predicted by preclinical data. The maximum plasma concentration, or Cmax, at the 120 and 200 mg doses reached the estimated IC50 for PRMT5 inhibition. Consistent with the PK, the maximum sDMA inhibition observed, as an indicator of target engagement, was approximately 50% at the 120 and 200 mg dose levels. Based on the current PK and PD, two to three additional cohorts are anticipated, as originally planned, to reach the recommended expansion dose. Our preliminary PK data showed plasma levels at doses of 120 mg and above achieved the concentrations required to inhibit PRMT5 in our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and hence support continued clinical development.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Table 5. Preliminary Day 1 PRT811 Pharmacokinetics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Parameter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Doses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5200" w:type="dxa"/>
            <w:vAlign w:val="bottom"/>
          </w:tcPr>
          <w:p>
            <w:pPr>
              <w:spacing w:after="0"/>
              <w:rPr>
                <w:sz w:val="11"/>
                <w:szCs w:val="11"/>
                <w:color w:val="auto"/>
              </w:rPr>
            </w:pPr>
          </w:p>
        </w:tc>
        <w:tc>
          <w:tcPr>
            <w:tcW w:w="700" w:type="dxa"/>
            <w:vAlign w:val="bottom"/>
            <w:tcBorders>
              <w:top w:val="single" w:sz="8" w:color="auto"/>
            </w:tcBorders>
          </w:tcPr>
          <w:p>
            <w:pPr>
              <w:ind w:left="320"/>
              <w:spacing w:after="0" w:line="133" w:lineRule="exact"/>
              <w:rPr>
                <w:sz w:val="20"/>
                <w:szCs w:val="20"/>
                <w:color w:val="auto"/>
              </w:rPr>
            </w:pPr>
            <w:r>
              <w:rPr>
                <w:rFonts w:ascii="Arial" w:cs="Arial" w:eastAsia="Arial" w:hAnsi="Arial"/>
                <w:sz w:val="14"/>
                <w:szCs w:val="14"/>
                <w:b w:val="1"/>
                <w:bCs w:val="1"/>
                <w:color w:val="auto"/>
                <w:w w:val="88"/>
              </w:rPr>
              <w:t>15 mg</w:t>
            </w: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320"/>
              <w:spacing w:after="0" w:line="133" w:lineRule="exact"/>
              <w:rPr>
                <w:sz w:val="20"/>
                <w:szCs w:val="20"/>
                <w:color w:val="auto"/>
              </w:rPr>
            </w:pPr>
            <w:r>
              <w:rPr>
                <w:rFonts w:ascii="Arial" w:cs="Arial" w:eastAsia="Arial" w:hAnsi="Arial"/>
                <w:sz w:val="14"/>
                <w:szCs w:val="14"/>
                <w:b w:val="1"/>
                <w:bCs w:val="1"/>
                <w:color w:val="auto"/>
              </w:rPr>
              <w:t>30 mg</w:t>
            </w:r>
          </w:p>
        </w:tc>
        <w:tc>
          <w:tcPr>
            <w:tcW w:w="1240" w:type="dxa"/>
            <w:vAlign w:val="bottom"/>
            <w:tcBorders>
              <w:top w:val="single" w:sz="8" w:color="auto"/>
            </w:tcBorders>
            <w:gridSpan w:val="2"/>
          </w:tcPr>
          <w:p>
            <w:pPr>
              <w:ind w:left="320"/>
              <w:spacing w:after="0" w:line="133" w:lineRule="exact"/>
              <w:rPr>
                <w:sz w:val="20"/>
                <w:szCs w:val="20"/>
                <w:color w:val="auto"/>
              </w:rPr>
            </w:pPr>
            <w:r>
              <w:rPr>
                <w:rFonts w:ascii="Arial" w:cs="Arial" w:eastAsia="Arial" w:hAnsi="Arial"/>
                <w:sz w:val="14"/>
                <w:szCs w:val="14"/>
                <w:b w:val="1"/>
                <w:bCs w:val="1"/>
                <w:color w:val="auto"/>
              </w:rPr>
              <w:t>60 mg</w:t>
            </w:r>
          </w:p>
        </w:tc>
        <w:tc>
          <w:tcPr>
            <w:tcW w:w="122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120 mg</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200 mg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520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Arial" w:cs="Arial" w:eastAsia="Arial" w:hAnsi="Arial"/>
                <w:sz w:val="14"/>
                <w:szCs w:val="14"/>
                <w:b w:val="1"/>
                <w:bCs w:val="1"/>
                <w:color w:val="auto"/>
              </w:rPr>
              <w:t>(n=3)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(n=3)</w:t>
            </w: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(n=3)</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(n=4)</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(n=4)</w:t>
            </w:r>
          </w:p>
        </w:tc>
        <w:tc>
          <w:tcPr>
            <w:tcW w:w="20" w:type="dxa"/>
            <w:vAlign w:val="bottom"/>
          </w:tcPr>
          <w:p>
            <w:pPr>
              <w:spacing w:after="0"/>
              <w:rPr>
                <w:sz w:val="14"/>
                <w:szCs w:val="14"/>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Cmax (nM)</w:t>
            </w: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Tmax (h)</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AUC0-t (nM h)</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5900" w:type="dxa"/>
            <w:vAlign w:val="bottom"/>
            <w:gridSpan w:val="2"/>
          </w:tcPr>
          <w:p>
            <w:pPr>
              <w:ind w:left="554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5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2" w:name="page33"/>
    <w:bookmarkEnd w:id="32"/>
    <w:p>
      <w:pPr>
        <w:ind w:left="760"/>
        <w:spacing w:after="0"/>
        <w:rPr>
          <w:sz w:val="20"/>
          <w:szCs w:val="20"/>
          <w:color w:val="auto"/>
        </w:rPr>
      </w:pPr>
      <w:r>
        <w:rPr>
          <w:rFonts w:ascii="Arial" w:cs="Arial" w:eastAsia="Arial" w:hAnsi="Arial"/>
          <w:sz w:val="18"/>
          <w:szCs w:val="18"/>
          <w:b w:val="1"/>
          <w:bCs w:val="1"/>
          <w:i w:val="1"/>
          <w:iCs w:val="1"/>
          <w:color w:val="auto"/>
        </w:rPr>
        <w:t>Clinical Update as of December 16, 2020</w:t>
      </w:r>
    </w:p>
    <w:p>
      <w:pPr>
        <w:spacing w:after="0" w:line="144"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As of December 16, 2020, the Phase 1 clinical trial of PRT811 has enrolled 24 patients (eight with GBM, and 16 with advanced solid tumors). The overall safety profile is unchanged from the September 1, 2020 data cutoff. Four patients have each experienced one SAE, none of which were attributed to study therapy. No dose limiting toxicities have been observed as of December 16, 2020. There has been one patient that has discontinued study therapy due to transient Grade 2 nausea occurring immediately after ingestion of study therapy.</w:t>
      </w:r>
    </w:p>
    <w:p>
      <w:pPr>
        <w:spacing w:after="0" w:line="119"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300mg q.d. dose cohort is currently ongoing. We expect to initiate the expansion portion of the trial in cancers including GBM, PCNSL, and CNS metastatic solid tumors by mid-2021.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Addressable Oncology Market for PRT811</w:t>
      </w:r>
    </w:p>
    <w:p>
      <w:pPr>
        <w:spacing w:after="0" w:line="121" w:lineRule="exact"/>
        <w:rPr>
          <w:sz w:val="20"/>
          <w:szCs w:val="20"/>
          <w:color w:val="auto"/>
        </w:rPr>
      </w:pPr>
    </w:p>
    <w:p>
      <w:pPr>
        <w:ind w:right="20" w:firstLine="478"/>
        <w:spacing w:after="0" w:line="259" w:lineRule="auto"/>
        <w:rPr>
          <w:sz w:val="20"/>
          <w:szCs w:val="20"/>
          <w:color w:val="auto"/>
        </w:rPr>
      </w:pPr>
      <w:r>
        <w:rPr>
          <w:rFonts w:ascii="Arial" w:cs="Arial" w:eastAsia="Arial" w:hAnsi="Arial"/>
          <w:sz w:val="18"/>
          <w:szCs w:val="18"/>
          <w:color w:val="auto"/>
        </w:rPr>
        <w:t>Our clinical development strategy for PRT811 is to initially focus on CNS indications where there is a patient selection strategy along with a high unmet need, no approved therapies and opportunity to utilize early clinical data to design registrational trials. Based on these criteria, the following are examples of indications where we believe we have significant opportunity. Additionally, we may explore the activity of PRT811 in CNS metastatic disease, which impacts approximately 200,000 patients annually in the United States.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Glioblastoma multiforme (GBM)</w:t>
      </w:r>
    </w:p>
    <w:p>
      <w:pPr>
        <w:spacing w:after="0" w:line="117"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Glioblastoma multiforme is the most common malignant primary brain tumor making up 54% of all gliomas and 16% of all primary brain tumors. It is the most aggressive diffuse glioma tumor of astrocytic lineage and under WHO classification is considered a grade IV glioma. Each year, there are approximately 10,000 patients diagnosed with GBM in the United States. GBM remains an incurable tumor with a median survival of only 15 months. Fewer than five percent of GBM patients live beyond five years.</w:t>
      </w:r>
    </w:p>
    <w:p>
      <w:pPr>
        <w:spacing w:after="0" w:line="187"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GBMs can be classified into primary and secondary GBMs. Primary GBM occurs de novo without evidence of a less malignant precursor, whereas secondary GBM develops from initially low-grade diffuse astrocytoma (WHO grade II diffuse astrocytoma) or anaplastic astrocytoma (Grade III). The majority of GBMs (90%) are primary and patients with primary GBM tend to be older (mean age = 55 years) than those with secondary GBM (mean age = 40 years).</w:t>
      </w:r>
    </w:p>
    <w:p>
      <w:pPr>
        <w:spacing w:after="0" w:line="187" w:lineRule="exact"/>
        <w:rPr>
          <w:sz w:val="20"/>
          <w:szCs w:val="20"/>
          <w:color w:val="auto"/>
        </w:rPr>
      </w:pPr>
    </w:p>
    <w:p>
      <w:pPr>
        <w:ind w:right="300" w:firstLine="478"/>
        <w:spacing w:after="0" w:line="263" w:lineRule="auto"/>
        <w:rPr>
          <w:sz w:val="20"/>
          <w:szCs w:val="20"/>
          <w:color w:val="auto"/>
        </w:rPr>
      </w:pPr>
      <w:r>
        <w:rPr>
          <w:rFonts w:ascii="Arial" w:cs="Arial" w:eastAsia="Arial" w:hAnsi="Arial"/>
          <w:sz w:val="18"/>
          <w:szCs w:val="18"/>
          <w:color w:val="auto"/>
        </w:rPr>
        <w:t>Treatment is mainly palliative, initially consisting of surgical resection followed by radiation therapy and concurrent chemotherapy. Current therapies include GLIADEL Wafers (carmustine implant), TEMODAR (temozolomide) and AVASTIN (bevacizumab), which show virtually no overall survival benefit for recurrent tumors.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Primary CNS Lymphoma (PCNSL)</w:t>
      </w:r>
    </w:p>
    <w:p>
      <w:pPr>
        <w:spacing w:after="0" w:line="117" w:lineRule="exact"/>
        <w:rPr>
          <w:sz w:val="20"/>
          <w:szCs w:val="20"/>
          <w:color w:val="auto"/>
        </w:rPr>
      </w:pPr>
    </w:p>
    <w:p>
      <w:pPr>
        <w:ind w:right="260" w:firstLine="478"/>
        <w:spacing w:after="0" w:line="277" w:lineRule="auto"/>
        <w:rPr>
          <w:sz w:val="20"/>
          <w:szCs w:val="20"/>
          <w:color w:val="auto"/>
        </w:rPr>
      </w:pPr>
      <w:r>
        <w:rPr>
          <w:rFonts w:ascii="Arial" w:cs="Arial" w:eastAsia="Arial" w:hAnsi="Arial"/>
          <w:sz w:val="18"/>
          <w:szCs w:val="18"/>
          <w:color w:val="auto"/>
        </w:rPr>
        <w:t>Primary central nervous system lymphoma is a type of NHL in which malignant lymphatic cells form in the brain and/or spinal cord. PCNSL can also start in the eye (ocular lymphoma) and/or can involve the cerebrospinal fluid (leptomeningeal lymphoma).</w:t>
      </w:r>
    </w:p>
    <w:p>
      <w:pPr>
        <w:spacing w:after="0" w:line="170" w:lineRule="exact"/>
        <w:rPr>
          <w:sz w:val="20"/>
          <w:szCs w:val="20"/>
          <w:color w:val="auto"/>
        </w:rPr>
      </w:pPr>
    </w:p>
    <w:p>
      <w:pPr>
        <w:ind w:right="100" w:firstLine="478"/>
        <w:spacing w:after="0" w:line="286" w:lineRule="auto"/>
        <w:rPr>
          <w:sz w:val="20"/>
          <w:szCs w:val="20"/>
          <w:color w:val="auto"/>
        </w:rPr>
      </w:pPr>
      <w:r>
        <w:rPr>
          <w:rFonts w:ascii="Arial" w:cs="Arial" w:eastAsia="Arial" w:hAnsi="Arial"/>
          <w:sz w:val="17"/>
          <w:szCs w:val="17"/>
          <w:color w:val="auto"/>
        </w:rPr>
        <w:t>PCNSL is a rare malignancy with an annual incidence rate of seven cases per 1,000,000 people in the United States. PCNSL is relatively more common in immunosuppressed populations, particularly among people with human immunodeficiency virus, or HIV, infection or in solid organ transplant recipients. The median age of diagnosis is 55; the median age of HIV-infected patients with PCNSL is 35.</w:t>
      </w:r>
    </w:p>
    <w:p>
      <w:pPr>
        <w:spacing w:after="0" w:line="165" w:lineRule="exact"/>
        <w:rPr>
          <w:sz w:val="20"/>
          <w:szCs w:val="20"/>
          <w:color w:val="auto"/>
        </w:rPr>
      </w:pPr>
    </w:p>
    <w:p>
      <w:pPr>
        <w:jc w:val="both"/>
        <w:ind w:right="80" w:firstLine="478"/>
        <w:spacing w:after="0" w:line="263" w:lineRule="auto"/>
        <w:rPr>
          <w:sz w:val="20"/>
          <w:szCs w:val="20"/>
          <w:color w:val="auto"/>
        </w:rPr>
      </w:pPr>
      <w:r>
        <w:rPr>
          <w:rFonts w:ascii="Arial" w:cs="Arial" w:eastAsia="Arial" w:hAnsi="Arial"/>
          <w:sz w:val="18"/>
          <w:szCs w:val="18"/>
          <w:color w:val="auto"/>
        </w:rPr>
        <w:t>From 1998 through 2011, survival was poor for PCNSL cases, with just 15.8% of HIV-infected cases and 28.9% of HIV-uninfected cases alive five years after diagnosis. There is no standard treatment for PCNSL, however patients often receive a combination of Rituxan (rituximab), temozolomide, and high-dose methotrexate.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MCL1 Inhibitor: PRT1419</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478"/>
        <w:spacing w:after="0" w:line="259" w:lineRule="auto"/>
        <w:rPr>
          <w:sz w:val="20"/>
          <w:szCs w:val="20"/>
          <w:color w:val="auto"/>
        </w:rPr>
      </w:pPr>
      <w:r>
        <w:rPr>
          <w:rFonts w:ascii="Arial" w:cs="Arial" w:eastAsia="Arial" w:hAnsi="Arial"/>
          <w:sz w:val="18"/>
          <w:szCs w:val="18"/>
          <w:color w:val="auto"/>
        </w:rPr>
        <w:t>PRT1419 is designed to be a potent and selective inhibitor of the anti-apoptotic protein, MCL1. PRT1419 has been optimized to have the PK properties to allow for either oral or IV administration, providing maximal coverage of the target while maintaining an adequate tolerability window. We believe that the physicochemical and pharmacological properties of PRT1419 allow the optionality of administering PRT1419 by either oral or IV route. Based on our preclinical data, as well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3" w:name="page34"/>
    <w:bookmarkEnd w:id="33"/>
    <w:p>
      <w:pPr>
        <w:spacing w:after="0" w:line="290" w:lineRule="auto"/>
        <w:rPr>
          <w:sz w:val="20"/>
          <w:szCs w:val="20"/>
          <w:color w:val="auto"/>
        </w:rPr>
      </w:pPr>
      <w:r>
        <w:rPr>
          <w:rFonts w:ascii="Arial" w:cs="Arial" w:eastAsia="Arial" w:hAnsi="Arial"/>
          <w:sz w:val="16"/>
          <w:szCs w:val="16"/>
          <w:color w:val="auto"/>
        </w:rPr>
        <w:t>published third-party data, we believe that hematological malignancies are particularly sensitive to MCL1 inhibitors. MCL1 upregulation has been noted as a mechanism of acquired resistance to venetoclax and TKIs. In addition, certain solid tumors are responsive to MCL1 inhibition, informing a potential patient selection strategy. Based on data demonstrating that MCL1 is a primary resistance mechanism to BCL2 inhibitors like venetoclax, a combination study with azacitidine or venetoclax in MDS/AML is planned. We have begun enrolling patients with hematologic malignancies, including patients with myelodysplastic syndrome, or MDS, acute myeloid leukemia, or AML, non-Hodgkin’s lymphoma, or NHL, and multiple myeloma, or MM, into a Phase 1 clinical trial for the oral formulation of PRT1419. We expect to add dose expansion and combination cohorts to this Phase 1 clinical trial in the second half of 2021. Additionally, the FDA recently cleared our IND for an intravenous (IV) formulation of PRT1419. A Phase 1 trial of the IV formulation, which leverages the optimized physicochemical properties of PRT1419, is expected to commence in the first half of 2021 in patients with solid tumors.</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80" w:firstLine="478"/>
        <w:spacing w:after="0" w:line="254" w:lineRule="auto"/>
        <w:rPr>
          <w:sz w:val="20"/>
          <w:szCs w:val="20"/>
          <w:color w:val="auto"/>
        </w:rPr>
      </w:pPr>
      <w:r>
        <w:rPr>
          <w:rFonts w:ascii="Arial" w:cs="Arial" w:eastAsia="Arial" w:hAnsi="Arial"/>
          <w:sz w:val="18"/>
          <w:szCs w:val="18"/>
          <w:color w:val="auto"/>
        </w:rPr>
        <w:t xml:space="preserve">The ability to evade cell death is a hallmark of cancer because it is one of the unique acquired abilities that allows malignant transformation of a normal cell. MCL1 and BCL2 are both members of a family of proteins that regulate cell survival versus cell death. Under normal circumstances, MCL1 and BCL2 exert their pro-survival function by binding to and sequestering the pro-death proteins, BAK and BAX, and prevent the activation of a downstream cascade leading to apoptosis (Figure 19). In normal cells, cellular stressors such as DNA damage disrupt this interaction and result in cell death. Cancer cells, however, frequently upregulate pro-survival proteins to prevent activation of the apoptotic pathway, thus evading death. </w:t>
      </w:r>
      <w:r>
        <w:rPr>
          <w:rFonts w:ascii="Arial" w:cs="Arial" w:eastAsia="Arial" w:hAnsi="Arial"/>
          <w:sz w:val="18"/>
          <w:szCs w:val="18"/>
          <w:i w:val="1"/>
          <w:iCs w:val="1"/>
          <w:color w:val="auto"/>
        </w:rPr>
        <w:t>MCL1</w:t>
      </w:r>
      <w:r>
        <w:rPr>
          <w:rFonts w:ascii="Arial" w:cs="Arial" w:eastAsia="Arial" w:hAnsi="Arial"/>
          <w:sz w:val="18"/>
          <w:szCs w:val="18"/>
          <w:color w:val="auto"/>
        </w:rPr>
        <w:t xml:space="preserve"> has been shown to have a critical role in promoting cancer cell survival and is frequently found to be amplified or overexpressed in both solid tumors and hematologic cancers.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Figure 19. MCL1 Promotes Tumor Cell Survival by Inhibiting Apoptosis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297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0" w:firstLine="478"/>
        <w:spacing w:after="0" w:line="277" w:lineRule="auto"/>
        <w:rPr>
          <w:sz w:val="20"/>
          <w:szCs w:val="20"/>
          <w:color w:val="auto"/>
        </w:rPr>
      </w:pPr>
      <w:r>
        <w:rPr>
          <w:rFonts w:ascii="Arial" w:cs="Arial" w:eastAsia="Arial" w:hAnsi="Arial"/>
          <w:sz w:val="18"/>
          <w:szCs w:val="18"/>
          <w:color w:val="auto"/>
        </w:rPr>
        <w:t>Members of the BCL2 protein family control cell survival and cell death. MCL1, a member of the family, acts to suppress cell death and has emerged as a target for anti-cancer therapy and as a resistance mechanism to the BCL2 inhibitor, venetoclax.</w:t>
      </w:r>
    </w:p>
    <w:p>
      <w:pPr>
        <w:spacing w:after="0" w:line="170" w:lineRule="exact"/>
        <w:rPr>
          <w:sz w:val="20"/>
          <w:szCs w:val="20"/>
          <w:color w:val="auto"/>
        </w:rPr>
      </w:pPr>
    </w:p>
    <w:p>
      <w:pPr>
        <w:ind w:right="40" w:firstLine="478"/>
        <w:spacing w:after="0" w:line="296" w:lineRule="auto"/>
        <w:rPr>
          <w:sz w:val="20"/>
          <w:szCs w:val="20"/>
          <w:color w:val="auto"/>
        </w:rPr>
      </w:pPr>
      <w:r>
        <w:rPr>
          <w:rFonts w:ascii="Arial" w:cs="Arial" w:eastAsia="Arial" w:hAnsi="Arial"/>
          <w:sz w:val="16"/>
          <w:szCs w:val="16"/>
          <w:color w:val="auto"/>
        </w:rPr>
        <w:t xml:space="preserve">Inhibition of MCL1 expression and/or function is therefore of considerable therapeutic interest in cancer. The importance of blocking the protein-protein interaction between pro-survival and pro-death proteins as a therapy to promote tumor cell death has been clinically validated with the BCL2 inhibitor, venetoclax. Venetoclax was approved in 2016 for R/R patients with CLL and in 2018 for patients with AML. </w:t>
      </w:r>
      <w:r>
        <w:rPr>
          <w:rFonts w:ascii="Arial" w:cs="Arial" w:eastAsia="Arial" w:hAnsi="Arial"/>
          <w:sz w:val="16"/>
          <w:szCs w:val="16"/>
          <w:i w:val="1"/>
          <w:iCs w:val="1"/>
          <w:color w:val="auto"/>
        </w:rPr>
        <w:t>MCL1</w:t>
      </w:r>
      <w:r>
        <w:rPr>
          <w:rFonts w:ascii="Arial" w:cs="Arial" w:eastAsia="Arial" w:hAnsi="Arial"/>
          <w:sz w:val="16"/>
          <w:szCs w:val="16"/>
          <w:color w:val="auto"/>
        </w:rPr>
        <w:t xml:space="preserve"> is upregulated in response to BCL2 inhibition and has been implicated in mediating resistance to venetoclax, as well as to chemotherapeutic agents and other targeted therapies including TKIs. These studies have demonstrated the potentially broad clinical benefits of targeting cell survival through MCL1 inhibition in cancer.</w:t>
      </w:r>
    </w:p>
    <w:p>
      <w:pPr>
        <w:spacing w:after="0" w:line="161" w:lineRule="exact"/>
        <w:rPr>
          <w:sz w:val="20"/>
          <w:szCs w:val="20"/>
          <w:color w:val="auto"/>
        </w:rPr>
      </w:pPr>
    </w:p>
    <w:p>
      <w:pPr>
        <w:ind w:right="240" w:firstLine="478"/>
        <w:spacing w:after="0" w:line="263" w:lineRule="auto"/>
        <w:rPr>
          <w:sz w:val="20"/>
          <w:szCs w:val="20"/>
          <w:color w:val="auto"/>
        </w:rPr>
      </w:pPr>
      <w:r>
        <w:rPr>
          <w:rFonts w:ascii="Arial" w:cs="Arial" w:eastAsia="Arial" w:hAnsi="Arial"/>
          <w:sz w:val="18"/>
          <w:szCs w:val="18"/>
          <w:color w:val="auto"/>
        </w:rPr>
        <w:t xml:space="preserve">Small molecule MCL1 inhibitors have been shown to be remarkably efficacious as monotherapy in preclinical models of MM, AML and lymphoma. Treatment with these inhibitors leads to robust activation of apoptosis markers including cleaved caspase-3 and cleaved PARP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vitro</w:t>
      </w:r>
      <w:r>
        <w:rPr>
          <w:rFonts w:ascii="Arial" w:cs="Arial" w:eastAsia="Arial" w:hAnsi="Arial"/>
          <w:sz w:val="18"/>
          <w:szCs w:val="18"/>
          <w:color w:val="auto"/>
        </w:rPr>
        <w:t>. Objective clinical responses were demonstrated in a Phase 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ind w:right="360"/>
        <w:spacing w:after="0" w:line="259" w:lineRule="auto"/>
        <w:rPr>
          <w:sz w:val="20"/>
          <w:szCs w:val="20"/>
          <w:color w:val="auto"/>
        </w:rPr>
      </w:pPr>
      <w:r>
        <w:rPr>
          <w:rFonts w:ascii="Arial" w:cs="Arial" w:eastAsia="Arial" w:hAnsi="Arial"/>
          <w:sz w:val="18"/>
          <w:szCs w:val="18"/>
          <w:color w:val="auto"/>
        </w:rPr>
        <w:t>multiple myeloma clinical trial with AMG176, a third-party MCL1 inhibitor, providing clinical validation of the pathway. MCL1 inhibitors have also demonstrated potent synergistic activity in combination with approved standard of care therapies, including venetoclax, in preclinical models of AML. Although these inhibitors show limited efficacy as monotherapy in solid tumor models, combination with TKIs has resulted in potent anti-tumor effects in triple negative breast cancer, melanoma and non-small cell lung cancer.</w:t>
      </w:r>
    </w:p>
    <w:p>
      <w:pPr>
        <w:spacing w:after="0" w:line="187" w:lineRule="exact"/>
        <w:rPr>
          <w:sz w:val="20"/>
          <w:szCs w:val="20"/>
          <w:color w:val="auto"/>
        </w:rPr>
      </w:pPr>
    </w:p>
    <w:p>
      <w:pPr>
        <w:ind w:right="240" w:firstLine="478"/>
        <w:spacing w:after="0" w:line="301" w:lineRule="auto"/>
        <w:rPr>
          <w:sz w:val="20"/>
          <w:szCs w:val="20"/>
          <w:color w:val="auto"/>
        </w:rPr>
      </w:pPr>
      <w:r>
        <w:rPr>
          <w:rFonts w:ascii="Arial" w:cs="Arial" w:eastAsia="Arial" w:hAnsi="Arial"/>
          <w:sz w:val="16"/>
          <w:szCs w:val="16"/>
          <w:color w:val="auto"/>
        </w:rPr>
        <w:t xml:space="preserve">Although the data on the importance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in driving tumor growth and survival are compelling, complete ablation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has been shown to result in cardiomyocyte apoptosis in mice. Mice with heterozygous deletion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resulting in a 50% reduction in MCL1 protein did not demonstrate cardiac abnormalities. These results suggest that an optimized profile for a pharmacological inhibitor of MCL1 should allow for maximal but limited duration of target engagement rather than prolonged coverage to maximize the therapeutic window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inhibition in clinical development.</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Approach to Designing Optimized MCL1 Inhibitors</w:t>
      </w:r>
    </w:p>
    <w:p>
      <w:pPr>
        <w:spacing w:after="0" w:line="117" w:lineRule="exact"/>
        <w:rPr>
          <w:sz w:val="20"/>
          <w:szCs w:val="20"/>
          <w:color w:val="auto"/>
        </w:rPr>
      </w:pPr>
    </w:p>
    <w:p>
      <w:pPr>
        <w:ind w:right="80" w:firstLine="478"/>
        <w:spacing w:after="0" w:line="279" w:lineRule="auto"/>
        <w:rPr>
          <w:sz w:val="20"/>
          <w:szCs w:val="20"/>
          <w:color w:val="auto"/>
        </w:rPr>
      </w:pPr>
      <w:r>
        <w:rPr>
          <w:rFonts w:ascii="Arial" w:cs="Arial" w:eastAsia="Arial" w:hAnsi="Arial"/>
          <w:sz w:val="17"/>
          <w:szCs w:val="17"/>
          <w:color w:val="auto"/>
        </w:rPr>
        <w:t>We used structure-based design to identify PRT1419 as an inhibitor of human MCL1 that is designed to induce tumor cell death by apoptosis. It has been optimized to have high permeability and adequate solubility to provide suitable PK that allows for oral and IV dosing. We believe these features have the potential to maximize the therapeutic window and overcome some of the limitations of current MCL1 inhibitors, as well as provide the convenience and flexibility associated with oral dosing both as monotherapy and potentially in combination with other oral therapies.</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PRT1419</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 Vitro Potency and Selectivity</w:t>
      </w:r>
    </w:p>
    <w:p>
      <w:pPr>
        <w:spacing w:after="0" w:line="117" w:lineRule="exact"/>
        <w:rPr>
          <w:sz w:val="20"/>
          <w:szCs w:val="20"/>
          <w:color w:val="auto"/>
        </w:rPr>
      </w:pPr>
    </w:p>
    <w:p>
      <w:pPr>
        <w:ind w:right="180" w:firstLine="478"/>
        <w:spacing w:after="0" w:line="259" w:lineRule="auto"/>
        <w:rPr>
          <w:sz w:val="20"/>
          <w:szCs w:val="20"/>
          <w:color w:val="auto"/>
        </w:rPr>
      </w:pPr>
      <w:r>
        <w:rPr>
          <w:rFonts w:ascii="Arial" w:cs="Arial" w:eastAsia="Arial" w:hAnsi="Arial"/>
          <w:sz w:val="18"/>
          <w:szCs w:val="18"/>
          <w:color w:val="auto"/>
        </w:rPr>
        <w:t xml:space="preserve">We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of PRT1419 to inhibit the protein-protein interaction of human recombinant MCL1 with the pro-death protein, BIM, by measuring its IC50. In this assay, we observed the IC50 of PRT1419 to be 6.6 nM. We also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selectivity of PRT1419 for MCL1 as compared to related family members, BCL-2 and BCLXL. We observed that PRT1419 showed &gt;200 times weaker inhibition of BCL-2 and BCLXL compared to MCL1.</w:t>
      </w:r>
    </w:p>
    <w:p>
      <w:pPr>
        <w:spacing w:after="0" w:line="187"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Tumor cells undergo apoptosis in response to MCL1 inhibition. Therefore, we investigated the potency of PRT1419 to inhibit the proliferation of cell lines representing both solid tumors and hematologic malignancies. Tumor cell lines were treated with various concentrations of PRT1419 and the number of viable cells was measured after two days in culture. We observed that cell lines representing multiple myeloma, lymphomas and leukemias were particularly sensitive to PRT1419 with IC50 values in the nanomolar range.</w:t>
      </w:r>
    </w:p>
    <w:p>
      <w:pPr>
        <w:spacing w:after="0" w:line="187" w:lineRule="exact"/>
        <w:rPr>
          <w:sz w:val="20"/>
          <w:szCs w:val="20"/>
          <w:color w:val="auto"/>
        </w:rPr>
      </w:pPr>
    </w:p>
    <w:p>
      <w:pPr>
        <w:ind w:right="20" w:firstLine="478"/>
        <w:spacing w:after="0" w:line="301" w:lineRule="auto"/>
        <w:rPr>
          <w:sz w:val="20"/>
          <w:szCs w:val="20"/>
          <w:color w:val="auto"/>
        </w:rPr>
      </w:pPr>
      <w:r>
        <w:rPr>
          <w:rFonts w:ascii="Arial" w:cs="Arial" w:eastAsia="Arial" w:hAnsi="Arial"/>
          <w:sz w:val="16"/>
          <w:szCs w:val="16"/>
          <w:color w:val="auto"/>
        </w:rPr>
        <w:t xml:space="preserve">Since most MCL1 inhibitors have been shown to be highly bound to proteins in the blood, which reduces their effective concentration, PRT1419 was tested in an assay in the presence of human whole blood and shown to retain its potency to activate markers of apoptosis. In this human whole blood assay, we observed that PRT1419 was significantly more potent (9 times) than other MCL1 inhibitors such as AMG176. Consistent with its improved potency, PRT1419 demonstrated anti-tumor activity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at lower doses than those required for activity with AMG176. These data are summarized in Table 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u w:val="single" w:color="auto"/>
          <w:color w:val="auto"/>
        </w:rPr>
        <w:t xml:space="preserve">Table 6. </w:t>
      </w:r>
      <w:r>
        <w:rPr>
          <w:rFonts w:ascii="Arial" w:cs="Arial" w:eastAsia="Arial" w:hAnsi="Arial"/>
          <w:sz w:val="18"/>
          <w:szCs w:val="18"/>
          <w:i w:val="1"/>
          <w:iCs w:val="1"/>
          <w:u w:val="single" w:color="auto"/>
          <w:color w:val="auto"/>
        </w:rPr>
        <w:t>In Vitro</w:t>
      </w:r>
      <w:r>
        <w:rPr>
          <w:rFonts w:ascii="Arial" w:cs="Arial" w:eastAsia="Arial" w:hAnsi="Arial"/>
          <w:sz w:val="18"/>
          <w:szCs w:val="18"/>
          <w:u w:val="single" w:color="auto"/>
          <w:color w:val="auto"/>
        </w:rPr>
        <w:t xml:space="preserve"> Properties of PRT1419 Compared to Other MCL1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588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400" w:firstLine="478"/>
        <w:spacing w:after="0" w:line="263" w:lineRule="auto"/>
        <w:rPr>
          <w:sz w:val="20"/>
          <w:szCs w:val="20"/>
          <w:color w:val="auto"/>
        </w:rPr>
      </w:pPr>
      <w:r>
        <w:rPr>
          <w:rFonts w:ascii="Arial" w:cs="Arial" w:eastAsia="Arial" w:hAnsi="Arial"/>
          <w:sz w:val="18"/>
          <w:szCs w:val="18"/>
          <w:color w:val="auto"/>
        </w:rPr>
        <w:t>Inhibition of cell proliferation was determined in the OPM2 cell line. Whole blood IC50 represents the half maximal concentration required to induce markers of apoptosis in OPM2 cells cultured in human blood. Permeability was assessed in Caco-2 cells. Intrinsic clearance was determined in human hepatocytes. All competitor compounds were obtained from commercial sources.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Pharmacokinetics</w:t>
      </w:r>
    </w:p>
    <w:p>
      <w:pPr>
        <w:spacing w:after="0" w:line="117"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In preclinical assays, PRT1419 demonstrated favorable ADME and PK properties. PRT1419 had high oral bioavailability in mice and dogs, adequate solubility, high permeability, and high intrinsic clearance in human hepatocytes which taken together should favor an optimized PK profile for an oral MCL1 inhibitor in patients.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Anti-tumor Activity in Preclinical Models</w:t>
      </w:r>
    </w:p>
    <w:p>
      <w:pPr>
        <w:spacing w:after="0" w:line="117" w:lineRule="exact"/>
        <w:rPr>
          <w:sz w:val="20"/>
          <w:szCs w:val="20"/>
          <w:color w:val="auto"/>
        </w:rPr>
      </w:pPr>
    </w:p>
    <w:p>
      <w:pPr>
        <w:ind w:right="100" w:firstLine="478"/>
        <w:spacing w:after="0" w:line="275" w:lineRule="auto"/>
        <w:rPr>
          <w:sz w:val="20"/>
          <w:szCs w:val="20"/>
          <w:color w:val="auto"/>
        </w:rPr>
      </w:pPr>
      <w:r>
        <w:rPr>
          <w:rFonts w:ascii="Arial" w:cs="Arial" w:eastAsia="Arial" w:hAnsi="Arial"/>
          <w:sz w:val="17"/>
          <w:szCs w:val="17"/>
          <w:i w:val="1"/>
          <w:iCs w:val="1"/>
          <w:color w:val="auto"/>
        </w:rPr>
        <w:t>In vivo</w:t>
      </w:r>
      <w:r>
        <w:rPr>
          <w:rFonts w:ascii="Arial" w:cs="Arial" w:eastAsia="Arial" w:hAnsi="Arial"/>
          <w:sz w:val="17"/>
          <w:szCs w:val="17"/>
          <w:color w:val="auto"/>
        </w:rPr>
        <w:t>, the pharmacological activity of PRT1419 to induce apoptosis in tumor tissue from the subcutaneous multiple myeloma xenograft tumor</w:t>
      </w:r>
      <w:r>
        <w:rPr>
          <w:rFonts w:ascii="Arial" w:cs="Arial" w:eastAsia="Arial" w:hAnsi="Arial"/>
          <w:sz w:val="17"/>
          <w:szCs w:val="17"/>
          <w:i w:val="1"/>
          <w:iCs w:val="1"/>
          <w:color w:val="auto"/>
        </w:rPr>
        <w:t xml:space="preserve"> </w:t>
      </w:r>
      <w:r>
        <w:rPr>
          <w:rFonts w:ascii="Arial" w:cs="Arial" w:eastAsia="Arial" w:hAnsi="Arial"/>
          <w:sz w:val="17"/>
          <w:szCs w:val="17"/>
          <w:color w:val="auto"/>
        </w:rPr>
        <w:t>model (OPM2) was evaluated. Oral administration of a single dose of PRT1419 led to a dose-dependent activation of apoptosis markers including cleaved caspase-3 and cleaved-PARP in tumor tissue. Consistent with these effects, once weekly administration of PRT1419 demonstrated potent and dose-dependent anti-tumor activity in this model (Figure 20), resulting in tumor regressions. Similar activity was also observed with once weekly dosing of PRT1419 in subcutaneous cell line derived xenograft mouse models of AML (MV4-11) and DLBCL (OCI-Ly7).</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Figure 20. Anti-Tumor Activity in Preclinical Models of Hematologic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2687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firstLine="478"/>
        <w:spacing w:after="0" w:line="277" w:lineRule="auto"/>
        <w:rPr>
          <w:sz w:val="20"/>
          <w:szCs w:val="20"/>
          <w:color w:val="auto"/>
        </w:rPr>
      </w:pPr>
      <w:r>
        <w:rPr>
          <w:rFonts w:ascii="Arial" w:cs="Arial" w:eastAsia="Arial" w:hAnsi="Arial"/>
          <w:sz w:val="18"/>
          <w:szCs w:val="18"/>
          <w:color w:val="auto"/>
        </w:rPr>
        <w:t>PRT1419 was administered orally to tumor-bearing mice (n=8 animals/group). Data represents mean ± SEM (standard error of the means), QW – once weekly, p.o – oral administration, *** P value&lt;0.001 vs. Vehicle by Mann-Whitney U test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280" w:firstLine="478"/>
        <w:spacing w:after="0" w:line="263"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i w:val="1"/>
          <w:iCs w:val="1"/>
          <w:color w:val="auto"/>
        </w:rPr>
        <w:t>MCL1</w:t>
      </w:r>
      <w:r>
        <w:rPr>
          <w:rFonts w:ascii="Arial" w:cs="Arial" w:eastAsia="Arial" w:hAnsi="Arial"/>
          <w:sz w:val="18"/>
          <w:szCs w:val="18"/>
          <w:color w:val="auto"/>
        </w:rPr>
        <w:t xml:space="preserve"> is known to be a resistance mechanism in patients treated with the BCL2 inhibitor venetoclax, PRT1419 was studied in combination with venetoclax in the MV411 model of AML. As shown in Figure 22, PRT1419 demonstrated enhanced inhibition in combination with venetoclax, resulting in tumor regression in mice.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Figure 21. PRT1419 Demonstrates Enhanced Activity in Combination with Venetoclax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228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PRT1419 and venetoclax were administered orally as single agents and in combination to tumor-bearing mice (n=8/group). Data represents mean ± SEM (standard error of the means), Venetoclax was dosed at 50 mg/kg; PRT1419 was dosed at 15 mg/kg; *** P value&lt;0.001 vs. Vehicle by Mann-Whitney U test</w:t>
      </w:r>
    </w:p>
    <w:p>
      <w:pPr>
        <w:spacing w:after="0" w:line="184" w:lineRule="exact"/>
        <w:rPr>
          <w:sz w:val="20"/>
          <w:szCs w:val="20"/>
          <w:color w:val="auto"/>
        </w:rPr>
      </w:pPr>
    </w:p>
    <w:p>
      <w:pPr>
        <w:ind w:right="180" w:firstLine="478"/>
        <w:spacing w:after="0" w:line="311" w:lineRule="auto"/>
        <w:rPr>
          <w:sz w:val="20"/>
          <w:szCs w:val="20"/>
          <w:color w:val="auto"/>
        </w:rPr>
      </w:pPr>
      <w:r>
        <w:rPr>
          <w:rFonts w:ascii="Arial" w:cs="Arial" w:eastAsia="Arial" w:hAnsi="Arial"/>
          <w:sz w:val="16"/>
          <w:szCs w:val="16"/>
          <w:color w:val="auto"/>
        </w:rPr>
        <w:t xml:space="preserve">In summary, PRT1419 demonstrated potent and selective inhibition of MCL1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that resulted in tumor regressions in preclinical models following once weekly oral dosing. PRT1419 was well-tolerated in 28-day toxicology studies in rats and dogs and showed no evidence of cardiac toxicity. Taken together, these studies support the advancement of PRT1419 into clinical trials in patients with hematologic malignancies.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Clinical Trial Design and Study Schema – Oral Formulation</w:t>
      </w:r>
    </w:p>
    <w:p>
      <w:pPr>
        <w:spacing w:after="0" w:line="117" w:lineRule="exact"/>
        <w:rPr>
          <w:sz w:val="20"/>
          <w:szCs w:val="20"/>
          <w:color w:val="auto"/>
        </w:rPr>
      </w:pPr>
    </w:p>
    <w:p>
      <w:pPr>
        <w:ind w:right="200" w:firstLine="478"/>
        <w:spacing w:after="0" w:line="286" w:lineRule="auto"/>
        <w:rPr>
          <w:sz w:val="20"/>
          <w:szCs w:val="20"/>
          <w:color w:val="auto"/>
        </w:rPr>
      </w:pPr>
      <w:r>
        <w:rPr>
          <w:rFonts w:ascii="Arial" w:cs="Arial" w:eastAsia="Arial" w:hAnsi="Arial"/>
          <w:sz w:val="17"/>
          <w:szCs w:val="17"/>
          <w:color w:val="auto"/>
        </w:rPr>
        <w:t>We have begun enrolling patients with hematologic malignancies, including patients with myelodysplastic syndrome, or MDS, acute myeloid leukemia, or AML, non-Hodgkin’s lymphoma, or NHL, and multiple myeloma, or MM, into a Phase 1 clinical trial for the oral formulation of PRT1419. We expect to add dose expansion and combination cohorts to this Phase 1 clinical trial in the second half of 2021.</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u w:val="single" w:color="auto"/>
          <w:color w:val="auto"/>
        </w:rPr>
        <w:t>Figure 22. PRT1419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168910</wp:posOffset>
            </wp:positionV>
            <wp:extent cx="3909060" cy="2348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0906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Update as of December 16, 2020 – Oral Formulation</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As of December 16, 2020, the Phase 1 clinical trial of PRT1419 has enrolled four patients with various hematological malignancies. No adverse events above Grades 1 or 2 and no serious adverse events have been observed.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enrolling AML and high-risk MDS patients into the second dose escalation cohort (200mg 1x weekly).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PRT1419 – IV Formulation</w:t>
      </w:r>
    </w:p>
    <w:p>
      <w:pPr>
        <w:spacing w:after="0" w:line="225"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The FDA recently cleared our IND for an intravenous (IV) formulation of PRT1419. A Phase 1 trial of the IV formulation, which leverages the optimized physicochemical properties of PRT1419, is expected to commence in the first half of 2021 in patients with solid tumors.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Addressable Oncology Market for PRT1419</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Acute Myeloid Leukemia (AML)</w:t>
      </w:r>
    </w:p>
    <w:p>
      <w:pPr>
        <w:spacing w:after="0" w:line="117" w:lineRule="exact"/>
        <w:rPr>
          <w:sz w:val="20"/>
          <w:szCs w:val="20"/>
          <w:color w:val="auto"/>
        </w:rPr>
      </w:pPr>
    </w:p>
    <w:p>
      <w:pPr>
        <w:ind w:right="140" w:firstLine="478"/>
        <w:spacing w:after="0" w:line="308" w:lineRule="auto"/>
        <w:rPr>
          <w:sz w:val="20"/>
          <w:szCs w:val="20"/>
          <w:color w:val="auto"/>
        </w:rPr>
      </w:pPr>
      <w:r>
        <w:rPr>
          <w:rFonts w:ascii="Arial" w:cs="Arial" w:eastAsia="Arial" w:hAnsi="Arial"/>
          <w:sz w:val="17"/>
          <w:szCs w:val="17"/>
          <w:color w:val="auto"/>
        </w:rPr>
        <w:t>AML is a blood cancer wherein myeloid stem cells proliferate and fail to properly differentiate into mature myeloid cells. AML is the second most common leukemia in adults, with the American Cancer Society estimating an annual incidence of nearly 20,000 patients in the United States.</w:t>
      </w:r>
    </w:p>
    <w:p>
      <w:pPr>
        <w:spacing w:after="0" w:line="146" w:lineRule="exact"/>
        <w:rPr>
          <w:sz w:val="20"/>
          <w:szCs w:val="20"/>
          <w:color w:val="auto"/>
        </w:rPr>
      </w:pPr>
    </w:p>
    <w:p>
      <w:pPr>
        <w:ind w:right="80" w:firstLine="478"/>
        <w:spacing w:after="0" w:line="279" w:lineRule="auto"/>
        <w:rPr>
          <w:sz w:val="20"/>
          <w:szCs w:val="20"/>
          <w:color w:val="auto"/>
        </w:rPr>
      </w:pPr>
      <w:r>
        <w:rPr>
          <w:rFonts w:ascii="Arial" w:cs="Arial" w:eastAsia="Arial" w:hAnsi="Arial"/>
          <w:sz w:val="17"/>
          <w:szCs w:val="17"/>
          <w:color w:val="auto"/>
        </w:rPr>
        <w:t>AML is particularly difficult to treat in adults older than 60 years, who account for more than 60% of patients; thus, fewer than 29% of AML patients live beyond five years. There are significant differences in the treatment of AML based on age and fitness. For younger, fit patients current first-line AML treatment typically involves aggressive chemotherapy followed by stem cell transplantation if possible. For older, unfit patients first- line AML treatment typically involves low dose cytarabine or azacytidine, potentially in combination with VENCLEXTA (venetoclax) or other agents.</w:t>
      </w:r>
    </w:p>
    <w:p>
      <w:pPr>
        <w:spacing w:after="0" w:line="9" w:lineRule="exact"/>
        <w:rPr>
          <w:sz w:val="20"/>
          <w:szCs w:val="20"/>
          <w:color w:val="auto"/>
        </w:rPr>
      </w:pPr>
    </w:p>
    <w:p>
      <w:pPr>
        <w:ind w:right="180" w:firstLine="478"/>
        <w:spacing w:after="0" w:line="286" w:lineRule="auto"/>
        <w:rPr>
          <w:sz w:val="20"/>
          <w:szCs w:val="20"/>
          <w:color w:val="auto"/>
        </w:rPr>
      </w:pPr>
      <w:r>
        <w:rPr>
          <w:rFonts w:ascii="Arial" w:cs="Arial" w:eastAsia="Arial" w:hAnsi="Arial"/>
          <w:sz w:val="17"/>
          <w:szCs w:val="17"/>
          <w:color w:val="auto"/>
        </w:rPr>
        <w:t>Other approved therapies for AML include MYLOTARG (gemtuzumab ozogamicin), an antibody-drug conjugate, as well as a number of targeted therapies for subsets of patients whose tumors harbor specific alterations. These include RYDAPT (midostaurin) and XOSPATA (gilteritinib) for FLT3-mutated AML, IDHIFA (enasidenib) for IDH2-mutated AML, and TIBSOVO (ivosidenib) for IDH-1 mutated AML.</w:t>
      </w:r>
    </w:p>
    <w:p>
      <w:pPr>
        <w:spacing w:after="0" w:line="165" w:lineRule="exact"/>
        <w:rPr>
          <w:sz w:val="20"/>
          <w:szCs w:val="20"/>
          <w:color w:val="auto"/>
        </w:rPr>
      </w:pPr>
    </w:p>
    <w:p>
      <w:pPr>
        <w:ind w:firstLine="478"/>
        <w:spacing w:after="0" w:line="277" w:lineRule="auto"/>
        <w:rPr>
          <w:sz w:val="20"/>
          <w:szCs w:val="20"/>
          <w:color w:val="auto"/>
        </w:rPr>
      </w:pPr>
      <w:r>
        <w:rPr>
          <w:rFonts w:ascii="Arial" w:cs="Arial" w:eastAsia="Arial" w:hAnsi="Arial"/>
          <w:sz w:val="18"/>
          <w:szCs w:val="18"/>
          <w:color w:val="auto"/>
        </w:rPr>
        <w:t>Despite these recent advances, we believe there remains a need for a well-tolerated and effective therapy that can broadly address AML patients, especially those progressing on front-line therapies and/or venetoclax. In the registrational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8" w:name="page39"/>
    <w:bookmarkEnd w:id="38"/>
    <w:p>
      <w:pPr>
        <w:ind w:right="580"/>
        <w:spacing w:after="0" w:line="277" w:lineRule="auto"/>
        <w:rPr>
          <w:sz w:val="20"/>
          <w:szCs w:val="20"/>
          <w:color w:val="auto"/>
        </w:rPr>
      </w:pPr>
      <w:r>
        <w:rPr>
          <w:rFonts w:ascii="Arial" w:cs="Arial" w:eastAsia="Arial" w:hAnsi="Arial"/>
          <w:sz w:val="18"/>
          <w:szCs w:val="18"/>
          <w:color w:val="auto"/>
        </w:rPr>
        <w:t>study for venetoclax in combination with azacitidine or decitabine, a composite complete remission, or CRc, of 67% was observed, with a response duration of 11.3 months and a median overall survival, or OS, of 17.5 months.</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Non-Hodgkin Lymphoma (NHL)</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NHL is a group of blood cancers originating in either B-cells (approximately 85% of all NHL) or T-cells (approximately 15% of all NHL).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American Cancer Society estimates the incidence of NHL to be over 77,000 patients annually in the United States.</w:t>
      </w:r>
    </w:p>
    <w:p>
      <w:pPr>
        <w:spacing w:after="0" w:line="211" w:lineRule="exact"/>
        <w:rPr>
          <w:sz w:val="20"/>
          <w:szCs w:val="20"/>
          <w:color w:val="auto"/>
        </w:rPr>
      </w:pPr>
    </w:p>
    <w:p>
      <w:pPr>
        <w:ind w:right="120" w:firstLine="478"/>
        <w:spacing w:after="0" w:line="259" w:lineRule="auto"/>
        <w:rPr>
          <w:sz w:val="20"/>
          <w:szCs w:val="20"/>
          <w:color w:val="auto"/>
        </w:rPr>
      </w:pPr>
      <w:r>
        <w:rPr>
          <w:rFonts w:ascii="Arial" w:cs="Arial" w:eastAsia="Arial" w:hAnsi="Arial"/>
          <w:sz w:val="18"/>
          <w:szCs w:val="18"/>
          <w:color w:val="auto"/>
        </w:rPr>
        <w:t>NHL is characterized into subtypes according to the natural course of disease progression. Aggressive lymphomas, which account for 60% of all NHL cases, progress rapidly. Diffuse large B-cell lymphoma, or DLBCL, is the most common of these aggressive subtypes. Indolent lymphomas, which account for 40% of all NHL cases, progress more slowly with fewer symptoms upon diagnosis. Follicular lymphoma, or FL, is the most common of these indolent subtypes.</w:t>
      </w:r>
    </w:p>
    <w:p>
      <w:pPr>
        <w:spacing w:after="0" w:line="187"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The treatment of NHL varies by subtype and can include one of more of the following modalities: chemotherapy, immunotherapy, radiation therapy, stem cell transplantation, targeted therapy, and cell therapy, or CAR-T. Despite recent therapeutic advances and approvals, there remains a high unmet need for new NHL treatments, particularly for more aggressive subtypes and for patients who have progressed on standard therapies. For example, approximately 50% of patients with DLBCL will be refractory to or relapse on standard therapy. The prognosis for patients with DLBCL who relapse is poor, with median survival of less than one year.</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Multiple Myeloma (MM)</w:t>
      </w:r>
    </w:p>
    <w:p>
      <w:pPr>
        <w:spacing w:after="0" w:line="117" w:lineRule="exact"/>
        <w:rPr>
          <w:sz w:val="20"/>
          <w:szCs w:val="20"/>
          <w:color w:val="auto"/>
        </w:rPr>
      </w:pPr>
    </w:p>
    <w:p>
      <w:pPr>
        <w:ind w:right="240" w:firstLine="486"/>
        <w:spacing w:after="0" w:line="263" w:lineRule="auto"/>
        <w:tabs>
          <w:tab w:leader="none" w:pos="8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 blood cancer originating in the bone marrow that is characterized by excess proliferation of aberrant antibody-producing plasma cells. MM is the third most common blood cancer, and the American Cancer Society estimates an incidence of over 32,000 patients annually in the United States. MM is primarily a disease of the elderly and has a five-year survival rate of 54%.</w:t>
      </w:r>
    </w:p>
    <w:p>
      <w:pPr>
        <w:spacing w:after="0" w:line="184" w:lineRule="exact"/>
        <w:rPr>
          <w:sz w:val="20"/>
          <w:szCs w:val="20"/>
          <w:color w:val="auto"/>
        </w:rPr>
      </w:pPr>
    </w:p>
    <w:p>
      <w:pPr>
        <w:ind w:right="240" w:firstLine="478"/>
        <w:spacing w:after="0" w:line="255" w:lineRule="auto"/>
        <w:rPr>
          <w:sz w:val="20"/>
          <w:szCs w:val="20"/>
          <w:color w:val="auto"/>
        </w:rPr>
      </w:pPr>
      <w:r>
        <w:rPr>
          <w:rFonts w:ascii="Arial" w:cs="Arial" w:eastAsia="Arial" w:hAnsi="Arial"/>
          <w:sz w:val="18"/>
          <w:szCs w:val="18"/>
          <w:color w:val="auto"/>
        </w:rPr>
        <w:t>The treatment of MM depends on the aggressiveness of disease and patient fitness. For patients in good health and with active disease, first-line treatment typically involves high-dose chemotherapy followed by stem cell transplantation if possible. For patients who do not achieve a CR or who are not candidates for stem cell transplantation, systemic chemotherapy is indicated. The past two decades have seen significant advances in systemic treatment for MM, including the introduction of immunomodulatory agents, such as REVLIMID (lenalidomide); monoclonal antibodies, such as DARZALEX (daratumumab); and proteasome inhibitors, including VELCADE (bortezomib) and KYPROLIS (carfilzomib). MM therapies generated approximately $19.4 billion in world-wide sales in 2019.</w:t>
      </w:r>
    </w:p>
    <w:p>
      <w:pPr>
        <w:spacing w:after="0" w:line="192" w:lineRule="exact"/>
        <w:rPr>
          <w:sz w:val="20"/>
          <w:szCs w:val="20"/>
          <w:color w:val="auto"/>
        </w:rPr>
      </w:pPr>
    </w:p>
    <w:p>
      <w:pPr>
        <w:ind w:right="100" w:firstLine="478"/>
        <w:spacing w:after="0" w:line="277" w:lineRule="auto"/>
        <w:rPr>
          <w:sz w:val="20"/>
          <w:szCs w:val="20"/>
          <w:color w:val="auto"/>
        </w:rPr>
      </w:pPr>
      <w:r>
        <w:rPr>
          <w:rFonts w:ascii="Arial" w:cs="Arial" w:eastAsia="Arial" w:hAnsi="Arial"/>
          <w:sz w:val="18"/>
          <w:szCs w:val="18"/>
          <w:color w:val="auto"/>
        </w:rPr>
        <w:t>Despite these therapeutic advances, MM remains incurable. Patients typically receive multiple lines of therapy but ultimately progress. The median OS for patients who are refractory to both an immunomodulatory drug and proteasome inhibitor is only 13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CDK9 Program</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478"/>
        <w:spacing w:after="0" w:line="279" w:lineRule="auto"/>
        <w:rPr>
          <w:sz w:val="20"/>
          <w:szCs w:val="20"/>
          <w:color w:val="auto"/>
        </w:rPr>
      </w:pPr>
      <w:r>
        <w:rPr>
          <w:rFonts w:ascii="Arial" w:cs="Arial" w:eastAsia="Arial" w:hAnsi="Arial"/>
          <w:sz w:val="17"/>
          <w:szCs w:val="17"/>
          <w:color w:val="auto"/>
        </w:rPr>
        <w:t xml:space="preserve">CDK9 has emerged as an essential regulator of cancer-promoting transcriptional programs, including those driven by </w:t>
      </w:r>
      <w:r>
        <w:rPr>
          <w:rFonts w:ascii="Arial" w:cs="Arial" w:eastAsia="Arial" w:hAnsi="Arial"/>
          <w:sz w:val="17"/>
          <w:szCs w:val="17"/>
          <w:i w:val="1"/>
          <w:iCs w:val="1"/>
          <w:color w:val="auto"/>
        </w:rPr>
        <w:t>MCL1, MYC</w:t>
      </w:r>
      <w:r>
        <w:rPr>
          <w:rFonts w:ascii="Arial" w:cs="Arial" w:eastAsia="Arial" w:hAnsi="Arial"/>
          <w:sz w:val="17"/>
          <w:szCs w:val="17"/>
          <w:color w:val="auto"/>
        </w:rPr>
        <w:t xml:space="preserve"> and </w:t>
      </w:r>
      <w:r>
        <w:rPr>
          <w:rFonts w:ascii="Arial" w:cs="Arial" w:eastAsia="Arial" w:hAnsi="Arial"/>
          <w:sz w:val="17"/>
          <w:szCs w:val="17"/>
          <w:i w:val="1"/>
          <w:iCs w:val="1"/>
          <w:color w:val="auto"/>
        </w:rPr>
        <w:t>MYB</w:t>
      </w:r>
      <w:r>
        <w:rPr>
          <w:rFonts w:ascii="Arial" w:cs="Arial" w:eastAsia="Arial" w:hAnsi="Arial"/>
          <w:sz w:val="17"/>
          <w:szCs w:val="17"/>
          <w:color w:val="auto"/>
        </w:rPr>
        <w:t>. Inhibition of CDK9 is thus an attractive therapeutic approach to produce synthetic lethality in genomically selected cancers. We have applied our internal expertise to design PRT2527 as a potent inhibitor of CDK9 that exhibits high kinome selectivity, PK properties and solubility that we believe may broaden the therapeutic window of CDK9 inhibition. PRT2527 has entered IND-enabling studies, with IND submission expected in 2021.</w:t>
      </w:r>
    </w:p>
    <w:p>
      <w:pPr>
        <w:spacing w:after="0" w:line="26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Cyclin dependent kinases, or CDKs, are a family of closely related serine/threonine kinases that have demonstrated activity in multiple cancers. The first inhibitors of two of the family members, CDK4 and CDK6, gained FDA approval for HR+ metastatic breast cancer in 2015 and are now broadly used. In contrast to CDK4 and CDK6, which regulate cell cycle progression and proliferation, it is now appreciated that other members of the CDK family play important roles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320"/>
        <w:spacing w:after="0" w:line="277" w:lineRule="auto"/>
        <w:rPr>
          <w:sz w:val="20"/>
          <w:szCs w:val="20"/>
          <w:color w:val="auto"/>
        </w:rPr>
      </w:pPr>
      <w:r>
        <w:rPr>
          <w:rFonts w:ascii="Arial" w:cs="Arial" w:eastAsia="Arial" w:hAnsi="Arial"/>
          <w:sz w:val="18"/>
          <w:szCs w:val="18"/>
          <w:color w:val="auto"/>
        </w:rPr>
        <w:t>regulating transcription. CDK9 specifically phosphorylates RNA polymerase II to generate mature mRNA. Given its fundamental role in transcription, CDK9 has emerged as a central node in the transcriptional addiction of cancer.</w:t>
      </w:r>
    </w:p>
    <w:p>
      <w:pPr>
        <w:spacing w:after="0" w:line="170" w:lineRule="exact"/>
        <w:rPr>
          <w:sz w:val="20"/>
          <w:szCs w:val="20"/>
          <w:color w:val="auto"/>
        </w:rPr>
      </w:pPr>
    </w:p>
    <w:p>
      <w:pPr>
        <w:ind w:right="120" w:firstLine="478"/>
        <w:spacing w:after="0" w:line="255" w:lineRule="auto"/>
        <w:rPr>
          <w:sz w:val="20"/>
          <w:szCs w:val="20"/>
          <w:color w:val="auto"/>
        </w:rPr>
      </w:pPr>
      <w:r>
        <w:rPr>
          <w:rFonts w:ascii="Arial" w:cs="Arial" w:eastAsia="Arial" w:hAnsi="Arial"/>
          <w:sz w:val="18"/>
          <w:szCs w:val="18"/>
          <w:color w:val="auto"/>
        </w:rPr>
        <w:t xml:space="preserve">Importantly, inhibition of CDK9 in cancer has been shown to preferentially deplete short-lived transcripts including key anti-apoptotic genes such as </w:t>
      </w:r>
      <w:r>
        <w:rPr>
          <w:rFonts w:ascii="Arial" w:cs="Arial" w:eastAsia="Arial" w:hAnsi="Arial"/>
          <w:sz w:val="18"/>
          <w:szCs w:val="18"/>
          <w:i w:val="1"/>
          <w:iCs w:val="1"/>
          <w:color w:val="auto"/>
        </w:rPr>
        <w:t>MCL1</w:t>
      </w:r>
      <w:r>
        <w:rPr>
          <w:rFonts w:ascii="Arial" w:cs="Arial" w:eastAsia="Arial" w:hAnsi="Arial"/>
          <w:sz w:val="18"/>
          <w:szCs w:val="18"/>
          <w:color w:val="auto"/>
        </w:rPr>
        <w:t xml:space="preserve"> and oncogenic transcription factors such as </w:t>
      </w:r>
      <w:r>
        <w:rPr>
          <w:rFonts w:ascii="Arial" w:cs="Arial" w:eastAsia="Arial" w:hAnsi="Arial"/>
          <w:sz w:val="18"/>
          <w:szCs w:val="18"/>
          <w:i w:val="1"/>
          <w:iCs w:val="1"/>
          <w:color w:val="auto"/>
        </w:rPr>
        <w:t>MYC</w:t>
      </w:r>
      <w:r>
        <w:rPr>
          <w:rFonts w:ascii="Arial" w:cs="Arial" w:eastAsia="Arial" w:hAnsi="Arial"/>
          <w:sz w:val="18"/>
          <w:szCs w:val="18"/>
          <w:color w:val="auto"/>
        </w:rPr>
        <w:t xml:space="preserve"> and </w:t>
      </w:r>
      <w:r>
        <w:rPr>
          <w:rFonts w:ascii="Arial" w:cs="Arial" w:eastAsia="Arial" w:hAnsi="Arial"/>
          <w:sz w:val="18"/>
          <w:szCs w:val="18"/>
          <w:i w:val="1"/>
          <w:iCs w:val="1"/>
          <w:color w:val="auto"/>
        </w:rPr>
        <w:t>MYB</w:t>
      </w:r>
      <w:r>
        <w:rPr>
          <w:rFonts w:ascii="Arial" w:cs="Arial" w:eastAsia="Arial" w:hAnsi="Arial"/>
          <w:sz w:val="18"/>
          <w:szCs w:val="18"/>
          <w:color w:val="auto"/>
        </w:rPr>
        <w:t xml:space="preserve">. Preclinical evidence demonstrates that CDK9 inhibition represses </w:t>
      </w:r>
      <w:r>
        <w:rPr>
          <w:rFonts w:ascii="Arial" w:cs="Arial" w:eastAsia="Arial" w:hAnsi="Arial"/>
          <w:sz w:val="18"/>
          <w:szCs w:val="18"/>
          <w:i w:val="1"/>
          <w:iCs w:val="1"/>
          <w:color w:val="auto"/>
        </w:rPr>
        <w:t>MCL1</w:t>
      </w:r>
      <w:r>
        <w:rPr>
          <w:rFonts w:ascii="Arial" w:cs="Arial" w:eastAsia="Arial" w:hAnsi="Arial"/>
          <w:sz w:val="18"/>
          <w:szCs w:val="18"/>
          <w:color w:val="auto"/>
        </w:rPr>
        <w:t xml:space="preserve"> and thereby overcomes resistance to the BCL2 inhibitor venetoclax. Additionally, preclinical studies suggest that CDK9 inhibition perturbs </w:t>
      </w:r>
      <w:r>
        <w:rPr>
          <w:rFonts w:ascii="Arial" w:cs="Arial" w:eastAsia="Arial" w:hAnsi="Arial"/>
          <w:sz w:val="18"/>
          <w:szCs w:val="18"/>
          <w:i w:val="1"/>
          <w:iCs w:val="1"/>
          <w:color w:val="auto"/>
        </w:rPr>
        <w:t>MYC</w:t>
      </w:r>
      <w:r>
        <w:rPr>
          <w:rFonts w:ascii="Arial" w:cs="Arial" w:eastAsia="Arial" w:hAnsi="Arial"/>
          <w:sz w:val="18"/>
          <w:szCs w:val="18"/>
          <w:color w:val="auto"/>
        </w:rPr>
        <w:t xml:space="preserve">- mediated signaling and produces synthetic lethality in nuclear protein of the testis midline carcinoma, hepatocellular carcinoma and additional solid tumors. Our patient selection strategy in clinical trials would strive to exploit these synthetic lethality relationships by identifying cancers with molecular evidence of </w:t>
      </w:r>
      <w:r>
        <w:rPr>
          <w:rFonts w:ascii="Arial" w:cs="Arial" w:eastAsia="Arial" w:hAnsi="Arial"/>
          <w:sz w:val="18"/>
          <w:szCs w:val="18"/>
          <w:i w:val="1"/>
          <w:iCs w:val="1"/>
          <w:color w:val="auto"/>
        </w:rPr>
        <w:t xml:space="preserve">MCL1 </w:t>
      </w:r>
      <w:r>
        <w:rPr>
          <w:rFonts w:ascii="Arial" w:cs="Arial" w:eastAsia="Arial" w:hAnsi="Arial"/>
          <w:sz w:val="18"/>
          <w:szCs w:val="18"/>
          <w:color w:val="auto"/>
        </w:rPr>
        <w:t>and/or</w:t>
      </w:r>
      <w:r>
        <w:rPr>
          <w:rFonts w:ascii="Arial" w:cs="Arial" w:eastAsia="Arial" w:hAnsi="Arial"/>
          <w:sz w:val="18"/>
          <w:szCs w:val="18"/>
          <w:i w:val="1"/>
          <w:iCs w:val="1"/>
          <w:color w:val="auto"/>
        </w:rPr>
        <w:t xml:space="preserve"> MYC </w:t>
      </w:r>
      <w:r>
        <w:rPr>
          <w:rFonts w:ascii="Arial" w:cs="Arial" w:eastAsia="Arial" w:hAnsi="Arial"/>
          <w:sz w:val="18"/>
          <w:szCs w:val="18"/>
          <w:color w:val="auto"/>
        </w:rPr>
        <w:t>dysregulation.</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CDK9 Inhibitor: PRT2527</w:t>
      </w:r>
    </w:p>
    <w:p>
      <w:pPr>
        <w:spacing w:after="0" w:line="117" w:lineRule="exact"/>
        <w:rPr>
          <w:sz w:val="20"/>
          <w:szCs w:val="20"/>
          <w:color w:val="auto"/>
        </w:rPr>
      </w:pPr>
    </w:p>
    <w:p>
      <w:pPr>
        <w:ind w:right="20" w:firstLine="478"/>
        <w:spacing w:after="0" w:line="257" w:lineRule="auto"/>
        <w:rPr>
          <w:sz w:val="20"/>
          <w:szCs w:val="20"/>
          <w:color w:val="auto"/>
        </w:rPr>
      </w:pPr>
      <w:r>
        <w:rPr>
          <w:rFonts w:ascii="Arial" w:cs="Arial" w:eastAsia="Arial" w:hAnsi="Arial"/>
          <w:sz w:val="18"/>
          <w:szCs w:val="18"/>
          <w:color w:val="auto"/>
        </w:rPr>
        <w:t>Although various non-selective CDK9 inhibitors have progressed through clinical development, they have been significantly limited by narrow therapeutic windows due to adverse effects, including bone marrow suppression, nausea and GI effects. We have utilized structure-based design to identify a novel, structurally differentiated series of CDK9 inhibitors. Iterative synthesis and testing of over 600 compounds allowed the identification of PRT2527, which has improved potency and kinase selectivity compared to AZ4573, the most advanced CDK9-selective inhibitor currently in development. The PK and physical properties of PRT2527 are suitable for IV or SC dosing.</w:t>
      </w:r>
    </w:p>
    <w:p>
      <w:pPr>
        <w:spacing w:after="0" w:line="188" w:lineRule="exact"/>
        <w:rPr>
          <w:sz w:val="20"/>
          <w:szCs w:val="20"/>
          <w:color w:val="auto"/>
        </w:rPr>
      </w:pPr>
    </w:p>
    <w:p>
      <w:pPr>
        <w:ind w:right="180" w:firstLine="478"/>
        <w:spacing w:after="0" w:line="263" w:lineRule="auto"/>
        <w:rPr>
          <w:sz w:val="20"/>
          <w:szCs w:val="20"/>
          <w:color w:val="auto"/>
        </w:rPr>
      </w:pPr>
      <w:r>
        <w:rPr>
          <w:rFonts w:ascii="Arial" w:cs="Arial" w:eastAsia="Arial" w:hAnsi="Arial"/>
          <w:sz w:val="18"/>
          <w:szCs w:val="18"/>
          <w:color w:val="auto"/>
        </w:rPr>
        <w:t xml:space="preserve">In preclinical models, PRT2527 reduced MCL1 and MYC protein levels and was highly active in the </w:t>
      </w:r>
      <w:r>
        <w:rPr>
          <w:rFonts w:ascii="Arial" w:cs="Arial" w:eastAsia="Arial" w:hAnsi="Arial"/>
          <w:sz w:val="18"/>
          <w:szCs w:val="18"/>
          <w:i w:val="1"/>
          <w:iCs w:val="1"/>
          <w:color w:val="auto"/>
        </w:rPr>
        <w:t>MYC</w:t>
      </w:r>
      <w:r>
        <w:rPr>
          <w:rFonts w:ascii="Arial" w:cs="Arial" w:eastAsia="Arial" w:hAnsi="Arial"/>
          <w:sz w:val="18"/>
          <w:szCs w:val="18"/>
          <w:color w:val="auto"/>
        </w:rPr>
        <w:t>- amplified MV4-11 xenograft model at well-tolerated doses. Our preclinical studies suggest that PRT2527 demonstrates high selectivity and high potency, providing opportunity for a wider therapeutic index compared to less selective CDK9 inhibitors.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SMARCA2 targeted degrader program</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80" w:firstLine="478"/>
        <w:spacing w:after="0" w:line="273" w:lineRule="auto"/>
        <w:rPr>
          <w:sz w:val="20"/>
          <w:szCs w:val="20"/>
          <w:color w:val="auto"/>
        </w:rPr>
      </w:pPr>
      <w:r>
        <w:rPr>
          <w:rFonts w:ascii="Arial" w:cs="Arial" w:eastAsia="Arial" w:hAnsi="Arial"/>
          <w:sz w:val="17"/>
          <w:szCs w:val="17"/>
          <w:color w:val="auto"/>
        </w:rPr>
        <w:t xml:space="preserve">SMARCA2 (also known as BRM) and its related family member, SMARCA4 (also known as BRG1), are the enzymatic subunits of the SWI/SNF complex that regulates gene expression by allowing the DNA to be accessible for transcription to mature RNA, a process known as chromatin remodeling. </w:t>
      </w:r>
      <w:r>
        <w:rPr>
          <w:rFonts w:ascii="Arial" w:cs="Arial" w:eastAsia="Arial" w:hAnsi="Arial"/>
          <w:sz w:val="17"/>
          <w:szCs w:val="17"/>
          <w:i w:val="1"/>
          <w:iCs w:val="1"/>
          <w:color w:val="auto"/>
        </w:rPr>
        <w:t>SMARCA4</w:t>
      </w:r>
      <w:r>
        <w:rPr>
          <w:rFonts w:ascii="Arial" w:cs="Arial" w:eastAsia="Arial" w:hAnsi="Arial"/>
          <w:sz w:val="17"/>
          <w:szCs w:val="17"/>
          <w:color w:val="auto"/>
        </w:rPr>
        <w:t xml:space="preserve"> is mutated in multiple cancers, including 10-12% of NSCLC, resulting in loss of SMARCA4 protein. Because the activity of either SMARCA2 or SMARCA4 is required for chromatin remodeling to occur, the </w:t>
      </w:r>
      <w:r>
        <w:rPr>
          <w:rFonts w:ascii="Arial" w:cs="Arial" w:eastAsia="Arial" w:hAnsi="Arial"/>
          <w:sz w:val="17"/>
          <w:szCs w:val="17"/>
          <w:i w:val="1"/>
          <w:iCs w:val="1"/>
          <w:color w:val="auto"/>
        </w:rPr>
        <w:t>SMARCA4</w:t>
      </w:r>
      <w:r>
        <w:rPr>
          <w:rFonts w:ascii="Arial" w:cs="Arial" w:eastAsia="Arial" w:hAnsi="Arial"/>
          <w:sz w:val="17"/>
          <w:szCs w:val="17"/>
          <w:color w:val="auto"/>
        </w:rPr>
        <w:t xml:space="preserve">-deficient cancer cells become highly dependent on SMARCA2 for their survival. Therefore, we believe targeting SMARCA2 in </w:t>
      </w:r>
      <w:r>
        <w:rPr>
          <w:rFonts w:ascii="Arial" w:cs="Arial" w:eastAsia="Arial" w:hAnsi="Arial"/>
          <w:sz w:val="17"/>
          <w:szCs w:val="17"/>
          <w:i w:val="1"/>
          <w:iCs w:val="1"/>
          <w:color w:val="auto"/>
        </w:rPr>
        <w:t>SMARCA4</w:t>
      </w:r>
      <w:r>
        <w:rPr>
          <w:rFonts w:ascii="Arial" w:cs="Arial" w:eastAsia="Arial" w:hAnsi="Arial"/>
          <w:sz w:val="17"/>
          <w:szCs w:val="17"/>
          <w:color w:val="auto"/>
        </w:rPr>
        <w:t xml:space="preserve">-deficient cancers will produce a strong synthetic lethality, resulting in </w:t>
      </w:r>
      <w:r>
        <w:rPr>
          <w:rFonts w:ascii="Arial" w:cs="Arial" w:eastAsia="Arial" w:hAnsi="Arial"/>
          <w:sz w:val="17"/>
          <w:szCs w:val="17"/>
          <w:i w:val="1"/>
          <w:iCs w:val="1"/>
          <w:color w:val="auto"/>
        </w:rPr>
        <w:t>SMARCA4</w:t>
      </w:r>
      <w:r>
        <w:rPr>
          <w:rFonts w:ascii="Arial" w:cs="Arial" w:eastAsia="Arial" w:hAnsi="Arial"/>
          <w:sz w:val="17"/>
          <w:szCs w:val="17"/>
          <w:color w:val="auto"/>
        </w:rPr>
        <w:t xml:space="preserve"> mutant tumor cell death while sparing normal cells that express SMARCA4 protein.</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SMARCA2 Degrader Program</w:t>
      </w:r>
    </w:p>
    <w:p>
      <w:pPr>
        <w:spacing w:after="0" w:line="117" w:lineRule="exact"/>
        <w:rPr>
          <w:sz w:val="20"/>
          <w:szCs w:val="20"/>
          <w:color w:val="auto"/>
        </w:rPr>
      </w:pPr>
    </w:p>
    <w:p>
      <w:pPr>
        <w:ind w:firstLine="478"/>
        <w:spacing w:after="0" w:line="291" w:lineRule="auto"/>
        <w:rPr>
          <w:sz w:val="20"/>
          <w:szCs w:val="20"/>
          <w:color w:val="auto"/>
        </w:rPr>
      </w:pPr>
      <w:r>
        <w:rPr>
          <w:rFonts w:ascii="Arial" w:cs="Arial" w:eastAsia="Arial" w:hAnsi="Arial"/>
          <w:sz w:val="16"/>
          <w:szCs w:val="16"/>
          <w:color w:val="auto"/>
        </w:rPr>
        <w:t>Due to the high homology between SMARCA2 and SMARCA4, there are few structural differences in the binding sites between the two proteins and thus selective SMARCA2 degradation has been a challenge for medicinal chemistry. Targeted protein degradation is a relatively new approach to degrade oncogenic proteins and has been shown to provide selective degradation of highly homologous proteins. 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 degradation of the targeted protein. Selectivity can be achieved, not only by the selective binding to the target (SMARCA2), but also through the optimization of the unique ternary complexes formed by the target (SMARCA2) versus its homologous protein (SMARCA4).</w:t>
      </w:r>
    </w:p>
    <w:p>
      <w:pPr>
        <w:spacing w:after="0" w:line="166" w:lineRule="exact"/>
        <w:rPr>
          <w:sz w:val="20"/>
          <w:szCs w:val="20"/>
          <w:color w:val="auto"/>
        </w:rPr>
      </w:pPr>
    </w:p>
    <w:p>
      <w:pPr>
        <w:ind w:right="20" w:firstLine="478"/>
        <w:spacing w:after="0" w:line="275" w:lineRule="auto"/>
        <w:rPr>
          <w:sz w:val="20"/>
          <w:szCs w:val="20"/>
          <w:color w:val="auto"/>
        </w:rPr>
      </w:pPr>
      <w:r>
        <w:rPr>
          <w:rFonts w:ascii="Arial" w:cs="Arial" w:eastAsia="Arial" w:hAnsi="Arial"/>
          <w:sz w:val="17"/>
          <w:szCs w:val="17"/>
          <w:color w:val="auto"/>
        </w:rPr>
        <w:t>We used structure-based drug design to identify a novel series of potent SMARCA2 degraders that are outside the typical drug-like chemical space, being significantly larger and structurally more complex. Extensive structure activity relationships generated by the iterative synthesis and testing of &gt;250 compounds as of the date of this Annual Report on Form 10-K has allowed the identification of specific structural motifs that provide &gt;20-fold selectivity for SMARCA2 degradation over SMARCA4 while maintaining potent SMARCA2 degradation, DC50 &lt; 10 nM. DC50 is a quantitative measure of how much of a compound is needed to inhibit the degradation of a protein by 50%. We have designed our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40"/>
        <w:spacing w:after="0" w:line="263" w:lineRule="auto"/>
        <w:rPr>
          <w:sz w:val="20"/>
          <w:szCs w:val="20"/>
          <w:color w:val="auto"/>
        </w:rPr>
      </w:pPr>
      <w:r>
        <w:rPr>
          <w:rFonts w:ascii="Arial" w:cs="Arial" w:eastAsia="Arial" w:hAnsi="Arial"/>
          <w:sz w:val="18"/>
          <w:szCs w:val="18"/>
          <w:color w:val="auto"/>
        </w:rPr>
        <w:t xml:space="preserve">SMARCA2 degraders to be potent and selective to specifically inhibit </w:t>
      </w:r>
      <w:r>
        <w:rPr>
          <w:rFonts w:ascii="Arial" w:cs="Arial" w:eastAsia="Arial" w:hAnsi="Arial"/>
          <w:sz w:val="18"/>
          <w:szCs w:val="18"/>
          <w:i w:val="1"/>
          <w:iCs w:val="1"/>
          <w:color w:val="auto"/>
        </w:rPr>
        <w:t>SMARCA4-</w:t>
      </w:r>
      <w:r>
        <w:rPr>
          <w:rFonts w:ascii="Arial" w:cs="Arial" w:eastAsia="Arial" w:hAnsi="Arial"/>
          <w:sz w:val="18"/>
          <w:szCs w:val="18"/>
          <w:color w:val="auto"/>
        </w:rPr>
        <w:t xml:space="preserve"> deficient human NSCLC cell lines and primary patient derived samples. Optimization of the PK and physical properties suitable for oral, IV or SC dosing is on-going with the goal of initiating IND-enabling studies in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Kinase Program in Solid Tumors</w:t>
      </w:r>
    </w:p>
    <w:p>
      <w:pPr>
        <w:spacing w:after="0" w:line="121" w:lineRule="exact"/>
        <w:rPr>
          <w:sz w:val="20"/>
          <w:szCs w:val="20"/>
          <w:color w:val="auto"/>
        </w:rPr>
      </w:pPr>
    </w:p>
    <w:p>
      <w:pPr>
        <w:ind w:right="60" w:firstLine="478"/>
        <w:spacing w:after="0" w:line="257" w:lineRule="auto"/>
        <w:rPr>
          <w:sz w:val="20"/>
          <w:szCs w:val="20"/>
          <w:color w:val="auto"/>
        </w:rPr>
      </w:pPr>
      <w:r>
        <w:rPr>
          <w:rFonts w:ascii="Arial" w:cs="Arial" w:eastAsia="Arial" w:hAnsi="Arial"/>
          <w:sz w:val="18"/>
          <w:szCs w:val="18"/>
          <w:color w:val="auto"/>
        </w:rPr>
        <w:t>We are evaluating a kinase that has been shown in preclinical studies to be an oncogenic driver in cancer. Genomic alterations in this kinase have been identified in multiple tumor types and these tumors are sensitive inhibitors of this kinase in preclinical models. Current inhibitors of this kinase in development lack optimal PK and biodistribution properties. Our goal is to identify novel, potent, selective, oral inhibitors of this kinase that have an optimized PK profile for clinical development in patients with solid tumors. Optimization of our lead kinase inhibitor, PRT-K4, is ongoing with the goal of initiating IND-enabling studies in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20" w:firstLine="478"/>
        <w:spacing w:after="0" w:line="263"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184" w:lineRule="exact"/>
        <w:rPr>
          <w:sz w:val="20"/>
          <w:szCs w:val="20"/>
          <w:color w:val="auto"/>
        </w:rPr>
      </w:pPr>
    </w:p>
    <w:p>
      <w:pPr>
        <w:ind w:right="300" w:firstLine="478"/>
        <w:spacing w:after="0" w:line="279"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 proprietary rights of third parties. We also rely on know-how and continuing technological innovation to develop, strengthen, and maintain our proprietary position in the field of precision oncology.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more fully described below, our patent portfolio includes patent families with claims directed to compositions of matter for, and methods of using, compounds PRT543, PRT811 PRT1419, PRT2527, and compounds that degrade SMARCA2. A U.S. patent directed to PRT543 has issued and is expected to expire no earlier than August 9, 2038. In addition, a U.S. patent directed to PRT811 has issued and is expected to expire no earlier than March 14, 2039.</w:t>
      </w:r>
    </w:p>
    <w:p>
      <w:pPr>
        <w:spacing w:after="0" w:line="187" w:lineRule="exact"/>
        <w:rPr>
          <w:sz w:val="20"/>
          <w:szCs w:val="20"/>
          <w:color w:val="auto"/>
        </w:rPr>
      </w:pPr>
    </w:p>
    <w:p>
      <w:pPr>
        <w:ind w:right="300" w:firstLine="478"/>
        <w:spacing w:after="0" w:line="259" w:lineRule="auto"/>
        <w:rPr>
          <w:sz w:val="20"/>
          <w:szCs w:val="20"/>
          <w:color w:val="auto"/>
        </w:rPr>
      </w:pPr>
      <w:r>
        <w:rPr>
          <w:rFonts w:ascii="Arial" w:cs="Arial" w:eastAsia="Arial" w:hAnsi="Arial"/>
          <w:sz w:val="18"/>
          <w:szCs w:val="18"/>
          <w:color w:val="auto"/>
        </w:rPr>
        <w:t>In addition to our filings in the United States, we own patent applications that are pending in Australia, Brazil, Canada, China, Eurasia, Europe, Israel, Hong Kong, India, Japan, Korea, Mexico, New Zealand, Ukraine, and South Africa. Included in these applications are claims directed to the PRT543 composition and methods of using the same therapeutically. The patents from these applications, if issued, are expected to expire in August 2038, subject to any disclaimers or extensions.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patent portfolios for our most advanced programs are summarized below.</w:t>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PRT543</w:t>
      </w:r>
    </w:p>
    <w:p>
      <w:pPr>
        <w:spacing w:after="0" w:line="117" w:lineRule="exact"/>
        <w:rPr>
          <w:sz w:val="20"/>
          <w:szCs w:val="20"/>
          <w:color w:val="auto"/>
        </w:rPr>
      </w:pPr>
    </w:p>
    <w:p>
      <w:pPr>
        <w:ind w:firstLine="478"/>
        <w:spacing w:after="0" w:line="293" w:lineRule="auto"/>
        <w:rPr>
          <w:sz w:val="20"/>
          <w:szCs w:val="20"/>
          <w:color w:val="auto"/>
        </w:rPr>
      </w:pPr>
      <w:r>
        <w:rPr>
          <w:rFonts w:ascii="Arial" w:cs="Arial" w:eastAsia="Arial" w:hAnsi="Arial"/>
          <w:sz w:val="16"/>
          <w:szCs w:val="16"/>
          <w:color w:val="auto"/>
        </w:rPr>
        <w:t>Our PRT543 patent portfolio is wholly owned by us. The portfolio includes one issued U.S. patent, which claims, among other things, PRT543, pharmaceutical compositions comprising PRT543, methods of inhibiting PRMT5 using PRT543, and methods of treating certain cancers, including breast and ovarian cancers, using PRT543. This U.S. patent is expected to expire no earlier than August 9, 2038, subject to any disclaimers or extensions available under the Hatch-Waxman Act. Corresponding patent applications are pending in several other countries and regions, including Australia, Brazil, Canada, China, Eurasia, Europe, Hong Kong, Israel, India, Japan, Korea, Mexico, New Zealand, Ukraine, and South Africa. Any patents resulting from these patent applications, if issued, are also expected to expire no earlier than August 9, 2038, subject to any disclaimers or extensions.</w:t>
      </w:r>
    </w:p>
    <w:p>
      <w:pPr>
        <w:spacing w:after="0" w:line="164" w:lineRule="exact"/>
        <w:rPr>
          <w:sz w:val="20"/>
          <w:szCs w:val="20"/>
          <w:color w:val="auto"/>
        </w:rPr>
      </w:pPr>
    </w:p>
    <w:p>
      <w:pPr>
        <w:ind w:right="320" w:firstLine="478"/>
        <w:spacing w:after="0" w:line="259" w:lineRule="auto"/>
        <w:rPr>
          <w:sz w:val="20"/>
          <w:szCs w:val="20"/>
          <w:color w:val="auto"/>
        </w:rPr>
      </w:pPr>
      <w:r>
        <w:rPr>
          <w:rFonts w:ascii="Arial" w:cs="Arial" w:eastAsia="Arial" w:hAnsi="Arial"/>
          <w:sz w:val="18"/>
          <w:szCs w:val="18"/>
          <w:color w:val="auto"/>
        </w:rPr>
        <w:t>The PRT543 patent portfolio also includes three pending U.S. and two pending PCT patent applications, which claim, among other things, a genus of compounds that encompass PRT543, PRT543 salts and crystalline forms, methods of preparing PRT543, and additional methods of treatment using PRT543. Any U.S. patents issuing from these applications would be expected to expire no earlier than August 9, 2038, February 13, 2040, April 3, 2040, and December 10, 2041 respectively, subject to any disclaimers or extensions.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left="480"/>
        <w:spacing w:after="0"/>
        <w:rPr>
          <w:sz w:val="20"/>
          <w:szCs w:val="20"/>
          <w:color w:val="auto"/>
        </w:rPr>
      </w:pPr>
      <w:r>
        <w:rPr>
          <w:rFonts w:ascii="Arial" w:cs="Arial" w:eastAsia="Arial" w:hAnsi="Arial"/>
          <w:sz w:val="18"/>
          <w:szCs w:val="18"/>
          <w:b w:val="1"/>
          <w:bCs w:val="1"/>
          <w:i w:val="1"/>
          <w:iCs w:val="1"/>
          <w:color w:val="auto"/>
        </w:rPr>
        <w:t>PRT811</w:t>
      </w:r>
    </w:p>
    <w:p>
      <w:pPr>
        <w:spacing w:after="0" w:line="117" w:lineRule="exact"/>
        <w:rPr>
          <w:sz w:val="20"/>
          <w:szCs w:val="20"/>
          <w:color w:val="auto"/>
        </w:rPr>
      </w:pPr>
    </w:p>
    <w:p>
      <w:pPr>
        <w:ind w:right="100" w:firstLine="478"/>
        <w:spacing w:after="0" w:line="273" w:lineRule="auto"/>
        <w:rPr>
          <w:sz w:val="20"/>
          <w:szCs w:val="20"/>
          <w:color w:val="auto"/>
        </w:rPr>
      </w:pPr>
      <w:r>
        <w:rPr>
          <w:rFonts w:ascii="Arial" w:cs="Arial" w:eastAsia="Arial" w:hAnsi="Arial"/>
          <w:sz w:val="17"/>
          <w:szCs w:val="17"/>
          <w:color w:val="auto"/>
        </w:rPr>
        <w:t>Our PRT811 patent portfolio is wholly owned by us. The portfolio includes one issued U.S. patent, which claims, among other things, PRT811, pharmaceutical compositions comprising PRT811, methods of inhibiting PRMT5 using PRT811, and methods of treating certain cancers, including glioblastoma, using PRT811. The patent is expected to expire no earlier than March 14, 2039, subject to any disclaimers or extensions available under the Hatch-Waxman Act. A related PCT application was filed, and corresponding national phase applications were filed in Australia, Brazil, Canada, China, Eurasia, Europe, India, Israel, Japan, Korea, Mexico, New Zealand, Ukraine and South Africa. Any patents resulting from these national patent applications, if issued, are expected to expire no earlier than March 14, 2039, subject to any disclaimers or extensions.</w:t>
      </w:r>
    </w:p>
    <w:p>
      <w:pPr>
        <w:spacing w:after="0" w:line="178"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The PRT811 patent portfolio also includes two pending U.S. non-provisional applications, a first PCT application that claims compositions of matter, and a second PCT application that claims methods of treatment. Any patents issuing from the two pending U.S. non-provisional applications would be expected to expire in 2039, and any patents issuing from the two PCT applications would be expected to expire in 2040, subject to any disclaimers or extensions.</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PRT1419</w:t>
      </w:r>
    </w:p>
    <w:p>
      <w:pPr>
        <w:spacing w:after="0" w:line="117" w:lineRule="exact"/>
        <w:rPr>
          <w:sz w:val="20"/>
          <w:szCs w:val="20"/>
          <w:color w:val="auto"/>
        </w:rPr>
      </w:pPr>
    </w:p>
    <w:p>
      <w:pPr>
        <w:ind w:right="20" w:firstLine="478"/>
        <w:spacing w:after="0" w:line="275" w:lineRule="auto"/>
        <w:rPr>
          <w:sz w:val="20"/>
          <w:szCs w:val="20"/>
          <w:color w:val="auto"/>
        </w:rPr>
      </w:pPr>
      <w:r>
        <w:rPr>
          <w:rFonts w:ascii="Arial" w:cs="Arial" w:eastAsia="Arial" w:hAnsi="Arial"/>
          <w:sz w:val="17"/>
          <w:szCs w:val="17"/>
          <w:color w:val="auto"/>
        </w:rPr>
        <w:t>Our PRT1419 patent portfolio, which is wholly owned by us, includes pending U.S. patent applications claiming, among other things, PRT1419 and other compounds, pharmaceutical compositions comprising PRT1419, and methods of using PRT1419. Any patents issued from this application would be expected to expire no earlier than November 8, 2039, subject to any disclaimers or extensions. A related PCT application was filed and national patent applications based on that application are planned for filing in non-U.S. countries in May and June 2021. Any patents resulting from these national patent applications, if issued, would expire no earlier than November 8, 2039, subject to any disclaimers or extensions.</w:t>
      </w:r>
    </w:p>
    <w:p>
      <w:pPr>
        <w:spacing w:after="0" w:line="176" w:lineRule="exact"/>
        <w:rPr>
          <w:sz w:val="20"/>
          <w:szCs w:val="20"/>
          <w:color w:val="auto"/>
        </w:rPr>
      </w:pPr>
    </w:p>
    <w:p>
      <w:pPr>
        <w:ind w:right="240" w:firstLine="478"/>
        <w:spacing w:after="0" w:line="277" w:lineRule="auto"/>
        <w:rPr>
          <w:sz w:val="20"/>
          <w:szCs w:val="20"/>
          <w:color w:val="auto"/>
        </w:rPr>
      </w:pPr>
      <w:r>
        <w:rPr>
          <w:rFonts w:ascii="Arial" w:cs="Arial" w:eastAsia="Arial" w:hAnsi="Arial"/>
          <w:sz w:val="18"/>
          <w:szCs w:val="18"/>
          <w:color w:val="auto"/>
        </w:rPr>
        <w:t>The PRT1419 patent portfolio also includes a pending U.S. provisional application that claims additional compositions of matter. Any patents granted that claim priority to this provisional application could expire as late as 2041.</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PRT2527</w:t>
      </w:r>
    </w:p>
    <w:p>
      <w:pPr>
        <w:spacing w:after="0" w:line="117" w:lineRule="exact"/>
        <w:rPr>
          <w:sz w:val="20"/>
          <w:szCs w:val="20"/>
          <w:color w:val="auto"/>
        </w:rPr>
      </w:pPr>
    </w:p>
    <w:p>
      <w:pPr>
        <w:ind w:right="180" w:firstLine="478"/>
        <w:spacing w:after="0" w:line="259" w:lineRule="auto"/>
        <w:rPr>
          <w:sz w:val="20"/>
          <w:szCs w:val="20"/>
          <w:color w:val="auto"/>
        </w:rPr>
      </w:pPr>
      <w:r>
        <w:rPr>
          <w:rFonts w:ascii="Arial" w:cs="Arial" w:eastAsia="Arial" w:hAnsi="Arial"/>
          <w:sz w:val="18"/>
          <w:szCs w:val="18"/>
          <w:color w:val="auto"/>
        </w:rPr>
        <w:t>Our PRT2527 patent portfolio, which is wholly owned by us, includes one U.S. non-provisional patent application and one PCT application claiming, among other things, PRT2527 and other compounds, pharmaceutical compositions comprising PRT2527, and methods of using PRT2527. Any patents that issue based upon these U.S. non-provisional and PCT applications would be expected to expire no earlier than 2040, subject to any disclaimers or extensions.</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SMARCA2 Degraders</w:t>
      </w:r>
    </w:p>
    <w:p>
      <w:pPr>
        <w:spacing w:after="0" w:line="117" w:lineRule="exact"/>
        <w:rPr>
          <w:sz w:val="20"/>
          <w:szCs w:val="20"/>
          <w:color w:val="auto"/>
        </w:rPr>
      </w:pPr>
    </w:p>
    <w:p>
      <w:pPr>
        <w:jc w:val="both"/>
        <w:ind w:right="240" w:firstLine="478"/>
        <w:spacing w:after="0" w:line="263" w:lineRule="auto"/>
        <w:rPr>
          <w:sz w:val="20"/>
          <w:szCs w:val="20"/>
          <w:color w:val="auto"/>
        </w:rPr>
      </w:pPr>
      <w:r>
        <w:rPr>
          <w:rFonts w:ascii="Arial" w:cs="Arial" w:eastAsia="Arial" w:hAnsi="Arial"/>
          <w:sz w:val="18"/>
          <w:szCs w:val="18"/>
          <w:color w:val="auto"/>
        </w:rPr>
        <w:t>The SMARCA2 degrader patent portfolio includes one pending non-provisional U.S. application, one PCT application, and two U.S. provisional applications which claim, among other things, genera of compounds that encompass SMARCA2 and/or related inhibitors, pharmaceutical compositions comprising those inhibitors, and methods of treating cancer with those inhibitors.</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80" w:firstLine="478"/>
        <w:spacing w:after="0" w:line="275" w:lineRule="auto"/>
        <w:rPr>
          <w:sz w:val="20"/>
          <w:szCs w:val="20"/>
          <w:color w:val="auto"/>
        </w:rPr>
      </w:pPr>
      <w:r>
        <w:rPr>
          <w:rFonts w:ascii="Arial" w:cs="Arial" w:eastAsia="Arial" w:hAnsi="Arial"/>
          <w:sz w:val="17"/>
          <w:szCs w:val="17"/>
          <w:color w:val="auto"/>
        </w:rPr>
        <w:t>In addition, we have patent portfolios that are directed to a number of different compounds other than PRT543, PRT811, PRT1419, PRT2527, and SMARCA2 degraders. We have patent applications directed to compounds that target resistance mechanisms in cancer. We expect to maintain some of these applications in the United States and to also file in foreign countries. In addition to the applications described above, we wholly-own 11 applications including U.S. provisional patent applications, U.S. non-provisional patent applications, foreign applications, and PCT applications, covering compositions and methods of making and using those compounds to treat cancer and other diseases.</w:t>
      </w:r>
    </w:p>
    <w:p>
      <w:pPr>
        <w:spacing w:after="0" w:line="176"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42" w:name="page43"/>
    <w:bookmarkEnd w:id="42"/>
    <w:p>
      <w:pPr>
        <w:ind w:right="20" w:firstLine="478"/>
        <w:spacing w:after="0" w:line="291" w:lineRule="auto"/>
        <w:rPr>
          <w:sz w:val="20"/>
          <w:szCs w:val="20"/>
          <w:color w:val="auto"/>
        </w:rPr>
      </w:pPr>
      <w:r>
        <w:rPr>
          <w:rFonts w:ascii="Arial" w:cs="Arial" w:eastAsia="Arial" w:hAnsi="Arial"/>
          <w:sz w:val="16"/>
          <w:szCs w:val="16"/>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w:t>
      </w:r>
    </w:p>
    <w:p>
      <w:pPr>
        <w:ind w:right="540" w:firstLine="8"/>
        <w:spacing w:after="0" w:line="323" w:lineRule="auto"/>
        <w:tabs>
          <w:tab w:leader="none" w:pos="1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patent term extension of up to five years beyond the original expiration of the patent. The protection provided by a patent varies from country to country, and is dependent on the type of patent granted, the scope of the patent claims, and the legal remedies available in a given country.</w:t>
      </w:r>
    </w:p>
    <w:p>
      <w:pPr>
        <w:spacing w:after="0" w:line="138" w:lineRule="exact"/>
        <w:rPr>
          <w:sz w:val="20"/>
          <w:szCs w:val="20"/>
          <w:color w:val="auto"/>
        </w:rPr>
      </w:pPr>
    </w:p>
    <w:p>
      <w:pPr>
        <w:ind w:right="20" w:firstLine="478"/>
        <w:spacing w:after="0" w:line="270" w:lineRule="auto"/>
        <w:rPr>
          <w:sz w:val="20"/>
          <w:szCs w:val="20"/>
          <w:color w:val="auto"/>
        </w:rPr>
      </w:pPr>
      <w:r>
        <w:rPr>
          <w:rFonts w:ascii="Arial" w:cs="Arial" w:eastAsia="Arial" w:hAnsi="Arial"/>
          <w:sz w:val="17"/>
          <w:szCs w:val="17"/>
          <w:color w:val="auto"/>
        </w:rPr>
        <w:t>Obtaining patent protection is not the only method that we employ to protect our proprietary rights. We also utilize other forms of intellectual property protection, including trademark, copyright, and trade secrets, when those other forms are better suited to protect a particular aspect of our intellectual property. Our belief is that our proprietary rights are strengthened by our comprehensive approach to intellectual property protection.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 for redundant supply for active pharmaceutical ingredients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16"/>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If we are successful in obtaining necessary regulatory approval, we may pursue commercialization on our own or seek to collaborate with a third party for commercialization, particularly outside the United States.</w:t>
      </w:r>
    </w:p>
    <w:p>
      <w:pPr>
        <w:spacing w:after="0" w:line="184" w:lineRule="exact"/>
        <w:rPr>
          <w:sz w:val="20"/>
          <w:szCs w:val="20"/>
          <w:color w:val="auto"/>
        </w:rPr>
      </w:pPr>
    </w:p>
    <w:p>
      <w:pPr>
        <w:ind w:right="60" w:firstLine="478"/>
        <w:spacing w:after="0" w:line="269" w:lineRule="auto"/>
        <w:rPr>
          <w:sz w:val="20"/>
          <w:szCs w:val="20"/>
          <w:color w:val="auto"/>
        </w:rPr>
      </w:pPr>
      <w:r>
        <w:rPr>
          <w:rFonts w:ascii="Arial" w:cs="Arial" w:eastAsia="Arial" w:hAnsi="Arial"/>
          <w:sz w:val="17"/>
          <w:szCs w:val="17"/>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560" w:firstLine="478"/>
        <w:spacing w:after="0" w:line="277"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optimized to target the key driver mechanisms in cancers with high unmet need.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ind w:right="40"/>
        <w:spacing w:after="0" w:line="279" w:lineRule="auto"/>
        <w:rPr>
          <w:sz w:val="20"/>
          <w:szCs w:val="20"/>
          <w:color w:val="auto"/>
        </w:rPr>
      </w:pPr>
      <w:r>
        <w:rPr>
          <w:rFonts w:ascii="Arial" w:cs="Arial" w:eastAsia="Arial" w:hAnsi="Arial"/>
          <w:sz w:val="17"/>
          <w:szCs w:val="17"/>
          <w:color w:val="auto"/>
        </w:rPr>
        <w:t>Several biopharmaceutical companies, including Black Diamond Therapeutics, Inc., Constellation Pharmaceuticals, Inc., Kronos Bio, Inc., Repare Therapeutics Inc., Revolution Medicines, Inc., Relay Therapeutics, Inc., Vincerx Pharma, Inc. and Zentalis Pharmaceuticals, Inc., are developing precision oncology medicines. In addition, we may face competition from companies developing product candidates that are based on targeting pathways of adaptive resistance, including Amgen, AbbVie, AstraZeneca, GlaxoSmithKline, Johnson &amp; Johnson, Pfizer, Bayer and Novartis.</w:t>
      </w:r>
    </w:p>
    <w:p>
      <w:pPr>
        <w:spacing w:after="0" w:line="171" w:lineRule="exact"/>
        <w:rPr>
          <w:sz w:val="20"/>
          <w:szCs w:val="20"/>
          <w:color w:val="auto"/>
        </w:rPr>
      </w:pPr>
    </w:p>
    <w:p>
      <w:pPr>
        <w:ind w:right="40" w:firstLine="478"/>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82" w:lineRule="exact"/>
        <w:rPr>
          <w:sz w:val="20"/>
          <w:szCs w:val="20"/>
          <w:color w:val="auto"/>
        </w:rPr>
      </w:pPr>
    </w:p>
    <w:p>
      <w:pPr>
        <w:ind w:right="140" w:firstLine="478"/>
        <w:spacing w:after="0" w:line="279" w:lineRule="auto"/>
        <w:rPr>
          <w:sz w:val="20"/>
          <w:szCs w:val="20"/>
          <w:color w:val="auto"/>
        </w:rPr>
      </w:pPr>
      <w:r>
        <w:rPr>
          <w:rFonts w:ascii="Arial" w:cs="Arial" w:eastAsia="Arial" w:hAnsi="Arial"/>
          <w:sz w:val="17"/>
          <w:szCs w:val="17"/>
          <w:color w:val="auto"/>
        </w:rPr>
        <w:t>With respect to our PRMT5 programs, PRT543 and PRT811, several companies are developing PRMT5 inhibitors with clinical trials ongoing, including GlaxoSmithKline (GSK3326595), Johnson &amp; Johnson (JNJ-64619178) and Pfizer (PF-06939999). For our product candidate PRT1419, other companies are developing MCL1 inhibitors with monotherapy and/or combination trials ongoing, including Amgen (AMG176), AstraZeneca (AZD5991) and Novartis (MIK665). For our preclinical CDK9 program, both AstraZeneca and Bayer have CDK9 programs in Phase 1 clinical trials.</w:t>
      </w:r>
    </w:p>
    <w:p>
      <w:pPr>
        <w:spacing w:after="0" w:line="185" w:lineRule="exact"/>
        <w:rPr>
          <w:sz w:val="20"/>
          <w:szCs w:val="20"/>
          <w:color w:val="auto"/>
        </w:rPr>
      </w:pPr>
    </w:p>
    <w:p>
      <w:pPr>
        <w:ind w:right="140" w:firstLine="478"/>
        <w:spacing w:after="0" w:line="255"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firstLine="478"/>
        <w:spacing w:after="0" w:line="27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31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31" w:lineRule="exact"/>
        <w:rPr>
          <w:sz w:val="20"/>
          <w:szCs w:val="20"/>
          <w:color w:val="auto"/>
        </w:rPr>
      </w:pPr>
    </w:p>
    <w:p>
      <w:pPr>
        <w:ind w:right="40" w:firstLine="478"/>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Food and Drug Administration, or FDA, The Federal Food, Drug, and Cosmetic Act, or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ind w:firstLine="478"/>
        <w:spacing w:after="0" w:line="257"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U.S. typically involves preclinical laboratory and animal tests, the submission to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228" w:lineRule="exact"/>
        <w:rPr>
          <w:sz w:val="20"/>
          <w:szCs w:val="20"/>
          <w:color w:val="auto"/>
        </w:rPr>
      </w:pPr>
    </w:p>
    <w:p>
      <w:pPr>
        <w:ind w:right="20" w:firstLine="478"/>
        <w:spacing w:after="0" w:line="252"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FDA has neither commented on nor questioned the IND within this 30-day period, the clinical trial proposed in the IND may begin. 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w:t>
      </w:r>
    </w:p>
    <w:p>
      <w:pPr>
        <w:spacing w:after="0" w:line="240" w:lineRule="exact"/>
        <w:rPr>
          <w:sz w:val="20"/>
          <w:szCs w:val="20"/>
          <w:color w:val="auto"/>
        </w:rPr>
      </w:pPr>
    </w:p>
    <w:p>
      <w:pPr>
        <w:ind w:right="100" w:firstLine="478"/>
        <w:spacing w:after="0" w:line="254" w:lineRule="auto"/>
        <w:rPr>
          <w:sz w:val="20"/>
          <w:szCs w:val="20"/>
          <w:color w:val="auto"/>
        </w:rPr>
      </w:pPr>
      <w:r>
        <w:rPr>
          <w:rFonts w:ascii="Arial" w:cs="Arial" w:eastAsia="Arial" w:hAnsi="Arial"/>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to an institutional review board, or IRB, and ethics committee for approval.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232" w:lineRule="exact"/>
        <w:rPr>
          <w:sz w:val="20"/>
          <w:szCs w:val="20"/>
          <w:color w:val="auto"/>
        </w:rPr>
      </w:pPr>
    </w:p>
    <w:p>
      <w:pPr>
        <w:ind w:right="20" w:firstLine="478"/>
        <w:spacing w:after="0" w:line="269"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spacing w:after="0" w:line="179" w:lineRule="exact"/>
        <w:rPr>
          <w:sz w:val="20"/>
          <w:szCs w:val="20"/>
          <w:color w:val="auto"/>
        </w:rPr>
      </w:pPr>
    </w:p>
    <w:p>
      <w:pPr>
        <w:ind w:right="120" w:firstLine="478"/>
        <w:spacing w:after="0" w:line="263" w:lineRule="auto"/>
        <w:rPr>
          <w:sz w:val="20"/>
          <w:szCs w:val="20"/>
          <w:color w:val="auto"/>
        </w:rPr>
      </w:pPr>
      <w:r>
        <w:rPr>
          <w:rFonts w:ascii="Arial" w:cs="Arial" w:eastAsia="Arial" w:hAnsi="Arial"/>
          <w:sz w:val="18"/>
          <w:szCs w:val="18"/>
          <w:color w:val="auto"/>
        </w:rPr>
        <w:t>These Phases may overlap or be combined. For example, a Phase 1/2 clinical trial may contain both a dose- 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84" w:lineRule="exact"/>
        <w:rPr>
          <w:sz w:val="20"/>
          <w:szCs w:val="20"/>
          <w:color w:val="auto"/>
        </w:rPr>
      </w:pPr>
    </w:p>
    <w:p>
      <w:pPr>
        <w:ind w:right="120" w:firstLine="478"/>
        <w:spacing w:after="0" w:line="277" w:lineRule="auto"/>
        <w:rPr>
          <w:sz w:val="20"/>
          <w:szCs w:val="20"/>
          <w:color w:val="auto"/>
        </w:rPr>
      </w:pPr>
      <w:r>
        <w:rPr>
          <w:rFonts w:ascii="Arial" w:cs="Arial" w:eastAsia="Arial" w:hAnsi="Arial"/>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220"/>
        <w:spacing w:after="0" w:line="277" w:lineRule="auto"/>
        <w:rPr>
          <w:sz w:val="20"/>
          <w:szCs w:val="20"/>
          <w:color w:val="auto"/>
        </w:rPr>
      </w:pPr>
      <w:r>
        <w:rPr>
          <w:rFonts w:ascii="Arial" w:cs="Arial" w:eastAsia="Arial" w:hAnsi="Arial"/>
          <w:sz w:val="18"/>
          <w:szCs w:val="18"/>
          <w:color w:val="auto"/>
        </w:rPr>
        <w:t>during Phase 1 clinical trials for non-oncology therapies. A single pivotal trial may be sufficient in rare instances to provide substantial evidence of effectiveness (generally subject to the requirement of additional post-approval studies).</w:t>
      </w:r>
    </w:p>
    <w:p>
      <w:pPr>
        <w:spacing w:after="0" w:line="170" w:lineRule="exact"/>
        <w:rPr>
          <w:sz w:val="20"/>
          <w:szCs w:val="20"/>
          <w:color w:val="auto"/>
        </w:rPr>
      </w:pPr>
    </w:p>
    <w:p>
      <w:pPr>
        <w:ind w:right="300" w:firstLine="478"/>
        <w:spacing w:after="0" w:line="277" w:lineRule="auto"/>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70" w:lineRule="exact"/>
        <w:rPr>
          <w:sz w:val="20"/>
          <w:szCs w:val="20"/>
          <w:color w:val="auto"/>
        </w:rPr>
      </w:pPr>
    </w:p>
    <w:p>
      <w:pPr>
        <w:ind w:right="300" w:firstLine="478"/>
        <w:spacing w:after="0" w:line="263" w:lineRule="auto"/>
        <w:rPr>
          <w:sz w:val="20"/>
          <w:szCs w:val="20"/>
          <w:color w:val="auto"/>
        </w:rPr>
      </w:pPr>
      <w:r>
        <w:rPr>
          <w:rFonts w:ascii="Arial" w:cs="Arial" w:eastAsia="Arial" w:hAnsi="Arial"/>
          <w:sz w:val="18"/>
          <w:szCs w:val="18"/>
          <w:color w:val="auto"/>
        </w:rPr>
        <w:t>After completion of the required clinical testing, an NDA is prepared and submitted to FDA.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184" w:lineRule="exact"/>
        <w:rPr>
          <w:sz w:val="20"/>
          <w:szCs w:val="20"/>
          <w:color w:val="auto"/>
        </w:rPr>
      </w:pPr>
    </w:p>
    <w:p>
      <w:pPr>
        <w:ind w:right="120" w:firstLine="478"/>
        <w:spacing w:after="0" w:line="257" w:lineRule="auto"/>
        <w:rPr>
          <w:sz w:val="20"/>
          <w:szCs w:val="20"/>
          <w:color w:val="auto"/>
        </w:rPr>
      </w:pPr>
      <w:r>
        <w:rPr>
          <w:rFonts w:ascii="Arial" w:cs="Arial" w:eastAsia="Arial" w:hAnsi="Arial"/>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188" w:lineRule="exact"/>
        <w:rPr>
          <w:sz w:val="20"/>
          <w:szCs w:val="20"/>
          <w:color w:val="auto"/>
        </w:rPr>
      </w:pPr>
    </w:p>
    <w:p>
      <w:pPr>
        <w:ind w:right="20" w:firstLine="478"/>
        <w:spacing w:after="0" w:line="270" w:lineRule="auto"/>
        <w:rPr>
          <w:sz w:val="20"/>
          <w:szCs w:val="20"/>
          <w:color w:val="auto"/>
        </w:rPr>
      </w:pPr>
      <w:r>
        <w:rPr>
          <w:rFonts w:ascii="Arial" w:cs="Arial" w:eastAsia="Arial" w:hAnsi="Arial"/>
          <w:sz w:val="17"/>
          <w:szCs w:val="17"/>
          <w:color w:val="auto"/>
        </w:rPr>
        <w:t>FDA reviews each submitted NDA before it determines whether to file it, based on the agency’s threshold determination that it is sufficiently complete to permit substantive review, and FDA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Most applications for standard review drug products are reviewed within ten to twelve months; most applications for priority review drugs are reviewed in six to eight months. Priority review can be applied to drugs that FDA determines offer major advances in treatment or provide a treatment where no adequate therapy exists. The review process for both standard and priority review may be extended by FDA for three additional months to consider certain late- 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181" w:lineRule="exact"/>
        <w:rPr>
          <w:sz w:val="20"/>
          <w:szCs w:val="20"/>
          <w:color w:val="auto"/>
        </w:rPr>
      </w:pPr>
    </w:p>
    <w:p>
      <w:pPr>
        <w:ind w:right="300" w:firstLine="478"/>
        <w:spacing w:after="0" w:line="259" w:lineRule="auto"/>
        <w:rPr>
          <w:sz w:val="20"/>
          <w:szCs w:val="20"/>
          <w:color w:val="auto"/>
        </w:rPr>
      </w:pPr>
      <w:r>
        <w:rPr>
          <w:rFonts w:ascii="Arial" w:cs="Arial" w:eastAsia="Arial" w:hAnsi="Arial"/>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FDA is not bound by the recommendation of an advisory committee, but it generally follows such recommendations.</w:t>
      </w:r>
    </w:p>
    <w:p>
      <w:pPr>
        <w:spacing w:after="0" w:line="187" w:lineRule="exact"/>
        <w:rPr>
          <w:sz w:val="20"/>
          <w:szCs w:val="20"/>
          <w:color w:val="auto"/>
        </w:rPr>
      </w:pPr>
    </w:p>
    <w:p>
      <w:pPr>
        <w:ind w:right="80" w:firstLine="478"/>
        <w:spacing w:after="0" w:line="301" w:lineRule="auto"/>
        <w:rPr>
          <w:sz w:val="20"/>
          <w:szCs w:val="20"/>
          <w:color w:val="auto"/>
        </w:rPr>
      </w:pPr>
      <w:r>
        <w:rPr>
          <w:rFonts w:ascii="Arial" w:cs="Arial" w:eastAsia="Arial" w:hAnsi="Arial"/>
          <w:sz w:val="16"/>
          <w:szCs w:val="16"/>
          <w:color w:val="auto"/>
        </w:rPr>
        <w:t>Before approving an NDA, FDA will conduct a pre-approval inspection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also typically inspects one or more clinical trial sites to ensure compliance with GCP requirements and the integrity of the data supporting safety and efficacy.</w:t>
      </w:r>
    </w:p>
    <w:p>
      <w:pPr>
        <w:spacing w:after="0" w:line="157" w:lineRule="exact"/>
        <w:rPr>
          <w:sz w:val="20"/>
          <w:szCs w:val="20"/>
          <w:color w:val="auto"/>
        </w:rPr>
      </w:pPr>
    </w:p>
    <w:p>
      <w:pPr>
        <w:ind w:firstLine="478"/>
        <w:spacing w:after="0" w:line="272" w:lineRule="auto"/>
        <w:rPr>
          <w:sz w:val="20"/>
          <w:szCs w:val="20"/>
          <w:color w:val="auto"/>
        </w:rPr>
      </w:pPr>
      <w:r>
        <w:rPr>
          <w:rFonts w:ascii="Arial" w:cs="Arial" w:eastAsia="Arial" w:hAnsi="Arial"/>
          <w:sz w:val="17"/>
          <w:szCs w:val="17"/>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 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FDA has committed to reviewing resubmissions in two or six months depending on the type of information included. Even if such data and information are submitted, the FDA may decide that the NDA does not satisfy the criteria for approval.</w:t>
      </w:r>
    </w:p>
    <w:p>
      <w:pPr>
        <w:spacing w:after="0" w:line="177" w:lineRule="exact"/>
        <w:rPr>
          <w:sz w:val="20"/>
          <w:szCs w:val="20"/>
          <w:color w:val="auto"/>
        </w:rPr>
      </w:pPr>
    </w:p>
    <w:p>
      <w:pPr>
        <w:ind w:right="420" w:firstLine="478"/>
        <w:spacing w:after="0" w:line="263" w:lineRule="auto"/>
        <w:rPr>
          <w:sz w:val="20"/>
          <w:szCs w:val="20"/>
          <w:color w:val="auto"/>
        </w:rPr>
      </w:pPr>
      <w:r>
        <w:rPr>
          <w:rFonts w:ascii="Arial" w:cs="Arial" w:eastAsia="Arial" w:hAnsi="Arial"/>
          <w:sz w:val="18"/>
          <w:szCs w:val="18"/>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7"/>
          <w:szCs w:val="17"/>
          <w:color w:val="auto"/>
        </w:rPr>
        <w:t>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78"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78"/>
        <w:spacing w:after="0" w:line="257" w:lineRule="auto"/>
        <w:rPr>
          <w:sz w:val="20"/>
          <w:szCs w:val="20"/>
          <w:color w:val="auto"/>
        </w:rPr>
      </w:pPr>
      <w:r>
        <w:rPr>
          <w:rFonts w:ascii="Arial" w:cs="Arial" w:eastAsia="Arial" w:hAnsi="Arial"/>
          <w:sz w:val="18"/>
          <w:szCs w:val="18"/>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Fast Track Designation</w:t>
      </w:r>
    </w:p>
    <w:p>
      <w:pPr>
        <w:spacing w:after="0" w:line="117" w:lineRule="exact"/>
        <w:rPr>
          <w:sz w:val="20"/>
          <w:szCs w:val="20"/>
          <w:color w:val="auto"/>
        </w:rPr>
      </w:pPr>
    </w:p>
    <w:p>
      <w:pPr>
        <w:ind w:right="120" w:firstLine="478"/>
        <w:spacing w:after="0" w:line="269" w:lineRule="auto"/>
        <w:rPr>
          <w:sz w:val="20"/>
          <w:szCs w:val="20"/>
          <w:color w:val="auto"/>
        </w:rPr>
      </w:pPr>
      <w:r>
        <w:rPr>
          <w:rFonts w:ascii="Arial" w:cs="Arial" w:eastAsia="Arial" w:hAnsi="Arial"/>
          <w:sz w:val="17"/>
          <w:szCs w:val="17"/>
          <w:color w:val="auto"/>
        </w:rPr>
        <w:t>Fast track designation may be granted for a product that is intended to treat a serious or life-threatening disease or condition for which there is no effective treatment and preclinical or clinical data demonstrate the potential to address unmet medical needs for the condition. The sponsor of an investigational drug product may request that FDA designate the product candidate for a specific indication as a fast track drug concurrent with, or after, the submission of the IND for the product candidate. FDA must determine if the product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Accelerated Approval</w:t>
      </w:r>
    </w:p>
    <w:p>
      <w:pPr>
        <w:spacing w:after="0" w:line="90" w:lineRule="exact"/>
        <w:rPr>
          <w:sz w:val="20"/>
          <w:szCs w:val="20"/>
          <w:color w:val="auto"/>
        </w:rPr>
      </w:pPr>
    </w:p>
    <w:p>
      <w:pPr>
        <w:ind w:right="60" w:firstLine="478"/>
        <w:spacing w:after="0" w:line="269" w:lineRule="auto"/>
        <w:rPr>
          <w:sz w:val="20"/>
          <w:szCs w:val="20"/>
          <w:color w:val="auto"/>
        </w:rPr>
      </w:pPr>
      <w:r>
        <w:rPr>
          <w:rFonts w:ascii="Arial" w:cs="Arial" w:eastAsia="Arial" w:hAnsi="Arial"/>
          <w:sz w:val="17"/>
          <w:szCs w:val="17"/>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100"/>
        <w:spacing w:after="0" w:line="259" w:lineRule="auto"/>
        <w:rPr>
          <w:sz w:val="20"/>
          <w:szCs w:val="20"/>
          <w:color w:val="auto"/>
        </w:rPr>
      </w:pPr>
      <w:r>
        <w:rPr>
          <w:rFonts w:ascii="Arial" w:cs="Arial" w:eastAsia="Arial" w:hAnsi="Arial"/>
          <w:sz w:val="18"/>
          <w:szCs w:val="18"/>
          <w:color w:val="auto"/>
        </w:rPr>
        <w:t>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Breakthrough Therapy Designation</w:t>
      </w:r>
    </w:p>
    <w:p>
      <w:pPr>
        <w:spacing w:after="0" w:line="90" w:lineRule="exact"/>
        <w:rPr>
          <w:sz w:val="20"/>
          <w:szCs w:val="20"/>
          <w:color w:val="auto"/>
        </w:rPr>
      </w:pPr>
    </w:p>
    <w:p>
      <w:pPr>
        <w:ind w:right="40" w:firstLine="478"/>
        <w:spacing w:after="0" w:line="290" w:lineRule="auto"/>
        <w:rPr>
          <w:sz w:val="20"/>
          <w:szCs w:val="20"/>
          <w:color w:val="auto"/>
        </w:rPr>
      </w:pPr>
      <w:r>
        <w:rPr>
          <w:rFonts w:ascii="Arial" w:cs="Arial" w:eastAsia="Arial" w:hAnsi="Arial"/>
          <w:sz w:val="16"/>
          <w:szCs w:val="16"/>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 for a specific indication as a breakthrough therapy concurrent with, or after, the filing of the IND for the product candidate.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Orphan Drugs</w:t>
      </w:r>
    </w:p>
    <w:p>
      <w:pPr>
        <w:spacing w:after="0" w:line="90"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46" w:lineRule="exact"/>
        <w:rPr>
          <w:sz w:val="20"/>
          <w:szCs w:val="20"/>
          <w:color w:val="auto"/>
        </w:rPr>
      </w:pPr>
    </w:p>
    <w:p>
      <w:pPr>
        <w:ind w:right="60" w:firstLine="478"/>
        <w:spacing w:after="0" w:line="263" w:lineRule="auto"/>
        <w:rPr>
          <w:sz w:val="20"/>
          <w:szCs w:val="20"/>
          <w:color w:val="auto"/>
        </w:rPr>
      </w:pPr>
      <w:r>
        <w:rPr>
          <w:rFonts w:ascii="Arial" w:cs="Arial" w:eastAsia="Arial" w:hAnsi="Arial"/>
          <w:sz w:val="18"/>
          <w:szCs w:val="18"/>
          <w:color w:val="auto"/>
        </w:rPr>
        <w:t>Orphan drug designation must be requested before submitting an NDA. After FDA grants orphan drug designation, the identity of the drug and its potential orphan use are disclosed publicly by FDA. Orphan drug designation does not convey any advantage in, or shorten the duration of, the regulatory review and approval process.</w:t>
      </w:r>
    </w:p>
    <w:p>
      <w:pPr>
        <w:spacing w:after="0" w:line="184" w:lineRule="exact"/>
        <w:rPr>
          <w:sz w:val="20"/>
          <w:szCs w:val="20"/>
          <w:color w:val="auto"/>
        </w:rPr>
      </w:pPr>
    </w:p>
    <w:p>
      <w:pPr>
        <w:ind w:right="20" w:firstLine="478"/>
        <w:spacing w:after="0" w:line="254"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80" w:firstLine="478"/>
        <w:spacing w:after="0" w:line="293" w:lineRule="auto"/>
        <w:rPr>
          <w:sz w:val="20"/>
          <w:szCs w:val="20"/>
          <w:color w:val="auto"/>
        </w:rPr>
      </w:pPr>
      <w:r>
        <w:rPr>
          <w:rFonts w:ascii="Arial" w:cs="Arial" w:eastAsia="Arial" w:hAnsi="Arial"/>
          <w:sz w:val="16"/>
          <w:szCs w:val="16"/>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64" w:lineRule="exact"/>
        <w:rPr>
          <w:sz w:val="20"/>
          <w:szCs w:val="20"/>
          <w:color w:val="auto"/>
        </w:rPr>
      </w:pPr>
    </w:p>
    <w:p>
      <w:pPr>
        <w:ind w:firstLine="478"/>
        <w:spacing w:after="0" w:line="25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left="48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540" w:firstLine="478"/>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7" w:lineRule="exact"/>
        <w:rPr>
          <w:sz w:val="20"/>
          <w:szCs w:val="20"/>
          <w:color w:val="auto"/>
        </w:rPr>
      </w:pPr>
    </w:p>
    <w:p>
      <w:pPr>
        <w:ind w:right="120" w:firstLine="478"/>
        <w:spacing w:after="0" w:line="270"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an NDA. FDA also may require post-marketing testing, known as Phase 4 testing, risk evaluation and mitigation strategies, or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with FDA subjects entities to periodic unannounced inspections by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right="60" w:firstLine="478"/>
        <w:spacing w:after="0" w:line="279" w:lineRule="auto"/>
        <w:rPr>
          <w:sz w:val="20"/>
          <w:szCs w:val="20"/>
          <w:color w:val="auto"/>
        </w:rPr>
      </w:pPr>
      <w:r>
        <w:rPr>
          <w:rFonts w:ascii="Arial" w:cs="Arial" w:eastAsia="Arial" w:hAnsi="Arial"/>
          <w:sz w:val="17"/>
          <w:szCs w:val="17"/>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71" w:lineRule="exact"/>
        <w:rPr>
          <w:sz w:val="20"/>
          <w:szCs w:val="20"/>
          <w:color w:val="auto"/>
        </w:rPr>
      </w:pPr>
    </w:p>
    <w:p>
      <w:pPr>
        <w:ind w:right="20" w:firstLine="478"/>
        <w:spacing w:after="0" w:line="272" w:lineRule="auto"/>
        <w:rPr>
          <w:sz w:val="20"/>
          <w:szCs w:val="20"/>
          <w:color w:val="auto"/>
        </w:rPr>
      </w:pPr>
      <w:r>
        <w:rPr>
          <w:rFonts w:ascii="Arial" w:cs="Arial" w:eastAsia="Arial" w:hAnsi="Arial"/>
          <w:sz w:val="17"/>
          <w:szCs w:val="17"/>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77" w:lineRule="exact"/>
        <w:rPr>
          <w:sz w:val="20"/>
          <w:szCs w:val="20"/>
          <w:color w:val="auto"/>
        </w:rPr>
      </w:pPr>
    </w:p>
    <w:p>
      <w:pPr>
        <w:ind w:firstLine="478"/>
        <w:spacing w:after="0" w:line="268" w:lineRule="auto"/>
        <w:rPr>
          <w:sz w:val="20"/>
          <w:szCs w:val="20"/>
          <w:color w:val="auto"/>
        </w:rPr>
      </w:pPr>
      <w:r>
        <w:rPr>
          <w:rFonts w:ascii="Arial" w:cs="Arial" w:eastAsia="Arial" w:hAnsi="Arial"/>
          <w:sz w:val="17"/>
          <w:szCs w:val="17"/>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 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49" w:name="page50"/>
    <w:bookmarkEnd w:id="49"/>
    <w:p>
      <w:pPr>
        <w:ind w:right="160"/>
        <w:spacing w:after="0" w:line="277" w:lineRule="auto"/>
        <w:rPr>
          <w:sz w:val="20"/>
          <w:szCs w:val="20"/>
          <w:color w:val="auto"/>
        </w:rPr>
      </w:pPr>
      <w:r>
        <w:rPr>
          <w:rFonts w:ascii="Arial" w:cs="Arial" w:eastAsia="Arial" w:hAnsi="Arial"/>
          <w:sz w:val="18"/>
          <w:szCs w:val="18"/>
          <w:color w:val="auto"/>
        </w:rPr>
        <w:t>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70"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ind w:left="480"/>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88" w:lineRule="exact"/>
        <w:rPr>
          <w:sz w:val="20"/>
          <w:szCs w:val="20"/>
          <w:color w:val="auto"/>
        </w:rPr>
      </w:pPr>
    </w:p>
    <w:p>
      <w:pPr>
        <w:ind w:firstLine="478"/>
        <w:spacing w:after="0" w:line="279" w:lineRule="auto"/>
        <w:rPr>
          <w:sz w:val="20"/>
          <w:szCs w:val="20"/>
          <w:color w:val="auto"/>
        </w:rPr>
      </w:pPr>
      <w:r>
        <w:rPr>
          <w:rFonts w:ascii="Arial" w:cs="Arial" w:eastAsia="Arial" w:hAnsi="Arial"/>
          <w:sz w:val="17"/>
          <w:szCs w:val="17"/>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w:t>
      </w:r>
    </w:p>
    <w:p>
      <w:pPr>
        <w:spacing w:after="0" w:line="26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firstLine="478"/>
        <w:spacing w:after="0" w:line="296" w:lineRule="auto"/>
        <w:rPr>
          <w:sz w:val="20"/>
          <w:szCs w:val="20"/>
          <w:color w:val="auto"/>
        </w:rPr>
      </w:pPr>
      <w:r>
        <w:rPr>
          <w:rFonts w:ascii="Arial" w:cs="Arial" w:eastAsia="Arial" w:hAnsi="Arial"/>
          <w:sz w:val="16"/>
          <w:szCs w:val="16"/>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161" w:lineRule="exact"/>
        <w:rPr>
          <w:sz w:val="20"/>
          <w:szCs w:val="20"/>
          <w:color w:val="auto"/>
        </w:rPr>
      </w:pPr>
    </w:p>
    <w:p>
      <w:pPr>
        <w:ind w:right="320" w:firstLine="478"/>
        <w:spacing w:after="0" w:line="257" w:lineRule="auto"/>
        <w:rPr>
          <w:sz w:val="20"/>
          <w:szCs w:val="20"/>
          <w:color w:val="auto"/>
        </w:rPr>
      </w:pPr>
      <w:r>
        <w:rPr>
          <w:rFonts w:ascii="Arial" w:cs="Arial" w:eastAsia="Arial" w:hAnsi="Arial"/>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8" w:lineRule="exact"/>
        <w:rPr>
          <w:sz w:val="20"/>
          <w:szCs w:val="20"/>
          <w:color w:val="auto"/>
        </w:rPr>
      </w:pPr>
    </w:p>
    <w:p>
      <w:pPr>
        <w:ind w:right="40" w:firstLine="478"/>
        <w:spacing w:after="0" w:line="255" w:lineRule="auto"/>
        <w:rPr>
          <w:sz w:val="20"/>
          <w:szCs w:val="20"/>
          <w:color w:val="auto"/>
        </w:rPr>
      </w:pPr>
      <w:r>
        <w:rPr>
          <w:rFonts w:ascii="Arial" w:cs="Arial" w:eastAsia="Arial" w:hAnsi="Arial"/>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right="140" w:firstLine="478"/>
        <w:spacing w:after="0" w:line="254" w:lineRule="auto"/>
        <w:rPr>
          <w:sz w:val="20"/>
          <w:szCs w:val="20"/>
          <w:color w:val="auto"/>
        </w:rPr>
      </w:pPr>
      <w:r>
        <w:rPr>
          <w:rFonts w:ascii="Arial" w:cs="Arial" w:eastAsia="Arial" w:hAnsi="Arial"/>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FDA has generally required in vitro companion diagnostics intended to select the patients who will respond to cancer treatment to obtain a pre-market approval, or PMA, for that diagnostic simultaneously with approval of the drug.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195" w:lineRule="exact"/>
        <w:rPr>
          <w:sz w:val="20"/>
          <w:szCs w:val="20"/>
          <w:color w:val="auto"/>
        </w:rPr>
      </w:pPr>
    </w:p>
    <w:p>
      <w:pPr>
        <w:ind w:right="260" w:firstLine="416"/>
        <w:spacing w:after="0" w:line="279"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right="20" w:firstLine="478"/>
        <w:spacing w:after="0" w:line="255" w:lineRule="auto"/>
        <w:rPr>
          <w:sz w:val="20"/>
          <w:szCs w:val="20"/>
          <w:color w:val="auto"/>
        </w:rPr>
      </w:pPr>
      <w:r>
        <w:rPr>
          <w:rFonts w:ascii="Arial" w:cs="Arial" w:eastAsia="Arial" w:hAnsi="Arial"/>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38" w:lineRule="exact"/>
        <w:rPr>
          <w:sz w:val="20"/>
          <w:szCs w:val="20"/>
          <w:color w:val="auto"/>
        </w:rPr>
      </w:pPr>
    </w:p>
    <w:p>
      <w:pPr>
        <w:ind w:right="160" w:firstLine="478"/>
        <w:spacing w:after="0" w:line="254"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38" w:lineRule="exact"/>
        <w:rPr>
          <w:sz w:val="20"/>
          <w:szCs w:val="20"/>
          <w:color w:val="auto"/>
        </w:rPr>
      </w:pPr>
    </w:p>
    <w:p>
      <w:pPr>
        <w:ind w:right="140" w:firstLine="478"/>
        <w:spacing w:after="0" w:line="254"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90" w:lineRule="exact"/>
        <w:rPr>
          <w:sz w:val="20"/>
          <w:szCs w:val="20"/>
          <w:color w:val="auto"/>
        </w:rPr>
      </w:pPr>
    </w:p>
    <w:p>
      <w:pPr>
        <w:ind w:right="200" w:firstLine="478"/>
        <w:spacing w:after="0" w:line="263"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130" w:lineRule="exact"/>
        <w:rPr>
          <w:sz w:val="20"/>
          <w:szCs w:val="20"/>
          <w:color w:val="auto"/>
        </w:rPr>
      </w:pPr>
    </w:p>
    <w:p>
      <w:pPr>
        <w:ind w:firstLine="478"/>
        <w:spacing w:after="0" w:line="288"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114" w:lineRule="exact"/>
        <w:rPr>
          <w:sz w:val="20"/>
          <w:szCs w:val="20"/>
          <w:color w:val="auto"/>
        </w:rPr>
      </w:pPr>
    </w:p>
    <w:p>
      <w:pPr>
        <w:ind w:right="120" w:firstLine="478"/>
        <w:spacing w:after="0" w:line="272" w:lineRule="auto"/>
        <w:rPr>
          <w:sz w:val="20"/>
          <w:szCs w:val="20"/>
          <w:color w:val="auto"/>
        </w:rPr>
      </w:pPr>
      <w:r>
        <w:rPr>
          <w:rFonts w:ascii="Arial" w:cs="Arial" w:eastAsia="Arial" w:hAnsi="Arial"/>
          <w:sz w:val="17"/>
          <w:szCs w:val="17"/>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80"/>
        <w:spacing w:after="0" w:line="263" w:lineRule="auto"/>
        <w:rPr>
          <w:sz w:val="20"/>
          <w:szCs w:val="20"/>
          <w:color w:val="auto"/>
        </w:rPr>
      </w:pPr>
      <w:r>
        <w:rPr>
          <w:rFonts w:ascii="Arial" w:cs="Arial" w:eastAsia="Arial" w:hAnsi="Arial"/>
          <w:sz w:val="18"/>
          <w:szCs w:val="18"/>
          <w:color w:val="auto"/>
        </w:rPr>
        <w:t>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84"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95" w:lineRule="exact"/>
        <w:rPr>
          <w:sz w:val="20"/>
          <w:szCs w:val="20"/>
          <w:color w:val="auto"/>
        </w:rPr>
      </w:pPr>
    </w:p>
    <w:p>
      <w:pPr>
        <w:ind w:right="20" w:firstLine="478"/>
        <w:spacing w:after="0" w:line="269" w:lineRule="auto"/>
        <w:rPr>
          <w:sz w:val="20"/>
          <w:szCs w:val="20"/>
          <w:color w:val="auto"/>
        </w:rPr>
      </w:pPr>
      <w:r>
        <w:rPr>
          <w:rFonts w:ascii="Arial" w:cs="Arial" w:eastAsia="Arial" w:hAnsi="Arial"/>
          <w:sz w:val="17"/>
          <w:szCs w:val="17"/>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185" w:lineRule="exact"/>
        <w:rPr>
          <w:sz w:val="20"/>
          <w:szCs w:val="20"/>
          <w:color w:val="auto"/>
        </w:rPr>
      </w:pPr>
    </w:p>
    <w:p>
      <w:pPr>
        <w:ind w:right="20" w:firstLine="478"/>
        <w:spacing w:after="0" w:line="272" w:lineRule="auto"/>
        <w:rPr>
          <w:sz w:val="20"/>
          <w:szCs w:val="20"/>
          <w:color w:val="auto"/>
        </w:rPr>
      </w:pPr>
      <w:r>
        <w:rPr>
          <w:rFonts w:ascii="Arial" w:cs="Arial" w:eastAsia="Arial" w:hAnsi="Arial"/>
          <w:sz w:val="17"/>
          <w:szCs w:val="17"/>
          <w:color w:val="auto"/>
        </w:rPr>
        <w:t>Further, pursuant to the ACA, the Centers for Medicare &amp; Medicaid Services, or CMS, has issued a final rule that requires certain manufacturers of prescription drugs to collect and annually report information on certain payments or transfers of value to physicians, as defined by such law,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Beginning calendar year 2021, manufacturers must collect information regarding payments and other transfers of value to physician assistants, nurse practitioners, clinical nurse specialists, certified registered nurse anesthetists, anesthesiologist assistants and certified nurse- midwives for reporting in 2022. The reported information is made publicly available on a searchable website.</w:t>
      </w:r>
    </w:p>
    <w:p>
      <w:pPr>
        <w:spacing w:after="0" w:line="177" w:lineRule="exact"/>
        <w:rPr>
          <w:sz w:val="20"/>
          <w:szCs w:val="20"/>
          <w:color w:val="auto"/>
        </w:rPr>
      </w:pPr>
    </w:p>
    <w:p>
      <w:pPr>
        <w:ind w:right="240" w:firstLine="478"/>
        <w:spacing w:after="0" w:line="257" w:lineRule="auto"/>
        <w:rPr>
          <w:sz w:val="20"/>
          <w:szCs w:val="20"/>
          <w:color w:val="auto"/>
        </w:rPr>
      </w:pPr>
      <w:r>
        <w:rPr>
          <w:rFonts w:ascii="Arial" w:cs="Arial" w:eastAsia="Arial" w:hAnsi="Arial"/>
          <w:sz w:val="18"/>
          <w:szCs w:val="18"/>
          <w:color w:val="auto"/>
        </w:rPr>
        <w:t>We may also be subject to analogous state and foreign anti-kickback and false claims laws that may apply to sales or marketing arrangements and claims involving healthcare items or services reimbursed by non- governmental third party payors, including private insurers, or that apply regardless of payor. 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Still other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195" w:lineRule="exact"/>
        <w:rPr>
          <w:sz w:val="20"/>
          <w:szCs w:val="20"/>
          <w:color w:val="auto"/>
        </w:rPr>
      </w:pPr>
    </w:p>
    <w:p>
      <w:pPr>
        <w:jc w:val="both"/>
        <w:ind w:right="100" w:firstLine="478"/>
        <w:spacing w:after="0" w:line="263" w:lineRule="auto"/>
        <w:rPr>
          <w:sz w:val="20"/>
          <w:szCs w:val="20"/>
          <w:color w:val="auto"/>
        </w:rPr>
      </w:pPr>
      <w:r>
        <w:rPr>
          <w:rFonts w:ascii="Arial" w:cs="Arial" w:eastAsia="Arial" w:hAnsi="Arial"/>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ind w:right="60"/>
        <w:spacing w:after="0" w:line="255" w:lineRule="auto"/>
        <w:rPr>
          <w:sz w:val="20"/>
          <w:szCs w:val="20"/>
          <w:color w:val="auto"/>
        </w:rPr>
      </w:pPr>
      <w:r>
        <w:rPr>
          <w:rFonts w:ascii="Arial" w:cs="Arial" w:eastAsia="Arial" w:hAnsi="Arial"/>
          <w:sz w:val="18"/>
          <w:szCs w:val="18"/>
          <w:color w:val="auto"/>
        </w:rPr>
        <w:t>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20" w:firstLine="478"/>
        <w:spacing w:after="0" w:line="267" w:lineRule="auto"/>
        <w:rPr>
          <w:sz w:val="20"/>
          <w:szCs w:val="20"/>
          <w:color w:val="auto"/>
        </w:rPr>
      </w:pPr>
      <w:r>
        <w:rPr>
          <w:rFonts w:ascii="Arial" w:cs="Arial" w:eastAsia="Arial" w:hAnsi="Arial"/>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w:t>
      </w:r>
    </w:p>
    <w:p>
      <w:pPr>
        <w:spacing w:after="0" w:line="185"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color w:val="auto"/>
        </w:rPr>
        <w:t>There have been legislative and judicial efforts to modify, repeal, or otherwise invalidate all, or certain provisions of, the ACA, including measures taken during the Trump administration. The Tax Cuts and Jobs Act of 2017, or the Tax Reform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In November 2020, the United States Supreme Court held oral arguments on the U.S. Court of Appeals for the Fifth Circuit’s decision that held that the individual mandate is unconstitutional. It is uncertain how the United States Supreme court will rule on this case or how healthcare measures of the Biden administration will impact the ACA and our business.</w:t>
      </w:r>
    </w:p>
    <w:p>
      <w:pPr>
        <w:spacing w:after="0" w:line="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 We cannot predict the ultimate content, timing or effect of any healthcare reform legislation or the impact of potential legislation on us.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ind w:right="20" w:firstLine="478"/>
        <w:spacing w:after="0" w:line="267"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Consolidated Appropriations Act, 2021 extended the suspension of the 2% Medicare sequester through March 31, 2021.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1" w:lineRule="exact"/>
        <w:rPr>
          <w:sz w:val="20"/>
          <w:szCs w:val="20"/>
          <w:color w:val="auto"/>
        </w:rPr>
      </w:pPr>
    </w:p>
    <w:p>
      <w:pPr>
        <w:ind w:right="40" w:firstLine="478"/>
        <w:spacing w:after="0" w:line="25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w:t>
      </w:r>
    </w:p>
    <w:p>
      <w:pPr>
        <w:spacing w:after="0" w:line="192" w:lineRule="exact"/>
        <w:rPr>
          <w:sz w:val="20"/>
          <w:szCs w:val="20"/>
          <w:color w:val="auto"/>
        </w:rPr>
      </w:pPr>
    </w:p>
    <w:p>
      <w:pPr>
        <w:ind w:right="180" w:firstLine="478"/>
        <w:spacing w:after="0" w:line="272" w:lineRule="auto"/>
        <w:rPr>
          <w:sz w:val="20"/>
          <w:szCs w:val="20"/>
          <w:color w:val="auto"/>
        </w:rPr>
      </w:pPr>
      <w:r>
        <w:rPr>
          <w:rFonts w:ascii="Arial" w:cs="Arial" w:eastAsia="Arial" w:hAnsi="Arial"/>
          <w:sz w:val="17"/>
          <w:szCs w:val="17"/>
          <w:color w:val="auto"/>
        </w:rPr>
        <w:t>In particular,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77" w:lineRule="exact"/>
        <w:rPr>
          <w:sz w:val="20"/>
          <w:szCs w:val="20"/>
          <w:color w:val="auto"/>
        </w:rPr>
      </w:pPr>
    </w:p>
    <w:p>
      <w:pPr>
        <w:ind w:firstLine="478"/>
        <w:spacing w:after="0" w:line="270" w:lineRule="auto"/>
        <w:rPr>
          <w:sz w:val="20"/>
          <w:szCs w:val="20"/>
          <w:color w:val="auto"/>
        </w:rPr>
      </w:pPr>
      <w:r>
        <w:rPr>
          <w:rFonts w:ascii="Arial" w:cs="Arial" w:eastAsia="Arial" w:hAnsi="Arial"/>
          <w:sz w:val="17"/>
          <w:szCs w:val="17"/>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CMS also published an interim final rule that establishes an MFN Model for Medicare Part B drug payment. This regulation would substantially change the drug reimbursement landscape as it bases Medicare Part B payment for 50 selected drugs on prices in foreign countries instead of ASP and establishes a fixed add-on payment in place of the current 6 percent (4.3 percent after sequestration) of ASP. The MFN drug payment amount is expected to be lower than the current ASP-based limit because U.S. drug prices are generally the highest in the world. On December 28, 2020, the United States District Court in Northern California issued a nationwide preliminary injunction against implementation of the interim final rule, and it faces uncertain prospects for implementation.</w:t>
      </w:r>
    </w:p>
    <w:p>
      <w:pPr>
        <w:spacing w:after="0" w:line="181" w:lineRule="exact"/>
        <w:rPr>
          <w:sz w:val="20"/>
          <w:szCs w:val="20"/>
          <w:color w:val="auto"/>
        </w:rPr>
      </w:pPr>
    </w:p>
    <w:p>
      <w:pPr>
        <w:ind w:right="160" w:firstLine="478"/>
        <w:spacing w:after="0" w:line="277" w:lineRule="auto"/>
        <w:rPr>
          <w:sz w:val="20"/>
          <w:szCs w:val="20"/>
          <w:color w:val="auto"/>
        </w:rPr>
      </w:pPr>
      <w:r>
        <w:rPr>
          <w:rFonts w:ascii="Arial" w:cs="Arial" w:eastAsia="Arial" w:hAnsi="Arial"/>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5" w:name="page56"/>
    <w:bookmarkEnd w:id="55"/>
    <w:p>
      <w:pPr>
        <w:ind w:right="400"/>
        <w:spacing w:after="0" w:line="277" w:lineRule="auto"/>
        <w:rPr>
          <w:sz w:val="20"/>
          <w:szCs w:val="20"/>
          <w:color w:val="auto"/>
        </w:rPr>
      </w:pPr>
      <w:r>
        <w:rPr>
          <w:rFonts w:ascii="Arial" w:cs="Arial" w:eastAsia="Arial" w:hAnsi="Arial"/>
          <w:sz w:val="18"/>
          <w:szCs w:val="18"/>
          <w:color w:val="auto"/>
        </w:rPr>
        <w:t>on certain product access and marketing cost disclosure and transparency measures, and, in most cases, designed to encourage importation from other countries and bulk purchasing.</w:t>
      </w:r>
    </w:p>
    <w:p>
      <w:pPr>
        <w:spacing w:after="0" w:line="170" w:lineRule="exact"/>
        <w:rPr>
          <w:sz w:val="20"/>
          <w:szCs w:val="20"/>
          <w:color w:val="auto"/>
        </w:rPr>
      </w:pPr>
    </w:p>
    <w:p>
      <w:pPr>
        <w:jc w:val="both"/>
        <w:ind w:right="240" w:firstLine="478"/>
        <w:spacing w:after="0" w:line="311" w:lineRule="auto"/>
        <w:rPr>
          <w:sz w:val="20"/>
          <w:szCs w:val="20"/>
          <w:color w:val="auto"/>
        </w:rPr>
      </w:pPr>
      <w:r>
        <w:rPr>
          <w:rFonts w:ascii="Arial" w:cs="Arial" w:eastAsia="Arial" w:hAnsi="Arial"/>
          <w:sz w:val="16"/>
          <w:szCs w:val="16"/>
          <w:color w:val="auto"/>
        </w:rPr>
        <w:t>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9" w:lineRule="exact"/>
        <w:rPr>
          <w:sz w:val="20"/>
          <w:szCs w:val="20"/>
          <w:color w:val="auto"/>
        </w:rPr>
      </w:pPr>
    </w:p>
    <w:p>
      <w:pPr>
        <w:ind w:right="180" w:firstLine="478"/>
        <w:spacing w:after="0" w:line="275"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80" w:firstLine="478"/>
        <w:spacing w:after="0" w:line="272" w:lineRule="auto"/>
        <w:rPr>
          <w:sz w:val="20"/>
          <w:szCs w:val="20"/>
          <w:color w:val="auto"/>
        </w:rPr>
      </w:pPr>
      <w:r>
        <w:rPr>
          <w:rFonts w:ascii="Arial" w:cs="Arial" w:eastAsia="Arial" w:hAnsi="Arial"/>
          <w:sz w:val="17"/>
          <w:szCs w:val="17"/>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50" w:lineRule="exact"/>
        <w:rPr>
          <w:sz w:val="20"/>
          <w:szCs w:val="20"/>
          <w:color w:val="auto"/>
        </w:rPr>
      </w:pPr>
    </w:p>
    <w:p>
      <w:pPr>
        <w:ind w:right="80" w:firstLine="478"/>
        <w:spacing w:after="0" w:line="271" w:lineRule="auto"/>
        <w:rPr>
          <w:sz w:val="20"/>
          <w:szCs w:val="20"/>
          <w:color w:val="auto"/>
        </w:rPr>
      </w:pPr>
      <w:r>
        <w:rPr>
          <w:rFonts w:ascii="Arial" w:cs="Arial" w:eastAsia="Arial" w:hAnsi="Arial"/>
          <w:sz w:val="17"/>
          <w:szCs w:val="17"/>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151" w:lineRule="exact"/>
        <w:rPr>
          <w:sz w:val="20"/>
          <w:szCs w:val="20"/>
          <w:color w:val="auto"/>
        </w:rPr>
      </w:pPr>
    </w:p>
    <w:p>
      <w:pPr>
        <w:ind w:right="100" w:firstLine="478"/>
        <w:spacing w:after="0" w:line="259" w:lineRule="auto"/>
        <w:rPr>
          <w:sz w:val="20"/>
          <w:szCs w:val="20"/>
          <w:color w:val="auto"/>
        </w:rPr>
      </w:pPr>
      <w:r>
        <w:rPr>
          <w:rFonts w:ascii="Arial" w:cs="Arial" w:eastAsia="Arial" w:hAnsi="Arial"/>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 party payors may refuse to include a particular reference listed drug in their formularies or otherwise restrict patient access to a reference listed drug when a less costly generic equivalent or other alternative is available.</w:t>
      </w:r>
    </w:p>
    <w:p>
      <w:pPr>
        <w:spacing w:after="0" w:line="160" w:lineRule="exact"/>
        <w:rPr>
          <w:sz w:val="20"/>
          <w:szCs w:val="20"/>
          <w:color w:val="auto"/>
        </w:rPr>
      </w:pPr>
    </w:p>
    <w:p>
      <w:pPr>
        <w:ind w:right="260" w:firstLine="478"/>
        <w:spacing w:after="0" w:line="257" w:lineRule="auto"/>
        <w:rPr>
          <w:sz w:val="20"/>
          <w:szCs w:val="20"/>
          <w:color w:val="auto"/>
        </w:rPr>
      </w:pPr>
      <w:r>
        <w:rPr>
          <w:rFonts w:ascii="Arial" w:cs="Arial" w:eastAsia="Arial" w:hAnsi="Arial"/>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61" w:lineRule="exact"/>
        <w:rPr>
          <w:sz w:val="20"/>
          <w:szCs w:val="20"/>
          <w:color w:val="auto"/>
        </w:rPr>
      </w:pPr>
    </w:p>
    <w:p>
      <w:pPr>
        <w:ind w:firstLine="478"/>
        <w:spacing w:after="0" w:line="279" w:lineRule="auto"/>
        <w:rPr>
          <w:sz w:val="20"/>
          <w:szCs w:val="20"/>
          <w:color w:val="auto"/>
        </w:rPr>
      </w:pPr>
      <w:r>
        <w:rPr>
          <w:rFonts w:ascii="Arial" w:cs="Arial" w:eastAsia="Arial" w:hAnsi="Arial"/>
          <w:sz w:val="17"/>
          <w:szCs w:val="17"/>
          <w:color w:val="auto"/>
        </w:rPr>
        <w:t>In addition, we expect that the increased emphasis on managed care and cost containment measures in the United States by third-party payors and government authorities to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As of December 31, 2020, we had 68 full-time employees. Women represent approximately 40% of our employees with approximately 31% holding senior management level/leadership roles. Of these employees, 36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117" w:lineRule="exact"/>
        <w:rPr>
          <w:sz w:val="20"/>
          <w:szCs w:val="20"/>
          <w:color w:val="auto"/>
        </w:rPr>
      </w:pPr>
    </w:p>
    <w:p>
      <w:pPr>
        <w:ind w:right="100" w:firstLine="416"/>
        <w:spacing w:after="0" w:line="273" w:lineRule="auto"/>
        <w:rPr>
          <w:sz w:val="20"/>
          <w:szCs w:val="20"/>
          <w:color w:val="auto"/>
        </w:rPr>
      </w:pPr>
      <w:r>
        <w:rPr>
          <w:rFonts w:ascii="Arial" w:cs="Arial" w:eastAsia="Arial" w:hAnsi="Arial"/>
          <w:sz w:val="17"/>
          <w:szCs w:val="17"/>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annual training to help prevent, identify, report and stop any type of discrimination and harassment. Our recruitment, hiring, development, training, compensation, and advancement at our company is based on qualifications, performance, skills and experience without regard to gender, race and ethnicity.</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Competitive Pay &amp; Benefits</w:t>
      </w:r>
    </w:p>
    <w:p>
      <w:pPr>
        <w:spacing w:after="0" w:line="90" w:lineRule="exact"/>
        <w:rPr>
          <w:sz w:val="20"/>
          <w:szCs w:val="20"/>
          <w:color w:val="auto"/>
        </w:rPr>
      </w:pPr>
    </w:p>
    <w:p>
      <w:pPr>
        <w:ind w:right="80" w:firstLine="478"/>
        <w:spacing w:after="0" w:line="275" w:lineRule="auto"/>
        <w:rPr>
          <w:sz w:val="20"/>
          <w:szCs w:val="20"/>
          <w:color w:val="auto"/>
        </w:rPr>
      </w:pPr>
      <w:r>
        <w:rPr>
          <w:rFonts w:ascii="Arial" w:cs="Arial" w:eastAsia="Arial" w:hAnsi="Arial"/>
          <w:sz w:val="17"/>
          <w:szCs w:val="17"/>
          <w:color w:val="auto"/>
        </w:rPr>
        <w:t>We strive to provide pay, comprehensive benefits and services that help meet the varying needs of our employees. Our total rewards package includes competitive pay; comprehensive healthcare benefits package for employees, with family member healthcare benefits covered at 80%; a health savings account with company contribution; 20 days of paid time off and paid holidays; family medical leave and flexible work schedules. In addition, we offer every full-time employee, both exempt and non-exempt, the benefit of equity ownership in the company through stock option grants and our employee stock purchase plan. We sponsor a 401(k) plan that includes a discretionary matching contribution.</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Employee Development &amp; Training</w:t>
      </w:r>
    </w:p>
    <w:p>
      <w:pPr>
        <w:spacing w:after="0" w:line="90" w:lineRule="exact"/>
        <w:rPr>
          <w:sz w:val="20"/>
          <w:szCs w:val="20"/>
          <w:color w:val="auto"/>
        </w:rPr>
      </w:pPr>
    </w:p>
    <w:p>
      <w:pPr>
        <w:ind w:right="160" w:firstLine="478"/>
        <w:spacing w:after="0" w:line="263" w:lineRule="auto"/>
        <w:rPr>
          <w:sz w:val="20"/>
          <w:szCs w:val="20"/>
          <w:color w:val="auto"/>
        </w:rPr>
      </w:pPr>
      <w:r>
        <w:rPr>
          <w:rFonts w:ascii="Arial" w:cs="Arial" w:eastAsia="Arial" w:hAnsi="Arial"/>
          <w:sz w:val="18"/>
          <w:szCs w:val="18"/>
          <w:color w:val="auto"/>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Safety</w:t>
      </w:r>
    </w:p>
    <w:p>
      <w:pPr>
        <w:spacing w:after="0" w:line="90" w:lineRule="exact"/>
        <w:rPr>
          <w:sz w:val="20"/>
          <w:szCs w:val="20"/>
          <w:color w:val="auto"/>
        </w:rPr>
      </w:pPr>
    </w:p>
    <w:p>
      <w:pPr>
        <w:ind w:firstLine="478"/>
        <w:spacing w:after="0" w:line="275" w:lineRule="auto"/>
        <w:rPr>
          <w:sz w:val="20"/>
          <w:szCs w:val="20"/>
          <w:color w:val="auto"/>
        </w:rPr>
      </w:pPr>
      <w:r>
        <w:rPr>
          <w:rFonts w:ascii="Arial" w:cs="Arial" w:eastAsia="Arial" w:hAnsi="Arial"/>
          <w:sz w:val="17"/>
          <w:szCs w:val="17"/>
          <w:color w:val="auto"/>
        </w:rPr>
        <w:t>The safety, health and wellness of our employees is a top priority. In response to COVID-19, we have implemented a safety protocols including shift work scheduling to reduce number of people in the facility, requirements for the wearing of masks and for social distancing, increased cleaning procedures and readily available hand sanitizer. These protocols are designed to comply with health and safety standards as required by federal, state and local government agencies, taking into consideration guidelines of the Centers for Disease Control and Prevention and other public health authorities. In addition, we have provided work-at-home arrangements for employees who are able to do so.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We were incorporated under the laws of the State of Delaware in February 2016. Our principal executive offices are located at 200 Powder Mill Road, Wilmington, DE 19803, and our telephone number is (302) 467-1280. Our website address is www.preludetx.com.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8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mark “Prelude Therapeutics,” the Prelude logo and all product names are our common law trademarks. All other service marks, trademarks and trade names appearing in this Annual Report on Form 10-K are the property of their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557" w:right="5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make available free of charge on our website our Annual Report on Form 10-K, quarterly reports on Form 10-Q, current reports on Form 8-K and amendments to those reports as soon as reasonably practicable after we electronically file or furnish such materials to the Securities and Exchange Commission, or SEC. The reports are also available at www.sec.gov.</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on Form 10-K,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number of risks and uncertainties, including those immediately following this summary. Some of these risks are:</w:t>
      </w:r>
    </w:p>
    <w:p>
      <w:pPr>
        <w:spacing w:after="0" w:line="117" w:lineRule="exact"/>
        <w:rPr>
          <w:sz w:val="20"/>
          <w:szCs w:val="20"/>
          <w:color w:val="auto"/>
        </w:rPr>
      </w:pPr>
    </w:p>
    <w:p>
      <w:pPr>
        <w:ind w:left="820" w:right="80" w:hanging="407"/>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 clinical-stage precision oncology company with a history of operating losses, and we may not achieve or sustain profitability. We anticipate that we will continue to incur losses for the foreseeable future. Our limited operating history may make it difficult for you to evaluate our success to date and to assess our future viability.</w:t>
      </w:r>
    </w:p>
    <w:p>
      <w:pPr>
        <w:spacing w:after="0" w:line="183" w:lineRule="exact"/>
        <w:rPr>
          <w:rFonts w:ascii="Arial" w:cs="Arial" w:eastAsia="Arial" w:hAnsi="Arial"/>
          <w:sz w:val="18"/>
          <w:szCs w:val="18"/>
          <w:color w:val="auto"/>
        </w:rPr>
      </w:pPr>
    </w:p>
    <w:p>
      <w:pPr>
        <w:ind w:left="820" w:right="30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outbreak of the novel strain of coronavirus, SARS-CoV-2, which causes COVID-19, could adversely impact our business, including our clinical development activities and clinical trials.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need to raise additional funding before we can expect to become profitable from any potential future sales of our products.</w:t>
      </w:r>
    </w:p>
    <w:p>
      <w:pPr>
        <w:spacing w:after="0" w:line="279" w:lineRule="exact"/>
        <w:rPr>
          <w:rFonts w:ascii="Arial" w:cs="Arial" w:eastAsia="Arial" w:hAnsi="Arial"/>
          <w:sz w:val="18"/>
          <w:szCs w:val="18"/>
          <w:color w:val="auto"/>
        </w:rPr>
      </w:pPr>
    </w:p>
    <w:p>
      <w:pPr>
        <w:ind w:left="820" w:right="380" w:hanging="407"/>
        <w:spacing w:after="0" w:line="308"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146" w:lineRule="exact"/>
        <w:rPr>
          <w:rFonts w:ascii="Arial" w:cs="Arial" w:eastAsia="Arial" w:hAnsi="Arial"/>
          <w:sz w:val="17"/>
          <w:szCs w:val="17"/>
          <w:color w:val="auto"/>
        </w:rPr>
      </w:pPr>
    </w:p>
    <w:p>
      <w:pPr>
        <w:ind w:left="820" w:right="40" w:hanging="407"/>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83"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cause undesirable and unforeseen side effects, which could delay or prevent their advancement into clinical trials or regulatory approval, limit the commercial potential or result in significant negative consequences.</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 possibility that our competitors may achieve regulatory approval before us or develop therapies or technologies that are more advanced or effective than ours.</w:t>
      </w:r>
    </w:p>
    <w:p>
      <w:pPr>
        <w:spacing w:after="0" w:line="170" w:lineRule="exact"/>
        <w:rPr>
          <w:rFonts w:ascii="Arial" w:cs="Arial" w:eastAsia="Arial" w:hAnsi="Arial"/>
          <w:sz w:val="18"/>
          <w:szCs w:val="18"/>
          <w:color w:val="auto"/>
        </w:rPr>
      </w:pPr>
    </w:p>
    <w:p>
      <w:pPr>
        <w:ind w:left="840" w:hanging="414"/>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third-party manufacturers to produce clinical supply of our product candidates.</w:t>
      </w:r>
    </w:p>
    <w:p>
      <w:pPr>
        <w:spacing w:after="0" w:line="279" w:lineRule="exact"/>
        <w:rPr>
          <w:rFonts w:ascii="Arial" w:cs="Arial" w:eastAsia="Arial" w:hAnsi="Arial"/>
          <w:sz w:val="18"/>
          <w:szCs w:val="18"/>
          <w:color w:val="auto"/>
        </w:rPr>
      </w:pPr>
    </w:p>
    <w:p>
      <w:pPr>
        <w:ind w:left="840" w:right="100" w:hanging="414"/>
        <w:spacing w:after="0" w:line="259"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is not sufficiently broad, our competitors could develop and commercialize products and technology similar or identical to ours, and our ability to successfully commercialize our products and technology may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35" w:lineRule="exact"/>
        <w:rPr>
          <w:sz w:val="20"/>
          <w:szCs w:val="20"/>
          <w:color w:val="auto"/>
        </w:rPr>
      </w:pPr>
    </w:p>
    <w:p>
      <w:pPr>
        <w:ind w:left="420" w:right="160"/>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76" w:lineRule="exact"/>
        <w:rPr>
          <w:sz w:val="20"/>
          <w:szCs w:val="20"/>
          <w:color w:val="auto"/>
        </w:rPr>
      </w:pPr>
    </w:p>
    <w:p>
      <w:pPr>
        <w:jc w:val="both"/>
        <w:ind w:right="40" w:firstLine="416"/>
        <w:spacing w:after="0" w:line="263" w:lineRule="auto"/>
        <w:rPr>
          <w:sz w:val="20"/>
          <w:szCs w:val="20"/>
          <w:color w:val="auto"/>
        </w:rPr>
      </w:pPr>
      <w:r>
        <w:rPr>
          <w:rFonts w:ascii="Arial" w:cs="Arial" w:eastAsia="Arial" w:hAnsi="Arial"/>
          <w:sz w:val="18"/>
          <w:szCs w:val="18"/>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spacing w:after="0" w:line="301" w:lineRule="auto"/>
        <w:rPr>
          <w:sz w:val="20"/>
          <w:szCs w:val="20"/>
          <w:color w:val="auto"/>
        </w:rPr>
      </w:pPr>
      <w:r>
        <w:rPr>
          <w:rFonts w:ascii="Arial" w:cs="Arial" w:eastAsia="Arial" w:hAnsi="Arial"/>
          <w:sz w:val="16"/>
          <w:szCs w:val="16"/>
          <w:color w:val="auto"/>
        </w:rPr>
        <w:t>years, if at all. Consequently, there have been limited operations upon which we or you can evaluate our business, and predictions about our future success or viability may not be as accurate as they could be if we had a longer operating history or a history of successfully developing and commercializing cancer therapies. For the year ended December 31, 2020, we reported a net loss of $56.9 million. As of December 31, 2020, we had an accumulated deficit of $107.4 million. We expect to continue to incur significant research and development and other expenses related to our ongoing operations.</w:t>
      </w:r>
    </w:p>
    <w:p>
      <w:pPr>
        <w:spacing w:after="0" w:line="171"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Since our inception, we have focused substantially all of our efforts and financial resources on the research, preclinical and clinical development of our product candidates, PRT543, PRT811 and PRT1419, and our research efforts on other potential product candidates targeting Protein Arginine Methyltransferase 5, or PRMT5, Myeloid Cell Leukemia Sequence 1, or MCL1, Cyclin-dependent kinase 9, or CDK9, and Brahma homologue, or BRM, otherwise known as SMARCA2. . As of December 31, 2020, our cash and cash equivalents were $218.3 million.</w:t>
      </w:r>
    </w:p>
    <w:p>
      <w:pPr>
        <w:spacing w:after="0" w:line="185"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expect to incur increasing levels of operating losses for the foreseeable future, particularly as we advance PRT543, PRT811 and PRT1419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ongoing Phase 1 clinical trial for PRT1419 and development and subsequent INDs of other future product candidates we may choose to pursue, including PRT2527, our CDK9 inhibitor, a SMARCA2 protein degrader and a kinase inhibitor. In addition, if we obtain marketing approval for PRT543, PRT811, PRT1419 or another product candidate, we will incur significant sales, marketing and outsourced manufacturing expenses in connection with the commercialization of PRT543, PRT811, PRT1419 or such other product candidate, respectively.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or another product candidate. Our ability to generate revenue depends on a number of factors, including, but not limited to, our ability to:</w:t>
      </w:r>
    </w:p>
    <w:p>
      <w:pPr>
        <w:spacing w:after="0" w:line="79"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 successful Phase 1 portions of PRT543. PRT811 and PRT1419 clinical trials;</w:t>
      </w:r>
    </w:p>
    <w:p>
      <w:pPr>
        <w:spacing w:after="0" w:line="117" w:lineRule="exact"/>
        <w:rPr>
          <w:rFonts w:ascii="Arial" w:cs="Arial" w:eastAsia="Arial" w:hAnsi="Arial"/>
          <w:sz w:val="18"/>
          <w:szCs w:val="18"/>
          <w:color w:val="auto"/>
        </w:rPr>
      </w:pPr>
    </w:p>
    <w:p>
      <w:pPr>
        <w:ind w:left="820" w:right="360" w:hanging="407"/>
        <w:spacing w:after="0" w:line="311"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hematological malignancies;</w:t>
      </w:r>
    </w:p>
    <w:p>
      <w:pPr>
        <w:spacing w:after="0" w:line="40" w:lineRule="exact"/>
        <w:rPr>
          <w:rFonts w:ascii="Arial" w:cs="Arial" w:eastAsia="Arial" w:hAnsi="Arial"/>
          <w:sz w:val="16"/>
          <w:szCs w:val="16"/>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17"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obtain favorable results from our clinical trials and apply for and obtain marketing approval for PRT543, PRT811 and PRT1419;</w:t>
      </w:r>
    </w:p>
    <w:p>
      <w:pPr>
        <w:spacing w:after="0" w:line="117"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manufacture or contract with others to manufacture PRT543, PRT811, PRT1419 and our other product candidates;</w:t>
      </w:r>
    </w:p>
    <w:p>
      <w:pPr>
        <w:spacing w:after="0" w:line="117" w:lineRule="exact"/>
        <w:rPr>
          <w:rFonts w:ascii="Arial" w:cs="Arial" w:eastAsia="Arial" w:hAnsi="Arial"/>
          <w:sz w:val="18"/>
          <w:szCs w:val="18"/>
          <w:color w:val="auto"/>
        </w:rPr>
      </w:pPr>
    </w:p>
    <w:p>
      <w:pPr>
        <w:ind w:left="820" w:right="20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PRT543, PRT811, PRT1419, if approved, respectively, by building a sales force or entering into collaborations with third parties;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 INDs for PRT2527 and the SMARCA2 protein degrader that are made effective by the U.S.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Food and Drug Administration, or the FDA;</w:t>
      </w:r>
    </w:p>
    <w:p>
      <w:pPr>
        <w:spacing w:after="0" w:line="103" w:lineRule="exact"/>
        <w:rPr>
          <w:sz w:val="20"/>
          <w:szCs w:val="20"/>
          <w:color w:val="auto"/>
        </w:rPr>
      </w:pPr>
    </w:p>
    <w:p>
      <w:pPr>
        <w:ind w:left="5540" w:right="4980" w:hanging="5127"/>
        <w:spacing w:after="0" w:line="705" w:lineRule="auto"/>
        <w:tabs>
          <w:tab w:leader="none" w:pos="8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maintain, protect and defend our intellectual property portfolio; and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ind w:left="820" w:right="20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market acceptance of PRT543, PRT811, PRT1419 and our other successful product candidates with the medical community and with third-party payors.</w:t>
      </w:r>
    </w:p>
    <w:p>
      <w:pPr>
        <w:spacing w:after="0" w:line="170" w:lineRule="exact"/>
        <w:rPr>
          <w:sz w:val="20"/>
          <w:szCs w:val="20"/>
          <w:color w:val="auto"/>
        </w:rPr>
      </w:pPr>
    </w:p>
    <w:p>
      <w:pPr>
        <w:ind w:right="200" w:firstLine="416"/>
        <w:spacing w:after="0" w:line="273"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78" w:lineRule="exact"/>
        <w:rPr>
          <w:sz w:val="20"/>
          <w:szCs w:val="20"/>
          <w:color w:val="auto"/>
        </w:rPr>
      </w:pPr>
    </w:p>
    <w:p>
      <w:pPr>
        <w:ind w:right="100" w:firstLine="416"/>
        <w:spacing w:after="0" w:line="275"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ind w:right="100" w:firstLine="416"/>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76"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1" w:lineRule="exact"/>
        <w:rPr>
          <w:sz w:val="20"/>
          <w:szCs w:val="20"/>
          <w:color w:val="auto"/>
        </w:rPr>
      </w:pPr>
    </w:p>
    <w:p>
      <w:pPr>
        <w:ind w:left="420" w:right="42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6"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our product candidates, PRT543, PRT811 and PRT1419,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5" w:lineRule="exact"/>
        <w:rPr>
          <w:sz w:val="20"/>
          <w:szCs w:val="20"/>
          <w:color w:val="auto"/>
        </w:rPr>
      </w:pPr>
    </w:p>
    <w:p>
      <w:pPr>
        <w:ind w:right="340" w:firstLine="416"/>
        <w:spacing w:after="0" w:line="277"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2023. Our future capital requirements will depend on many factors, including:</w:t>
      </w:r>
    </w:p>
    <w:p>
      <w:pPr>
        <w:spacing w:after="0" w:line="76"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progress, timing and results of preclinical studies and clinical trials for our current or any future product candidates;</w:t>
      </w:r>
    </w:p>
    <w:p>
      <w:pPr>
        <w:spacing w:after="0" w:line="117" w:lineRule="exact"/>
        <w:rPr>
          <w:sz w:val="20"/>
          <w:szCs w:val="20"/>
          <w:color w:val="auto"/>
        </w:rPr>
      </w:pPr>
    </w:p>
    <w:p>
      <w:pPr>
        <w:ind w:left="5540" w:right="2980" w:hanging="5127"/>
        <w:spacing w:after="0" w:line="653" w:lineRule="auto"/>
        <w:tabs>
          <w:tab w:leader="none" w:pos="8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820" w:right="34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820" w:right="60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rFonts w:ascii="Arial" w:cs="Arial" w:eastAsia="Arial" w:hAnsi="Arial"/>
          <w:sz w:val="18"/>
          <w:szCs w:val="18"/>
          <w:color w:val="auto"/>
        </w:rPr>
      </w:pPr>
    </w:p>
    <w:p>
      <w:pPr>
        <w:ind w:left="820" w:right="26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8"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820" w:right="52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and distribution capabilities;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17" w:lineRule="exact"/>
        <w:rPr>
          <w:rFonts w:ascii="Arial" w:cs="Arial" w:eastAsia="Arial" w:hAnsi="Arial"/>
          <w:sz w:val="18"/>
          <w:szCs w:val="18"/>
          <w:color w:val="auto"/>
        </w:rPr>
      </w:pPr>
    </w:p>
    <w:p>
      <w:pPr>
        <w:ind w:left="820" w:right="38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PRT543, PRT811, PRT1419, or PRT2527 if any are approved, or our other pipeline product candidates that receive marketing approval;</w:t>
      </w:r>
    </w:p>
    <w:p>
      <w:pPr>
        <w:spacing w:after="0" w:line="62" w:lineRule="exact"/>
        <w:rPr>
          <w:rFonts w:ascii="Arial" w:cs="Arial" w:eastAsia="Arial" w:hAnsi="Arial"/>
          <w:sz w:val="18"/>
          <w:szCs w:val="18"/>
          <w:color w:val="auto"/>
        </w:rPr>
      </w:pPr>
    </w:p>
    <w:p>
      <w:pPr>
        <w:ind w:left="820" w:right="420" w:hanging="407"/>
        <w:spacing w:after="0" w:line="34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15" w:lineRule="exact"/>
        <w:rPr>
          <w:rFonts w:ascii="Arial" w:cs="Arial" w:eastAsia="Arial" w:hAnsi="Arial"/>
          <w:sz w:val="16"/>
          <w:szCs w:val="16"/>
          <w:color w:val="auto"/>
        </w:rPr>
      </w:pPr>
    </w:p>
    <w:p>
      <w:pPr>
        <w:ind w:left="820" w:right="2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62" w:lineRule="exact"/>
        <w:rPr>
          <w:rFonts w:ascii="Arial" w:cs="Arial" w:eastAsia="Arial" w:hAnsi="Arial"/>
          <w:sz w:val="18"/>
          <w:szCs w:val="18"/>
          <w:color w:val="auto"/>
        </w:rPr>
      </w:pPr>
    </w:p>
    <w:p>
      <w:pPr>
        <w:jc w:val="both"/>
        <w:ind w:left="820" w:hanging="407"/>
        <w:spacing w:after="0" w:line="311"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PRT543, PRT811, PRT1419, PRT2527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49"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7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restrict our operations or require us to relinquish rights to our technologies or product candidates.</w:t>
      </w:r>
    </w:p>
    <w:p>
      <w:pPr>
        <w:spacing w:after="0" w:line="62"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7"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3" w:name="page64"/>
    <w:bookmarkEnd w:id="63"/>
    <w:p>
      <w:pPr>
        <w:ind w:right="420"/>
        <w:spacing w:after="0" w:line="277" w:lineRule="auto"/>
        <w:rPr>
          <w:sz w:val="20"/>
          <w:szCs w:val="20"/>
          <w:color w:val="auto"/>
        </w:rPr>
      </w:pPr>
      <w:r>
        <w:rPr>
          <w:rFonts w:ascii="Arial" w:cs="Arial" w:eastAsia="Arial" w:hAnsi="Arial"/>
          <w:sz w:val="18"/>
          <w:szCs w:val="18"/>
          <w:color w:val="auto"/>
        </w:rPr>
        <w:t>limit, reduce or terminate our research, product development or future commercialization efforts or grant rights to third parties to develop and market product candidates that we would otherwise prefer to develop and market ourselves.</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Design and Development of our Product Candidates</w:t>
      </w:r>
    </w:p>
    <w:p>
      <w:pPr>
        <w:spacing w:after="0" w:line="121" w:lineRule="exact"/>
        <w:rPr>
          <w:sz w:val="20"/>
          <w:szCs w:val="20"/>
          <w:color w:val="auto"/>
        </w:rPr>
      </w:pPr>
    </w:p>
    <w:p>
      <w:pPr>
        <w:jc w:val="both"/>
        <w:ind w:left="420" w:right="60"/>
        <w:spacing w:after="0" w:line="311" w:lineRule="auto"/>
        <w:rPr>
          <w:sz w:val="20"/>
          <w:szCs w:val="20"/>
          <w:color w:val="auto"/>
        </w:rPr>
      </w:pPr>
      <w:r>
        <w:rPr>
          <w:rFonts w:ascii="Arial" w:cs="Arial" w:eastAsia="Arial" w:hAnsi="Arial"/>
          <w:sz w:val="16"/>
          <w:szCs w:val="16"/>
          <w:b w:val="1"/>
          <w:bCs w:val="1"/>
          <w:i w:val="1"/>
          <w:iCs w:val="1"/>
          <w:color w:val="auto"/>
        </w:rPr>
        <w:t>We are highly dependent on the success of our product candidates, PRT543, PRT811 and PRT1419, which are in early clinical development, and PRT2527, which is in preclinical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14"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Our future success is highly dependent on our ability to obtain regulatory approval for, and then successfully commercialize, our product candidates, PRT543, PRT811 and PRT1419. We are early in our development efforts and our lead product candidates, PRT543, PRT811 and PRT1419, are each currently in a Phase 1 clinical trial. Our other product candidates, including PRT2527, are in earlier stages of development. We currently have no products that are approved for sale in any jurisdiction. There can be no assurance that PRT543, PRT811, PRT1419, PRT2527 or our other product candidates in development will achieve success in their clinical trials or obtain regulatory approval.</w:t>
      </w:r>
    </w:p>
    <w:p>
      <w:pPr>
        <w:spacing w:after="0" w:line="149" w:lineRule="exact"/>
        <w:rPr>
          <w:sz w:val="20"/>
          <w:szCs w:val="20"/>
          <w:color w:val="auto"/>
        </w:rPr>
      </w:pPr>
    </w:p>
    <w:p>
      <w:pPr>
        <w:ind w:right="280" w:firstLine="416"/>
        <w:spacing w:after="0" w:line="286" w:lineRule="auto"/>
        <w:rPr>
          <w:sz w:val="20"/>
          <w:szCs w:val="20"/>
          <w:color w:val="auto"/>
        </w:rPr>
      </w:pPr>
      <w:r>
        <w:rPr>
          <w:rFonts w:ascii="Arial" w:cs="Arial" w:eastAsia="Arial" w:hAnsi="Arial"/>
          <w:sz w:val="17"/>
          <w:szCs w:val="17"/>
          <w:color w:val="auto"/>
        </w:rPr>
        <w:t>Our ability to generate product revenues, which we do not expect will occur for many years, if ever, will depend heavily on the successful development and eventual commercialization of PRT543, PRT811, PRT1419, PRT2527 or other product candidates in development. The success of our product candidates, including PRT543, PRT811, PRT1419 and PRT2527, will depend on several factors, including the following:</w:t>
      </w:r>
    </w:p>
    <w:p>
      <w:pPr>
        <w:spacing w:after="0" w:line="30" w:lineRule="exact"/>
        <w:rPr>
          <w:sz w:val="20"/>
          <w:szCs w:val="20"/>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INDs by the FDA or other similar clinical trial applications from foreign regulatory authorities for our future clinical trials for our pipeline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7"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w:t>
      </w:r>
    </w:p>
    <w:p>
      <w:pPr>
        <w:spacing w:after="0" w:line="3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ability, or that of our collaborators, to develop and obtain clearance or approval of companion diagnostics, on a timely basis, or at all;</w:t>
      </w:r>
    </w:p>
    <w:p>
      <w:pPr>
        <w:spacing w:after="0" w:line="102" w:lineRule="exact"/>
        <w:rPr>
          <w:sz w:val="20"/>
          <w:szCs w:val="20"/>
          <w:color w:val="auto"/>
        </w:rPr>
      </w:pPr>
    </w:p>
    <w:p>
      <w:pPr>
        <w:ind w:left="820" w:right="520" w:hanging="40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13" w:lineRule="exact"/>
        <w:rPr>
          <w:rFonts w:ascii="Arial" w:cs="Arial" w:eastAsia="Arial" w:hAnsi="Arial"/>
          <w:sz w:val="16"/>
          <w:szCs w:val="16"/>
          <w:color w:val="auto"/>
        </w:rPr>
      </w:pPr>
    </w:p>
    <w:p>
      <w:pPr>
        <w:ind w:left="820" w:right="140" w:hanging="40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17" w:lineRule="exact"/>
        <w:rPr>
          <w:rFonts w:ascii="Arial" w:cs="Arial" w:eastAsia="Arial" w:hAnsi="Arial"/>
          <w:sz w:val="18"/>
          <w:szCs w:val="18"/>
          <w:color w:val="auto"/>
        </w:rPr>
      </w:pPr>
    </w:p>
    <w:p>
      <w:pPr>
        <w:ind w:left="820" w:right="40" w:hanging="40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220" w:firstLine="416"/>
        <w:spacing w:after="0" w:line="263" w:lineRule="auto"/>
        <w:rPr>
          <w:sz w:val="20"/>
          <w:szCs w:val="20"/>
          <w:color w:val="auto"/>
        </w:rPr>
      </w:pPr>
      <w:r>
        <w:rPr>
          <w:rFonts w:ascii="Arial" w:cs="Arial" w:eastAsia="Arial" w:hAnsi="Arial"/>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ind w:right="280"/>
        <w:spacing w:after="0" w:line="277" w:lineRule="auto"/>
        <w:rPr>
          <w:sz w:val="20"/>
          <w:szCs w:val="20"/>
          <w:color w:val="auto"/>
        </w:rPr>
      </w:pPr>
      <w:r>
        <w:rPr>
          <w:rFonts w:ascii="Arial" w:cs="Arial" w:eastAsia="Arial" w:hAnsi="Arial"/>
          <w:sz w:val="18"/>
          <w:szCs w:val="18"/>
          <w:color w:val="auto"/>
        </w:rPr>
        <w:t>commercialize our product candidates, which would materially harm our business. For example, our business could be harmed if results of our ongoing clinical trials of PRT543, PRT811 or PRT1419, vary adversely from our expectations.</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Drug development involves a lengthy and expensive process, and clinical testing is uncertain as to the outcome.</w:t>
      </w:r>
    </w:p>
    <w:p>
      <w:pPr>
        <w:spacing w:after="0" w:line="117"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76" w:lineRule="exact"/>
        <w:rPr>
          <w:sz w:val="20"/>
          <w:szCs w:val="20"/>
          <w:color w:val="auto"/>
        </w:rPr>
      </w:pPr>
    </w:p>
    <w:p>
      <w:pPr>
        <w:ind w:right="80" w:firstLine="416"/>
        <w:spacing w:after="0" w:line="268" w:lineRule="auto"/>
        <w:rPr>
          <w:sz w:val="20"/>
          <w:szCs w:val="20"/>
          <w:color w:val="auto"/>
        </w:rPr>
      </w:pPr>
      <w:r>
        <w:rPr>
          <w:rFonts w:ascii="Arial" w:cs="Arial" w:eastAsia="Arial" w:hAnsi="Arial"/>
          <w:sz w:val="17"/>
          <w:szCs w:val="17"/>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81"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and/or commercialization of PRT543, PRT811, PRT1419, PRT2527 or our other product candidates.</w:t>
      </w:r>
    </w:p>
    <w:p>
      <w:pPr>
        <w:spacing w:after="0" w:line="62" w:lineRule="exact"/>
        <w:rPr>
          <w:sz w:val="20"/>
          <w:szCs w:val="20"/>
          <w:color w:val="auto"/>
        </w:rPr>
      </w:pPr>
    </w:p>
    <w:p>
      <w:pPr>
        <w:ind w:right="160" w:firstLine="416"/>
        <w:spacing w:after="0" w:line="263" w:lineRule="auto"/>
        <w:rPr>
          <w:sz w:val="20"/>
          <w:szCs w:val="20"/>
          <w:color w:val="auto"/>
        </w:rPr>
      </w:pPr>
      <w:r>
        <w:rPr>
          <w:rFonts w:ascii="Arial" w:cs="Arial" w:eastAsia="Arial" w:hAnsi="Arial"/>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84" w:lineRule="exact"/>
        <w:rPr>
          <w:sz w:val="20"/>
          <w:szCs w:val="20"/>
          <w:color w:val="auto"/>
        </w:rPr>
      </w:pPr>
    </w:p>
    <w:p>
      <w:pPr>
        <w:ind w:right="240" w:firstLine="416"/>
        <w:spacing w:after="0" w:line="277" w:lineRule="auto"/>
        <w:rPr>
          <w:sz w:val="20"/>
          <w:szCs w:val="20"/>
          <w:color w:val="auto"/>
        </w:rPr>
      </w:pPr>
      <w:r>
        <w:rPr>
          <w:rFonts w:ascii="Arial" w:cs="Arial" w:eastAsia="Arial" w:hAnsi="Arial"/>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70" w:lineRule="exact"/>
        <w:rPr>
          <w:sz w:val="20"/>
          <w:szCs w:val="20"/>
          <w:color w:val="auto"/>
        </w:rPr>
      </w:pPr>
    </w:p>
    <w:p>
      <w:pPr>
        <w:jc w:val="both"/>
        <w:ind w:right="80" w:firstLine="416"/>
        <w:spacing w:after="0" w:line="263" w:lineRule="auto"/>
        <w:rPr>
          <w:sz w:val="20"/>
          <w:szCs w:val="20"/>
          <w:color w:val="auto"/>
        </w:rPr>
      </w:pPr>
      <w:r>
        <w:rPr>
          <w:rFonts w:ascii="Arial" w:cs="Arial" w:eastAsia="Arial" w:hAnsi="Arial"/>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76" w:lineRule="exact"/>
        <w:rPr>
          <w:sz w:val="20"/>
          <w:szCs w:val="20"/>
          <w:color w:val="auto"/>
        </w:rPr>
      </w:pPr>
    </w:p>
    <w:p>
      <w:pPr>
        <w:ind w:left="820" w:right="540" w:hanging="407"/>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20" w:right="180" w:hanging="407"/>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 or with our recommended Phase 2 doses for any of our pipeline programs;</w:t>
      </w:r>
    </w:p>
    <w:p>
      <w:pPr>
        <w:spacing w:after="0" w:line="62" w:lineRule="exact"/>
        <w:rPr>
          <w:rFonts w:ascii="Arial" w:cs="Arial" w:eastAsia="Arial" w:hAnsi="Arial"/>
          <w:sz w:val="18"/>
          <w:szCs w:val="18"/>
          <w:color w:val="auto"/>
        </w:rPr>
      </w:pPr>
    </w:p>
    <w:p>
      <w:pPr>
        <w:ind w:left="820" w:right="640" w:hanging="407"/>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ind w:left="820" w:right="20" w:hanging="407"/>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820" w:right="80" w:hanging="407"/>
        <w:spacing w:after="0" w:line="25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8"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for clinical trial participants from investigational and approved therapies may make it more difficult to enroll patients in our clinical trials;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difficulties in maintaining contact with patients after treatment, resulting in incomplete data;</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or third-party collaborators may fail to obtain regulatory approval of companion diagnostic tests, if required, on a timely basis, or at all;</w:t>
      </w:r>
    </w:p>
    <w:p>
      <w:pPr>
        <w:spacing w:after="0" w:line="128" w:lineRule="exact"/>
        <w:rPr>
          <w:rFonts w:ascii="Arial" w:cs="Arial" w:eastAsia="Arial" w:hAnsi="Arial"/>
          <w:sz w:val="17"/>
          <w:szCs w:val="17"/>
          <w:color w:val="auto"/>
        </w:rPr>
      </w:pPr>
    </w:p>
    <w:p>
      <w:pPr>
        <w:ind w:left="820" w:right="680" w:hanging="407"/>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62"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product candidates may have undesirable or unexpected side effects or other unexpected characteristics, causing us or our investigators,</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regulators or IRBs/ECs to suspend or terminate the trials;</w:t>
      </w:r>
    </w:p>
    <w:p>
      <w:pPr>
        <w:spacing w:after="0" w:line="103"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for our product candidates may be greater than we anticipate;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17" w:lineRule="exact"/>
        <w:rPr>
          <w:rFonts w:ascii="Arial" w:cs="Arial" w:eastAsia="Arial" w:hAnsi="Arial"/>
          <w:sz w:val="18"/>
          <w:szCs w:val="18"/>
          <w:color w:val="auto"/>
        </w:rPr>
      </w:pPr>
    </w:p>
    <w:p>
      <w:pPr>
        <w:ind w:left="820" w:right="640" w:hanging="407"/>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62"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70"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36"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24"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35"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6" w:name="page67"/>
    <w:bookmarkEnd w:id="66"/>
    <w:p>
      <w:pPr>
        <w:ind w:left="840" w:hanging="427"/>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90" w:lineRule="exact"/>
        <w:rPr>
          <w:rFonts w:ascii="Arial" w:cs="Arial" w:eastAsia="Arial" w:hAnsi="Arial"/>
          <w:sz w:val="18"/>
          <w:szCs w:val="18"/>
          <w:color w:val="auto"/>
        </w:rPr>
      </w:pPr>
    </w:p>
    <w:p>
      <w:pPr>
        <w:ind w:left="840" w:right="60" w:hanging="427"/>
        <w:spacing w:after="0" w:line="277"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35" w:lineRule="exact"/>
        <w:rPr>
          <w:rFonts w:ascii="Arial" w:cs="Arial" w:eastAsia="Arial" w:hAnsi="Arial"/>
          <w:sz w:val="18"/>
          <w:szCs w:val="18"/>
          <w:color w:val="auto"/>
        </w:rPr>
      </w:pPr>
    </w:p>
    <w:p>
      <w:pPr>
        <w:ind w:left="840" w:hanging="427"/>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90"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102" w:lineRule="exact"/>
        <w:rPr>
          <w:sz w:val="20"/>
          <w:szCs w:val="20"/>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85" w:lineRule="exact"/>
        <w:rPr>
          <w:sz w:val="20"/>
          <w:szCs w:val="20"/>
          <w:color w:val="auto"/>
        </w:rPr>
      </w:pPr>
    </w:p>
    <w:p>
      <w:pPr>
        <w:jc w:val="both"/>
        <w:ind w:right="460" w:firstLine="416"/>
        <w:spacing w:after="0" w:line="286"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firstLine="416"/>
        <w:spacing w:after="0" w:line="308"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38" w:lineRule="exact"/>
        <w:rPr>
          <w:sz w:val="20"/>
          <w:szCs w:val="20"/>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40" w:right="20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17" w:lineRule="exact"/>
        <w:rPr>
          <w:rFonts w:ascii="Arial" w:cs="Arial" w:eastAsia="Arial" w:hAnsi="Arial"/>
          <w:sz w:val="18"/>
          <w:szCs w:val="18"/>
          <w:color w:val="auto"/>
        </w:rPr>
      </w:pPr>
    </w:p>
    <w:p>
      <w:pPr>
        <w:ind w:left="840" w:right="26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840" w:right="340" w:hanging="427"/>
        <w:spacing w:after="0" w:line="263"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22" w:right="419" w:bottom="1440" w:gutter="0" w:footer="0" w:header="0"/>
        </w:sectPr>
      </w:pPr>
    </w:p>
    <w:bookmarkStart w:id="67" w:name="page68"/>
    <w:bookmarkEnd w:id="67"/>
    <w:p>
      <w:pPr>
        <w:ind w:left="840" w:right="420" w:hanging="427"/>
        <w:spacing w:after="0" w:line="277"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raw material supply or manufacturing capabilities domestically and abroad;</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840" w:right="200" w:hanging="427"/>
        <w:spacing w:after="0" w:line="277"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our</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clinical trials are conducted, which may result in unexpected costs, delays, or to discontinue the clinical trials altogether;</w:t>
      </w:r>
    </w:p>
    <w:p>
      <w:pPr>
        <w:spacing w:after="0" w:line="103" w:lineRule="exact"/>
        <w:rPr>
          <w:sz w:val="20"/>
          <w:szCs w:val="20"/>
          <w:color w:val="auto"/>
        </w:rPr>
      </w:pPr>
    </w:p>
    <w:p>
      <w:pPr>
        <w:ind w:left="840" w:right="260" w:hanging="427"/>
        <w:spacing w:after="0" w:line="277"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840" w:right="740" w:hanging="427"/>
        <w:spacing w:after="0" w:line="277"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of regulatory authorities such as FDA or European Medicines Agency, or EMA, to accept data from clinical trials in affected geographies; and</w:t>
      </w:r>
    </w:p>
    <w:p>
      <w:pPr>
        <w:spacing w:after="0" w:line="62" w:lineRule="exact"/>
        <w:rPr>
          <w:rFonts w:ascii="Arial" w:cs="Arial" w:eastAsia="Arial" w:hAnsi="Arial"/>
          <w:sz w:val="18"/>
          <w:szCs w:val="18"/>
          <w:color w:val="auto"/>
        </w:rPr>
      </w:pPr>
    </w:p>
    <w:p>
      <w:pPr>
        <w:ind w:left="840" w:hanging="427"/>
        <w:spacing w:after="0" w:line="277"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firstLine="416"/>
        <w:spacing w:after="0" w:line="286"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COVID-19 on our studies and current timelines. Measures we have taken in response to COVID-19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19" w:lineRule="exact"/>
        <w:rPr>
          <w:sz w:val="20"/>
          <w:szCs w:val="20"/>
          <w:color w:val="auto"/>
        </w:rPr>
      </w:pPr>
    </w:p>
    <w:p>
      <w:pPr>
        <w:ind w:left="420" w:right="40"/>
        <w:spacing w:after="0" w:line="28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PRT543, PRT811, PRT1419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219" w:lineRule="exact"/>
        <w:rPr>
          <w:sz w:val="20"/>
          <w:szCs w:val="20"/>
          <w:color w:val="auto"/>
        </w:rPr>
      </w:pPr>
    </w:p>
    <w:p>
      <w:pPr>
        <w:ind w:right="360" w:firstLine="416"/>
        <w:spacing w:after="0" w:line="259"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ind w:right="120"/>
        <w:spacing w:after="0" w:line="277" w:lineRule="auto"/>
        <w:rPr>
          <w:sz w:val="20"/>
          <w:szCs w:val="20"/>
          <w:color w:val="auto"/>
        </w:rPr>
      </w:pPr>
      <w:r>
        <w:rPr>
          <w:rFonts w:ascii="Arial" w:cs="Arial" w:eastAsia="Arial" w:hAnsi="Arial"/>
          <w:sz w:val="18"/>
          <w:szCs w:val="18"/>
          <w:color w:val="auto"/>
        </w:rPr>
        <w:t>of exposure, rare and severe side effects of our product candidates or those of our competitors may only be uncovered with a significantly larger number of patients exposed to the drug.</w:t>
      </w:r>
    </w:p>
    <w:p>
      <w:pPr>
        <w:spacing w:after="0" w:line="197"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Additionally, due to the high mortality rates of the cancers for which we are initially pursuing development and the pretreated nature of many patients in our ongoing clinical trials of PRT543, PRT811 and PRT1419, a material percentage of patients in these clinical trials may die during a trial, which could impact development of PRT543, PRT811 and PRT1419,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205"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77"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8"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2" w:lineRule="exact"/>
        <w:rPr>
          <w:sz w:val="20"/>
          <w:szCs w:val="20"/>
          <w:color w:val="auto"/>
        </w:rPr>
      </w:pPr>
    </w:p>
    <w:p>
      <w:pPr>
        <w:ind w:left="840" w:hanging="42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17" w:lineRule="exact"/>
        <w:rPr>
          <w:rFonts w:ascii="Arial" w:cs="Arial" w:eastAsia="Arial" w:hAnsi="Arial"/>
          <w:sz w:val="18"/>
          <w:szCs w:val="18"/>
          <w:color w:val="auto"/>
        </w:rPr>
      </w:pPr>
    </w:p>
    <w:p>
      <w:pPr>
        <w:ind w:left="840" w:right="180" w:hanging="427"/>
        <w:spacing w:after="0" w:line="342" w:lineRule="auto"/>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840" w:right="80" w:hanging="427"/>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840" w:right="560" w:hanging="427"/>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920" w:firstLine="41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65" w:lineRule="exact"/>
        <w:rPr>
          <w:sz w:val="20"/>
          <w:szCs w:val="20"/>
          <w:color w:val="auto"/>
        </w:rPr>
      </w:pPr>
    </w:p>
    <w:p>
      <w:pPr>
        <w:ind w:left="420" w:right="320"/>
        <w:spacing w:after="0" w:line="34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ind w:firstLine="416"/>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30"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or PRT1419, or any other product candidates may be harmed, which could harm our business, financial condition, results of operations and prospects.</w:t>
      </w:r>
    </w:p>
    <w:p>
      <w:pPr>
        <w:spacing w:after="0" w:line="194" w:lineRule="exact"/>
        <w:rPr>
          <w:sz w:val="20"/>
          <w:szCs w:val="20"/>
          <w:color w:val="auto"/>
        </w:rPr>
      </w:pPr>
    </w:p>
    <w:p>
      <w:pPr>
        <w:ind w:left="420" w:right="5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2"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successful in our efforts to design additional potential product candidates.</w:t>
      </w:r>
    </w:p>
    <w:p>
      <w:pPr>
        <w:spacing w:after="0" w:line="90" w:lineRule="exact"/>
        <w:rPr>
          <w:sz w:val="20"/>
          <w:szCs w:val="20"/>
          <w:color w:val="auto"/>
        </w:rPr>
      </w:pPr>
    </w:p>
    <w:p>
      <w:pPr>
        <w:ind w:right="20" w:firstLine="416"/>
        <w:spacing w:after="0" w:line="296" w:lineRule="auto"/>
        <w:rPr>
          <w:sz w:val="20"/>
          <w:szCs w:val="20"/>
          <w:color w:val="auto"/>
        </w:rPr>
      </w:pPr>
      <w:r>
        <w:rPr>
          <w:rFonts w:ascii="Arial" w:cs="Arial" w:eastAsia="Arial" w:hAnsi="Arial"/>
          <w:sz w:val="16"/>
          <w:szCs w:val="16"/>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26" w:lineRule="exact"/>
        <w:rPr>
          <w:sz w:val="20"/>
          <w:szCs w:val="20"/>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target selection methodology used may not be successful in identifying potential product candidates;</w:t>
      </w:r>
    </w:p>
    <w:p>
      <w:pPr>
        <w:spacing w:after="0" w:line="76" w:lineRule="exact"/>
        <w:rPr>
          <w:rFonts w:ascii="Arial" w:cs="Arial" w:eastAsia="Arial" w:hAnsi="Arial"/>
          <w:sz w:val="18"/>
          <w:szCs w:val="18"/>
          <w:color w:val="auto"/>
        </w:rPr>
      </w:pPr>
    </w:p>
    <w:p>
      <w:pPr>
        <w:ind w:left="820" w:right="180" w:hanging="407"/>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0" w:name="page71"/>
    <w:bookmarkEnd w:id="70"/>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225"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420" w:right="540"/>
        <w:spacing w:after="0" w:line="342" w:lineRule="auto"/>
        <w:rPr>
          <w:sz w:val="20"/>
          <w:szCs w:val="20"/>
          <w:color w:val="auto"/>
        </w:rPr>
      </w:pPr>
      <w:r>
        <w:rPr>
          <w:rFonts w:ascii="Arial" w:cs="Arial" w:eastAsia="Arial" w:hAnsi="Arial"/>
          <w:sz w:val="16"/>
          <w:szCs w:val="16"/>
          <w:b w:val="1"/>
          <w:bCs w:val="1"/>
          <w:i w:val="1"/>
          <w:iCs w:val="1"/>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16"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and PRT1419,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7"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 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or any other product candidate may not be predictive of the results of our later-stage clinical trials.</w:t>
      </w:r>
    </w:p>
    <w:p>
      <w:pPr>
        <w:spacing w:after="0" w:line="181"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17" w:lineRule="exact"/>
        <w:rPr>
          <w:rFonts w:ascii="Arial" w:cs="Arial" w:eastAsia="Arial" w:hAnsi="Arial"/>
          <w:sz w:val="18"/>
          <w:szCs w:val="18"/>
          <w:color w:val="auto"/>
        </w:rPr>
      </w:pPr>
    </w:p>
    <w:p>
      <w:pPr>
        <w:ind w:left="840" w:right="540" w:hanging="427"/>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71" w:name="page72"/>
    <w:bookmarkEnd w:id="71"/>
    <w:p>
      <w:pPr>
        <w:ind w:left="840" w:hanging="427"/>
        <w:spacing w:after="0"/>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determines that the objective response rate, or ORR, and duration of response are not clinically meaningful;</w:t>
      </w:r>
    </w:p>
    <w:p>
      <w:pPr>
        <w:sectPr>
          <w:pgSz w:w="11900" w:h="16838" w:orient="portrait"/>
          <w:cols w:equalWidth="0" w:num="1">
            <w:col w:w="11220"/>
          </w:cols>
          <w:pgMar w:left="320" w:top="341" w:right="359" w:bottom="1440" w:gutter="0" w:footer="0" w:header="0"/>
        </w:sectPr>
      </w:pP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6" w:lineRule="exact"/>
        <w:rPr>
          <w:sz w:val="20"/>
          <w:szCs w:val="20"/>
          <w:color w:val="auto"/>
        </w:rPr>
      </w:pPr>
    </w:p>
    <w:p>
      <w:pPr>
        <w:sectPr>
          <w:pgSz w:w="11900" w:h="16838" w:orient="portrait"/>
          <w:cols w:equalWidth="0" w:num="2">
            <w:col w:w="480" w:space="360"/>
            <w:col w:w="10380"/>
          </w:cols>
          <w:pgMar w:left="320" w:top="341" w:right="359" w:bottom="1440" w:gutter="0" w:footer="0" w:header="0"/>
          <w:type w:val="continuous"/>
        </w:sect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17" w:lineRule="exact"/>
        <w:rPr>
          <w:rFonts w:ascii="Arial" w:cs="Arial" w:eastAsia="Arial" w:hAnsi="Arial"/>
          <w:sz w:val="18"/>
          <w:szCs w:val="18"/>
          <w:color w:val="auto"/>
        </w:rPr>
      </w:pPr>
    </w:p>
    <w:p>
      <w:pPr>
        <w:ind w:left="840" w:right="140" w:hanging="427"/>
        <w:spacing w:after="0" w:line="277"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determine that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840" w:right="460" w:hanging="427"/>
        <w:spacing w:after="0" w:line="277"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17" w:lineRule="exact"/>
        <w:rPr>
          <w:rFonts w:ascii="Arial" w:cs="Arial" w:eastAsia="Arial" w:hAnsi="Arial"/>
          <w:sz w:val="18"/>
          <w:szCs w:val="18"/>
          <w:color w:val="auto"/>
        </w:rPr>
      </w:pPr>
    </w:p>
    <w:p>
      <w:pPr>
        <w:ind w:left="840" w:right="160" w:hanging="427"/>
        <w:spacing w:after="0" w:line="277"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25" w:lineRule="exact"/>
        <w:rPr>
          <w:sz w:val="20"/>
          <w:szCs w:val="20"/>
          <w:color w:val="auto"/>
        </w:rPr>
      </w:pPr>
    </w:p>
    <w:p>
      <w:pPr>
        <w:ind w:right="580" w:firstLine="416"/>
        <w:spacing w:after="0" w:line="277"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right="320" w:firstLine="416"/>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PRT543, PRT811 or PRT1419, our commercial prospects will be harmed and our ability to generate revenues will be materially impaired which would adversely affect our business, prospects, financial condition and results of operations.</w:t>
      </w:r>
    </w:p>
    <w:p>
      <w:pPr>
        <w:spacing w:after="0" w:line="278"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78"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29" w:lineRule="exact"/>
        <w:rPr>
          <w:sz w:val="20"/>
          <w:szCs w:val="20"/>
          <w:color w:val="auto"/>
        </w:rPr>
      </w:pPr>
    </w:p>
    <w:p>
      <w:pPr>
        <w:ind w:left="820" w:hanging="407"/>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trial or trials required to verify the predicted clinical benefit of our product candidate fail to verify such benefit or do not demonstrate</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sufficient clinical benefit to justify the risks associated with the drug;</w:t>
      </w:r>
    </w:p>
    <w:p>
      <w:pPr>
        <w:spacing w:after="0" w:line="76" w:lineRule="exact"/>
        <w:rPr>
          <w:sz w:val="20"/>
          <w:szCs w:val="20"/>
          <w:color w:val="auto"/>
        </w:rPr>
      </w:pPr>
    </w:p>
    <w:p>
      <w:pPr>
        <w:ind w:left="820" w:hanging="407"/>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72" w:name="page73"/>
    <w:bookmarkEnd w:id="72"/>
    <w:p>
      <w:pPr>
        <w:ind w:left="420"/>
        <w:spacing w:after="0" w:line="263"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49" w:lineRule="exact"/>
        <w:rPr>
          <w:sz w:val="20"/>
          <w:szCs w:val="20"/>
          <w:color w:val="auto"/>
        </w:rPr>
      </w:pPr>
    </w:p>
    <w:p>
      <w:pPr>
        <w:ind w:right="140" w:firstLine="416"/>
        <w:spacing w:after="0" w:line="253" w:lineRule="auto"/>
        <w:rPr>
          <w:sz w:val="20"/>
          <w:szCs w:val="20"/>
          <w:color w:val="auto"/>
        </w:rPr>
      </w:pPr>
      <w:r>
        <w:rPr>
          <w:rFonts w:ascii="Arial" w:cs="Arial" w:eastAsia="Arial" w:hAnsi="Arial"/>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90" w:lineRule="exact"/>
        <w:rPr>
          <w:sz w:val="20"/>
          <w:szCs w:val="20"/>
          <w:color w:val="auto"/>
        </w:rPr>
      </w:pPr>
    </w:p>
    <w:p>
      <w:pPr>
        <w:ind w:right="300" w:firstLine="416"/>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47"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66" w:lineRule="exact"/>
        <w:rPr>
          <w:sz w:val="20"/>
          <w:szCs w:val="20"/>
          <w:color w:val="auto"/>
        </w:rPr>
      </w:pPr>
    </w:p>
    <w:p>
      <w:pPr>
        <w:ind w:right="120" w:firstLine="416"/>
        <w:spacing w:after="0" w:line="269" w:lineRule="auto"/>
        <w:rPr>
          <w:sz w:val="20"/>
          <w:szCs w:val="20"/>
          <w:color w:val="auto"/>
        </w:rPr>
      </w:pPr>
      <w:r>
        <w:rPr>
          <w:rFonts w:ascii="Arial" w:cs="Arial" w:eastAsia="Arial" w:hAnsi="Arial"/>
          <w:sz w:val="17"/>
          <w:szCs w:val="17"/>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80" w:lineRule="exact"/>
        <w:rPr>
          <w:sz w:val="20"/>
          <w:szCs w:val="20"/>
          <w:color w:val="auto"/>
        </w:rPr>
      </w:pPr>
    </w:p>
    <w:p>
      <w:pPr>
        <w:ind w:left="420" w:right="280"/>
        <w:spacing w:after="0" w:line="375" w:lineRule="auto"/>
        <w:rPr>
          <w:sz w:val="20"/>
          <w:szCs w:val="20"/>
          <w:color w:val="auto"/>
        </w:rPr>
      </w:pPr>
      <w:r>
        <w:rPr>
          <w:rFonts w:ascii="Arial" w:cs="Arial" w:eastAsia="Arial" w:hAnsi="Arial"/>
          <w:sz w:val="15"/>
          <w:szCs w:val="15"/>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1" w:lineRule="exact"/>
        <w:rPr>
          <w:sz w:val="20"/>
          <w:szCs w:val="20"/>
          <w:color w:val="auto"/>
        </w:rPr>
      </w:pPr>
    </w:p>
    <w:p>
      <w:pPr>
        <w:ind w:right="200" w:firstLine="416"/>
        <w:spacing w:after="0" w:line="263" w:lineRule="auto"/>
        <w:rPr>
          <w:sz w:val="20"/>
          <w:szCs w:val="20"/>
          <w:color w:val="auto"/>
        </w:rPr>
      </w:pPr>
      <w:r>
        <w:rPr>
          <w:rFonts w:ascii="Arial" w:cs="Arial" w:eastAsia="Arial" w:hAnsi="Arial"/>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3" w:name="page74"/>
    <w:bookmarkEnd w:id="73"/>
    <w:p>
      <w:pPr>
        <w:ind w:right="80"/>
        <w:spacing w:after="0" w:line="257" w:lineRule="auto"/>
        <w:rPr>
          <w:sz w:val="20"/>
          <w:szCs w:val="20"/>
          <w:color w:val="auto"/>
        </w:rPr>
      </w:pPr>
      <w:r>
        <w:rPr>
          <w:rFonts w:ascii="Arial" w:cs="Arial" w:eastAsia="Arial" w:hAnsi="Arial"/>
          <w:sz w:val="18"/>
          <w:szCs w:val="18"/>
          <w:color w:val="auto"/>
        </w:rPr>
        <w:t>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8"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72" w:lineRule="exact"/>
        <w:rPr>
          <w:sz w:val="20"/>
          <w:szCs w:val="20"/>
          <w:color w:val="auto"/>
        </w:rPr>
      </w:pPr>
    </w:p>
    <w:p>
      <w:pPr>
        <w:ind w:left="420" w:right="10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right="160" w:firstLine="416"/>
        <w:spacing w:after="0" w:line="25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187" w:lineRule="exact"/>
        <w:rPr>
          <w:sz w:val="20"/>
          <w:szCs w:val="20"/>
          <w:color w:val="auto"/>
        </w:rPr>
      </w:pPr>
    </w:p>
    <w:p>
      <w:pPr>
        <w:jc w:val="both"/>
        <w:ind w:firstLine="416"/>
        <w:spacing w:after="0" w:line="296"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1"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7"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4" w:name="page75"/>
    <w:bookmarkEnd w:id="74"/>
    <w:p>
      <w:pPr>
        <w:ind w:left="420"/>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right="20" w:firstLine="416"/>
        <w:spacing w:after="0" w:line="27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72" w:lineRule="exact"/>
        <w:rPr>
          <w:sz w:val="20"/>
          <w:szCs w:val="20"/>
          <w:color w:val="auto"/>
        </w:rPr>
      </w:pPr>
    </w:p>
    <w:p>
      <w:pPr>
        <w:ind w:left="420" w:right="22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firstLine="416"/>
        <w:spacing w:after="0" w:line="279" w:lineRule="auto"/>
        <w:rPr>
          <w:sz w:val="20"/>
          <w:szCs w:val="20"/>
          <w:color w:val="auto"/>
        </w:rPr>
      </w:pPr>
      <w:r>
        <w:rPr>
          <w:rFonts w:ascii="Arial" w:cs="Arial" w:eastAsia="Arial" w:hAnsi="Arial"/>
          <w:sz w:val="17"/>
          <w:szCs w:val="17"/>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71" w:lineRule="exact"/>
        <w:rPr>
          <w:sz w:val="20"/>
          <w:szCs w:val="20"/>
          <w:color w:val="auto"/>
        </w:rPr>
      </w:pPr>
    </w:p>
    <w:p>
      <w:pPr>
        <w:ind w:right="140" w:firstLine="416"/>
        <w:spacing w:after="0" w:line="263" w:lineRule="auto"/>
        <w:rPr>
          <w:sz w:val="20"/>
          <w:szCs w:val="20"/>
          <w:color w:val="auto"/>
        </w:rPr>
      </w:pPr>
      <w:r>
        <w:rPr>
          <w:rFonts w:ascii="Arial" w:cs="Arial" w:eastAsia="Arial" w:hAnsi="Arial"/>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57" w:lineRule="exact"/>
        <w:rPr>
          <w:sz w:val="20"/>
          <w:szCs w:val="20"/>
          <w:color w:val="auto"/>
        </w:rPr>
      </w:pPr>
    </w:p>
    <w:p>
      <w:pPr>
        <w:ind w:right="180" w:firstLine="416"/>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60" w:lineRule="exact"/>
        <w:rPr>
          <w:sz w:val="20"/>
          <w:szCs w:val="20"/>
          <w:color w:val="auto"/>
        </w:rPr>
      </w:pPr>
    </w:p>
    <w:p>
      <w:pPr>
        <w:ind w:right="220" w:firstLine="416"/>
        <w:spacing w:after="0" w:line="301" w:lineRule="auto"/>
        <w:rPr>
          <w:sz w:val="20"/>
          <w:szCs w:val="20"/>
          <w:color w:val="auto"/>
        </w:rPr>
      </w:pPr>
      <w:r>
        <w:rPr>
          <w:rFonts w:ascii="Arial" w:cs="Arial" w:eastAsia="Arial" w:hAnsi="Arial"/>
          <w:sz w:val="16"/>
          <w:szCs w:val="16"/>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30"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 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44" w:lineRule="exact"/>
        <w:rPr>
          <w:sz w:val="20"/>
          <w:szCs w:val="20"/>
          <w:color w:val="auto"/>
        </w:rPr>
      </w:pPr>
    </w:p>
    <w:p>
      <w:pPr>
        <w:ind w:left="420" w:right="180"/>
        <w:spacing w:after="0" w:line="338" w:lineRule="auto"/>
        <w:rPr>
          <w:sz w:val="20"/>
          <w:szCs w:val="20"/>
          <w:color w:val="auto"/>
        </w:rPr>
      </w:pPr>
      <w:r>
        <w:rPr>
          <w:rFonts w:ascii="Arial" w:cs="Arial" w:eastAsia="Arial" w:hAnsi="Arial"/>
          <w:sz w:val="15"/>
          <w:szCs w:val="15"/>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ind w:right="180" w:firstLine="416"/>
        <w:spacing w:after="0" w:line="301"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75" w:name="page76"/>
    <w:bookmarkEnd w:id="75"/>
    <w:p>
      <w:pPr>
        <w:ind w:right="480"/>
        <w:spacing w:after="0" w:line="277" w:lineRule="auto"/>
        <w:rPr>
          <w:sz w:val="20"/>
          <w:szCs w:val="20"/>
          <w:color w:val="auto"/>
        </w:rPr>
      </w:pPr>
      <w:r>
        <w:rPr>
          <w:rFonts w:ascii="Arial" w:cs="Arial" w:eastAsia="Arial" w:hAnsi="Arial"/>
          <w:sz w:val="18"/>
          <w:szCs w:val="18"/>
          <w:color w:val="auto"/>
        </w:rPr>
        <w:t>assurance and corresponding maintenance of records and documents, and requirements regarding drug distribution and the distribution of samples to physicians and recordkeeping.</w:t>
      </w:r>
    </w:p>
    <w:p>
      <w:pPr>
        <w:spacing w:after="0" w:line="143"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43" w:lineRule="exact"/>
        <w:rPr>
          <w:sz w:val="20"/>
          <w:szCs w:val="20"/>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63"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700" w:firstLine="416"/>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87" w:lineRule="exact"/>
        <w:rPr>
          <w:sz w:val="20"/>
          <w:szCs w:val="20"/>
          <w:color w:val="auto"/>
        </w:rPr>
      </w:pPr>
    </w:p>
    <w:p>
      <w:pPr>
        <w:ind w:left="420" w:right="4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14" w:lineRule="exact"/>
        <w:rPr>
          <w:sz w:val="20"/>
          <w:szCs w:val="20"/>
          <w:color w:val="auto"/>
        </w:rPr>
      </w:pPr>
    </w:p>
    <w:p>
      <w:pPr>
        <w:ind w:firstLine="416"/>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26" w:lineRule="exact"/>
        <w:rPr>
          <w:sz w:val="20"/>
          <w:szCs w:val="20"/>
          <w:color w:val="auto"/>
        </w:rPr>
      </w:pPr>
    </w:p>
    <w:p>
      <w:pPr>
        <w:ind w:left="820" w:right="500" w:hanging="407"/>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6" w:name="page77"/>
    <w:bookmarkEnd w:id="76"/>
    <w:p>
      <w:pPr>
        <w:ind w:left="820" w:right="120"/>
        <w:spacing w:after="0" w:line="277" w:lineRule="auto"/>
        <w:rPr>
          <w:sz w:val="20"/>
          <w:szCs w:val="20"/>
          <w:color w:val="auto"/>
        </w:rPr>
      </w:pPr>
      <w:r>
        <w:rPr>
          <w:rFonts w:ascii="Arial" w:cs="Arial" w:eastAsia="Arial" w:hAnsi="Arial"/>
          <w:sz w:val="18"/>
          <w:szCs w:val="18"/>
          <w:color w:val="auto"/>
        </w:rPr>
        <w:t>in return for, either the referral of an individual for, or the purchase, order or recommendation of, any good or service, for which payment may be made under a federal healthcare program such as Medicare and Medicaid;</w:t>
      </w:r>
    </w:p>
    <w:p>
      <w:pPr>
        <w:spacing w:after="0" w:line="35" w:lineRule="exact"/>
        <w:rPr>
          <w:sz w:val="20"/>
          <w:szCs w:val="20"/>
          <w:color w:val="auto"/>
        </w:rPr>
      </w:pPr>
    </w:p>
    <w:p>
      <w:pPr>
        <w:ind w:left="820" w:hanging="407"/>
        <w:spacing w:after="0" w:line="25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52" w:lineRule="exact"/>
        <w:rPr>
          <w:rFonts w:ascii="Arial" w:cs="Arial" w:eastAsia="Arial" w:hAnsi="Arial"/>
          <w:sz w:val="18"/>
          <w:szCs w:val="18"/>
          <w:color w:val="auto"/>
        </w:rPr>
      </w:pPr>
    </w:p>
    <w:p>
      <w:pPr>
        <w:jc w:val="both"/>
        <w:ind w:left="820" w:right="20" w:hanging="407"/>
        <w:spacing w:after="0" w:line="301"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9" w:lineRule="exact"/>
        <w:rPr>
          <w:rFonts w:ascii="Arial" w:cs="Arial" w:eastAsia="Arial" w:hAnsi="Arial"/>
          <w:sz w:val="16"/>
          <w:szCs w:val="16"/>
          <w:color w:val="auto"/>
        </w:rPr>
      </w:pPr>
    </w:p>
    <w:p>
      <w:pPr>
        <w:ind w:left="820" w:right="460" w:hanging="407"/>
        <w:spacing w:after="0" w:line="301"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49" w:lineRule="exact"/>
        <w:rPr>
          <w:rFonts w:ascii="Arial" w:cs="Arial" w:eastAsia="Arial" w:hAnsi="Arial"/>
          <w:sz w:val="16"/>
          <w:szCs w:val="16"/>
          <w:color w:val="auto"/>
        </w:rPr>
      </w:pPr>
    </w:p>
    <w:p>
      <w:pPr>
        <w:ind w:left="820" w:right="80" w:hanging="407"/>
        <w:spacing w:after="0" w:line="25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3" w:lineRule="exact"/>
        <w:rPr>
          <w:rFonts w:ascii="Arial" w:cs="Arial" w:eastAsia="Arial" w:hAnsi="Arial"/>
          <w:sz w:val="18"/>
          <w:szCs w:val="18"/>
          <w:color w:val="auto"/>
        </w:rPr>
      </w:pPr>
    </w:p>
    <w:p>
      <w:pPr>
        <w:ind w:left="820" w:right="40" w:hanging="407"/>
        <w:spacing w:after="0" w:line="290"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7" w:name="page78"/>
    <w:bookmarkEnd w:id="77"/>
    <w:p>
      <w:pPr>
        <w:ind w:lef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right="140" w:firstLine="416"/>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4" w:lineRule="exact"/>
        <w:rPr>
          <w:sz w:val="20"/>
          <w:szCs w:val="20"/>
          <w:color w:val="auto"/>
        </w:rPr>
      </w:pPr>
    </w:p>
    <w:p>
      <w:pPr>
        <w:ind w:right="280" w:firstLine="416"/>
        <w:spacing w:after="0" w:line="263" w:lineRule="auto"/>
        <w:rPr>
          <w:sz w:val="20"/>
          <w:szCs w:val="20"/>
          <w:color w:val="auto"/>
        </w:rPr>
      </w:pPr>
      <w:r>
        <w:rPr>
          <w:rFonts w:ascii="Arial" w:cs="Arial" w:eastAsia="Arial" w:hAnsi="Arial"/>
          <w:sz w:val="18"/>
          <w:szCs w:val="18"/>
          <w:color w:val="auto"/>
        </w:rPr>
        <w:t>For example, he ACA was enacted,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840" w:hanging="427"/>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products;</w:t>
      </w:r>
    </w:p>
    <w:p>
      <w:pPr>
        <w:spacing w:after="0" w:line="128" w:lineRule="exact"/>
        <w:rPr>
          <w:rFonts w:ascii="Arial" w:cs="Arial" w:eastAsia="Arial" w:hAnsi="Arial"/>
          <w:sz w:val="17"/>
          <w:szCs w:val="17"/>
          <w:color w:val="auto"/>
        </w:rPr>
      </w:pPr>
    </w:p>
    <w:p>
      <w:pPr>
        <w:ind w:left="840" w:right="220" w:hanging="427"/>
        <w:spacing w:after="0" w:line="263"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840" w:hanging="427"/>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Program are calculated for drugs that are inhaled, infused, instilled, implanted or injected;</w:t>
      </w:r>
    </w:p>
    <w:p>
      <w:pPr>
        <w:spacing w:after="0" w:line="103" w:lineRule="exact"/>
        <w:rPr>
          <w:sz w:val="20"/>
          <w:szCs w:val="20"/>
          <w:color w:val="auto"/>
        </w:rPr>
      </w:pPr>
    </w:p>
    <w:p>
      <w:pPr>
        <w:ind w:left="840" w:right="500" w:hanging="427"/>
        <w:spacing w:after="0" w:line="277" w:lineRule="auto"/>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840" w:right="360" w:hanging="427"/>
        <w:spacing w:after="0" w:line="277" w:lineRule="auto"/>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 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requirements to report financial arrangements with physicians, as defined by such law, and teaching hospitals;</w:t>
      </w:r>
    </w:p>
    <w:p>
      <w:pPr>
        <w:spacing w:after="0" w:line="117" w:lineRule="exact"/>
        <w:rPr>
          <w:sz w:val="20"/>
          <w:szCs w:val="20"/>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40" w:right="60" w:hanging="427"/>
        <w:spacing w:after="0" w:line="27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00" w:firstLine="416"/>
        <w:spacing w:after="0" w:line="254" w:lineRule="auto"/>
        <w:rPr>
          <w:sz w:val="20"/>
          <w:szCs w:val="20"/>
          <w:color w:val="auto"/>
        </w:rPr>
      </w:pPr>
      <w:r>
        <w:rPr>
          <w:rFonts w:ascii="Arial" w:cs="Arial" w:eastAsia="Arial" w:hAnsi="Arial"/>
          <w:sz w:val="18"/>
          <w:szCs w:val="18"/>
          <w:color w:val="auto"/>
        </w:rPr>
        <w:t>There have been legislative and judicial efforts to repeal or replace certain aspects of the ACA, including measures taken during the Trump administration.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It is unclear how such litigation and other efforts to repeal and replace the ACA will impact the ACA and our business.</w:t>
      </w:r>
    </w:p>
    <w:p>
      <w:pPr>
        <w:spacing w:after="0" w:line="195" w:lineRule="exact"/>
        <w:rPr>
          <w:sz w:val="20"/>
          <w:szCs w:val="20"/>
          <w:color w:val="auto"/>
        </w:rPr>
      </w:pPr>
    </w:p>
    <w:p>
      <w:pPr>
        <w:ind w:right="80" w:firstLine="416"/>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unless additional Congressional action is taken. The Coronavirus Aid, Relief, and Economic Security Act, or the CARES Act, which was signed into law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ind w:right="20"/>
        <w:spacing w:after="0" w:line="255" w:lineRule="auto"/>
        <w:rPr>
          <w:sz w:val="20"/>
          <w:szCs w:val="20"/>
          <w:color w:val="auto"/>
        </w:rPr>
      </w:pPr>
      <w:r>
        <w:rPr>
          <w:rFonts w:ascii="Arial" w:cs="Arial" w:eastAsia="Arial" w:hAnsi="Arial"/>
          <w:sz w:val="18"/>
          <w:szCs w:val="18"/>
          <w:color w:val="auto"/>
        </w:rPr>
        <w:t>March 2020 and is designed to provide financial support and resources to individuals and businesses affected by the COVID-19 pandemic, suspended the 2% Medicare sequester from May 1, 2020 through December 31, 2020, and extended the sequester by one year, through 2030. The Consolidated Appropriations Act, 2021 extended the suspension of the 2% Medicare sequester through March 31, 2021.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92"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issued budget proposals for fiscal year 2021 includes a $135 billion allowance to support legislative proposals seeking to reduce drug prices, increase competition, lower out-of-pocket drug costs for patients, and increase patient access to lower-cost generic and biosimilar drugs.</w:t>
      </w:r>
    </w:p>
    <w:p>
      <w:pPr>
        <w:spacing w:after="0" w:line="178" w:lineRule="exact"/>
        <w:rPr>
          <w:sz w:val="20"/>
          <w:szCs w:val="20"/>
          <w:color w:val="auto"/>
        </w:rPr>
      </w:pPr>
    </w:p>
    <w:p>
      <w:pPr>
        <w:ind w:right="220" w:firstLine="416"/>
        <w:spacing w:after="0" w:line="272" w:lineRule="auto"/>
        <w:rPr>
          <w:sz w:val="20"/>
          <w:szCs w:val="20"/>
          <w:color w:val="auto"/>
        </w:rPr>
      </w:pPr>
      <w:r>
        <w:rPr>
          <w:rFonts w:ascii="Arial" w:cs="Arial" w:eastAsia="Arial" w:hAnsi="Arial"/>
          <w:sz w:val="17"/>
          <w:szCs w:val="17"/>
          <w:color w:val="auto"/>
        </w:rPr>
        <w:t>In particular,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2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Centers for Medicare and Medicaid Services, or CMS also published an interim final rule that establishes a Most Favored Nation, or MFN, Model for Medicare Part B drug payment. This regulation would substantially change the drug reimbursement landscape as it bases Medicare Part B payment for 50 selected drugs on prices in foreign countries instead of average sales price, or ASP, and establishes a fixed add-on payment in place of the current 6 percent (4.3 percent after sequestration) of ASP. The MFN drug payment amount is expected to be lower than the current ASP-based payment limit because U.S. drug prices are generally the highest in the world. On December 28, 2020, the United States District Court in Northern California issued a nationwide preliminary injunction against implementation of the interim final rule, and it faces uncertain prospects for implementation.</w:t>
      </w:r>
    </w:p>
    <w:p>
      <w:pPr>
        <w:spacing w:after="0" w:line="185" w:lineRule="exact"/>
        <w:rPr>
          <w:sz w:val="20"/>
          <w:szCs w:val="20"/>
          <w:color w:val="auto"/>
        </w:rPr>
      </w:pPr>
    </w:p>
    <w:p>
      <w:pPr>
        <w:ind w:right="540" w:firstLine="416"/>
        <w:spacing w:after="0" w:line="311" w:lineRule="auto"/>
        <w:rPr>
          <w:sz w:val="20"/>
          <w:szCs w:val="20"/>
          <w:color w:val="auto"/>
        </w:rPr>
      </w:pPr>
      <w:r>
        <w:rPr>
          <w:rFonts w:ascii="Arial" w:cs="Arial" w:eastAsia="Arial" w:hAnsi="Arial"/>
          <w:sz w:val="16"/>
          <w:szCs w:val="16"/>
          <w:color w:val="auto"/>
        </w:rPr>
        <w:t>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9" w:lineRule="exact"/>
        <w:rPr>
          <w:sz w:val="20"/>
          <w:szCs w:val="20"/>
          <w:color w:val="auto"/>
        </w:rPr>
      </w:pPr>
    </w:p>
    <w:p>
      <w:pPr>
        <w:ind w:right="20" w:firstLine="416"/>
        <w:spacing w:after="0" w:line="28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65" w:lineRule="exact"/>
        <w:rPr>
          <w:sz w:val="20"/>
          <w:szCs w:val="20"/>
          <w:color w:val="auto"/>
        </w:rPr>
      </w:pPr>
    </w:p>
    <w:p>
      <w:pPr>
        <w:ind w:right="30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9" w:name="page80"/>
    <w:bookmarkEnd w:id="79"/>
    <w:p>
      <w:pPr>
        <w:ind w:right="120"/>
        <w:spacing w:after="0" w:line="277" w:lineRule="auto"/>
        <w:rPr>
          <w:sz w:val="20"/>
          <w:szCs w:val="20"/>
          <w:color w:val="auto"/>
        </w:rPr>
      </w:pPr>
      <w:r>
        <w:rPr>
          <w:rFonts w:ascii="Arial" w:cs="Arial" w:eastAsia="Arial" w:hAnsi="Arial"/>
          <w:sz w:val="18"/>
          <w:szCs w:val="18"/>
          <w:color w:val="auto"/>
        </w:rPr>
        <w:t>product labeling and post-marketing testing and other requirements. It is also possible that additional governmental action is taken to address the COVID-19 pandemic.</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if any.</w:t>
      </w:r>
    </w:p>
    <w:p>
      <w:pPr>
        <w:spacing w:after="0" w:line="129" w:lineRule="exact"/>
        <w:rPr>
          <w:sz w:val="20"/>
          <w:szCs w:val="20"/>
          <w:color w:val="auto"/>
        </w:rPr>
      </w:pPr>
    </w:p>
    <w:p>
      <w:pPr>
        <w:ind w:right="80" w:firstLine="416"/>
        <w:spacing w:after="0" w:line="286" w:lineRule="auto"/>
        <w:rPr>
          <w:sz w:val="20"/>
          <w:szCs w:val="20"/>
          <w:color w:val="auto"/>
        </w:rPr>
      </w:pPr>
      <w:r>
        <w:rPr>
          <w:rFonts w:ascii="Arial" w:cs="Arial" w:eastAsia="Arial" w:hAnsi="Arial"/>
          <w:sz w:val="16"/>
          <w:szCs w:val="16"/>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14" w:lineRule="exact"/>
        <w:rPr>
          <w:sz w:val="20"/>
          <w:szCs w:val="20"/>
          <w:color w:val="auto"/>
        </w:rPr>
      </w:pPr>
    </w:p>
    <w:p>
      <w:pPr>
        <w:ind w:left="420" w:right="240"/>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49"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54"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1" w:lineRule="exact"/>
        <w:rPr>
          <w:sz w:val="20"/>
          <w:szCs w:val="20"/>
          <w:color w:val="auto"/>
        </w:rPr>
      </w:pPr>
    </w:p>
    <w:p>
      <w:pPr>
        <w:ind w:right="140" w:firstLine="416"/>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47"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0" w:name="page81"/>
    <w:bookmarkEnd w:id="80"/>
    <w:p>
      <w:pPr>
        <w:ind w:left="420"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5"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37" w:lineRule="exact"/>
        <w:rPr>
          <w:sz w:val="20"/>
          <w:szCs w:val="20"/>
          <w:color w:val="auto"/>
        </w:rPr>
      </w:pPr>
    </w:p>
    <w:p>
      <w:pPr>
        <w:ind w:right="320" w:firstLine="416"/>
        <w:spacing w:after="0" w:line="279"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1" w:lineRule="exact"/>
        <w:rPr>
          <w:sz w:val="20"/>
          <w:szCs w:val="20"/>
          <w:color w:val="auto"/>
        </w:rPr>
      </w:pPr>
    </w:p>
    <w:p>
      <w:pPr>
        <w:ind w:right="160" w:firstLine="416"/>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65" w:lineRule="exact"/>
        <w:rPr>
          <w:sz w:val="20"/>
          <w:szCs w:val="20"/>
          <w:color w:val="auto"/>
        </w:rPr>
      </w:pPr>
    </w:p>
    <w:p>
      <w:pPr>
        <w:jc w:val="both"/>
        <w:ind w:right="220" w:firstLine="416"/>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4" w:lineRule="exact"/>
        <w:rPr>
          <w:sz w:val="20"/>
          <w:szCs w:val="20"/>
          <w:color w:val="auto"/>
        </w:rPr>
      </w:pPr>
    </w:p>
    <w:p>
      <w:pPr>
        <w:jc w:val="both"/>
        <w:ind w:right="300" w:firstLine="416"/>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60" w:lineRule="exact"/>
        <w:rPr>
          <w:sz w:val="20"/>
          <w:szCs w:val="20"/>
          <w:color w:val="auto"/>
        </w:rPr>
      </w:pPr>
    </w:p>
    <w:p>
      <w:pPr>
        <w:ind w:left="420" w:right="3000"/>
        <w:spacing w:after="0" w:line="375" w:lineRule="auto"/>
        <w:rPr>
          <w:sz w:val="20"/>
          <w:szCs w:val="20"/>
          <w:color w:val="auto"/>
        </w:rPr>
      </w:pPr>
      <w:r>
        <w:rPr>
          <w:rFonts w:ascii="Arial" w:cs="Arial" w:eastAsia="Arial" w:hAnsi="Arial"/>
          <w:sz w:val="15"/>
          <w:szCs w:val="15"/>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1" w:lineRule="exact"/>
        <w:rPr>
          <w:sz w:val="20"/>
          <w:szCs w:val="20"/>
          <w:color w:val="auto"/>
        </w:rPr>
      </w:pPr>
    </w:p>
    <w:p>
      <w:pPr>
        <w:ind w:right="100" w:firstLine="416"/>
        <w:spacing w:after="0" w:line="342" w:lineRule="auto"/>
        <w:rPr>
          <w:sz w:val="20"/>
          <w:szCs w:val="20"/>
          <w:color w:val="auto"/>
        </w:rPr>
      </w:pPr>
      <w:r>
        <w:rPr>
          <w:rFonts w:ascii="Arial" w:cs="Arial" w:eastAsia="Arial" w:hAnsi="Arial"/>
          <w:sz w:val="16"/>
          <w:szCs w:val="16"/>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20" w:right="80"/>
        <w:spacing w:after="0" w:line="263" w:lineRule="auto"/>
        <w:rPr>
          <w:sz w:val="20"/>
          <w:szCs w:val="20"/>
          <w:color w:val="auto"/>
        </w:rPr>
      </w:pPr>
      <w:r>
        <w:rPr>
          <w:rFonts w:ascii="Arial" w:cs="Arial" w:eastAsia="Arial" w:hAnsi="Arial"/>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ind w:left="420" w:right="400"/>
        <w:spacing w:after="0" w:line="277" w:lineRule="auto"/>
        <w:rPr>
          <w:sz w:val="20"/>
          <w:szCs w:val="20"/>
          <w:color w:val="auto"/>
        </w:rPr>
      </w:pPr>
      <w:r>
        <w:rPr>
          <w:rFonts w:ascii="Arial" w:cs="Arial" w:eastAsia="Arial" w:hAnsi="Arial"/>
          <w:sz w:val="18"/>
          <w:szCs w:val="18"/>
          <w:b w:val="1"/>
          <w:bCs w:val="1"/>
          <w:i w:val="1"/>
          <w:iCs w:val="1"/>
          <w:color w:val="auto"/>
        </w:rPr>
        <w:t>be delayed or subject to increased costs or we may be unable to obtain regulatory approval, each of which may have an adverse effect on our business, financial condition, results of operations and prospects.</w:t>
      </w:r>
    </w:p>
    <w:p>
      <w:pPr>
        <w:spacing w:after="0" w:line="62" w:lineRule="exact"/>
        <w:rPr>
          <w:sz w:val="20"/>
          <w:szCs w:val="20"/>
          <w:color w:val="auto"/>
        </w:rPr>
      </w:pPr>
    </w:p>
    <w:p>
      <w:pPr>
        <w:ind w:right="20" w:firstLine="416"/>
        <w:spacing w:after="0" w:line="286" w:lineRule="auto"/>
        <w:rPr>
          <w:sz w:val="20"/>
          <w:szCs w:val="20"/>
          <w:color w:val="auto"/>
        </w:rPr>
      </w:pPr>
      <w:r>
        <w:rPr>
          <w:rFonts w:ascii="Arial" w:cs="Arial" w:eastAsia="Arial" w:hAnsi="Arial"/>
          <w:sz w:val="16"/>
          <w:szCs w:val="16"/>
          <w:color w:val="auto"/>
        </w:rPr>
        <w:t>We do not have the ability to independently conduct all aspects of our preclinical testing or clinical trials ourselves. As a result, we are dependent on third parties to conduct our ongoing and planned clinical trials of PRT543, PRT811 and PRT1419,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71" w:lineRule="exact"/>
        <w:rPr>
          <w:sz w:val="20"/>
          <w:szCs w:val="20"/>
          <w:color w:val="auto"/>
        </w:rPr>
      </w:pPr>
    </w:p>
    <w:p>
      <w:pPr>
        <w:ind w:right="80" w:firstLine="416"/>
        <w:spacing w:after="0" w:line="273"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8" w:lineRule="exact"/>
        <w:rPr>
          <w:sz w:val="20"/>
          <w:szCs w:val="20"/>
          <w:color w:val="auto"/>
        </w:rPr>
      </w:pPr>
    </w:p>
    <w:p>
      <w:pPr>
        <w:ind w:right="200" w:firstLine="416"/>
        <w:spacing w:after="0" w:line="275"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or any other product candidates and will not be able to, or may be delayed in our efforts to, successfully commercialize our products.</w:t>
      </w:r>
    </w:p>
    <w:p>
      <w:pPr>
        <w:spacing w:after="0" w:line="271" w:lineRule="exact"/>
        <w:rPr>
          <w:sz w:val="20"/>
          <w:szCs w:val="20"/>
          <w:color w:val="auto"/>
        </w:rPr>
      </w:pPr>
    </w:p>
    <w:p>
      <w:pPr>
        <w:ind w:left="420" w:right="120"/>
        <w:spacing w:after="0" w:line="275"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95" w:lineRule="exact"/>
        <w:rPr>
          <w:sz w:val="20"/>
          <w:szCs w:val="20"/>
          <w:color w:val="auto"/>
        </w:rPr>
      </w:pPr>
    </w:p>
    <w:p>
      <w:pPr>
        <w:ind w:right="800" w:firstLine="416"/>
        <w:spacing w:after="0" w:line="308" w:lineRule="auto"/>
        <w:rPr>
          <w:sz w:val="20"/>
          <w:szCs w:val="20"/>
          <w:color w:val="auto"/>
        </w:rPr>
      </w:pPr>
      <w:r>
        <w:rPr>
          <w:rFonts w:ascii="Arial" w:cs="Arial" w:eastAsia="Arial" w:hAnsi="Arial"/>
          <w:sz w:val="17"/>
          <w:szCs w:val="17"/>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2" w:name="page83"/>
    <w:bookmarkEnd w:id="82"/>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7" w:lineRule="exact"/>
        <w:rPr>
          <w:rFonts w:ascii="Arial" w:cs="Arial" w:eastAsia="Arial" w:hAnsi="Arial"/>
          <w:sz w:val="18"/>
          <w:szCs w:val="18"/>
          <w:color w:val="auto"/>
        </w:rPr>
      </w:pPr>
    </w:p>
    <w:p>
      <w:pPr>
        <w:ind w:left="840" w:right="60" w:hanging="427"/>
        <w:spacing w:after="0" w:line="263"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rFonts w:ascii="Arial" w:cs="Arial" w:eastAsia="Arial" w:hAnsi="Arial"/>
          <w:sz w:val="18"/>
          <w:szCs w:val="18"/>
          <w:color w:val="auto"/>
        </w:rPr>
      </w:pPr>
    </w:p>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840" w:hanging="427"/>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ind w:right="20" w:firstLine="416"/>
        <w:spacing w:after="0" w:line="275"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76" w:lineRule="exact"/>
        <w:rPr>
          <w:sz w:val="20"/>
          <w:szCs w:val="20"/>
          <w:color w:val="auto"/>
        </w:rPr>
      </w:pPr>
    </w:p>
    <w:p>
      <w:pPr>
        <w:ind w:right="400" w:firstLine="416"/>
        <w:spacing w:after="0" w:line="279" w:lineRule="auto"/>
        <w:rPr>
          <w:sz w:val="20"/>
          <w:szCs w:val="20"/>
          <w:color w:val="auto"/>
        </w:rPr>
      </w:pPr>
      <w:r>
        <w:rPr>
          <w:rFonts w:ascii="Arial" w:cs="Arial" w:eastAsia="Arial" w:hAnsi="Arial"/>
          <w:sz w:val="17"/>
          <w:szCs w:val="17"/>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71"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6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8" w:lineRule="exact"/>
        <w:rPr>
          <w:sz w:val="20"/>
          <w:szCs w:val="20"/>
          <w:color w:val="auto"/>
        </w:rPr>
      </w:pPr>
    </w:p>
    <w:p>
      <w:pPr>
        <w:ind w:right="120" w:firstLine="416"/>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firstLine="416"/>
        <w:spacing w:after="0" w:line="255"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recent COVID-19 pandemic. If our current third-party manufacturers cannot perform as agreed, we may be required to replace such manufacturers and we may be unable to replace them on a timely basis or at all.</w:t>
      </w:r>
    </w:p>
    <w:p>
      <w:pPr>
        <w:spacing w:after="0" w:line="178" w:lineRule="exact"/>
        <w:rPr>
          <w:sz w:val="20"/>
          <w:szCs w:val="20"/>
          <w:color w:val="auto"/>
        </w:rPr>
      </w:pPr>
    </w:p>
    <w:p>
      <w:pPr>
        <w:ind w:right="40" w:firstLine="416"/>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41" w:lineRule="exact"/>
        <w:rPr>
          <w:sz w:val="20"/>
          <w:szCs w:val="20"/>
          <w:color w:val="auto"/>
        </w:rPr>
      </w:pPr>
    </w:p>
    <w:p>
      <w:pPr>
        <w:ind w:left="420" w:right="6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92" w:lineRule="exact"/>
        <w:rPr>
          <w:sz w:val="20"/>
          <w:szCs w:val="20"/>
          <w:color w:val="auto"/>
        </w:rPr>
      </w:pPr>
    </w:p>
    <w:p>
      <w:pPr>
        <w:ind w:right="40" w:firstLine="416"/>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36" w:lineRule="exact"/>
        <w:rPr>
          <w:sz w:val="20"/>
          <w:szCs w:val="20"/>
          <w:color w:val="auto"/>
        </w:rPr>
      </w:pPr>
    </w:p>
    <w:p>
      <w:pPr>
        <w:ind w:left="820" w:right="500" w:hanging="407"/>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ectPr>
          <w:pgSz w:w="11900" w:h="16838" w:orient="portrait"/>
          <w:cols w:equalWidth="0" w:num="1">
            <w:col w:w="11220"/>
          </w:cols>
          <w:pgMar w:left="320" w:top="557" w:right="359" w:bottom="1440" w:gutter="0" w:footer="0" w:header="0"/>
        </w:sectPr>
      </w:pPr>
    </w:p>
    <w:p>
      <w:pPr>
        <w:spacing w:after="0" w:line="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52" w:lineRule="exact"/>
        <w:rPr>
          <w:sz w:val="20"/>
          <w:szCs w:val="20"/>
          <w:color w:val="auto"/>
        </w:rPr>
      </w:pPr>
    </w:p>
    <w:p>
      <w:pPr>
        <w:sectPr>
          <w:pgSz w:w="11900" w:h="16838" w:orient="portrait"/>
          <w:cols w:equalWidth="0" w:num="2">
            <w:col w:w="480" w:space="340"/>
            <w:col w:w="10400"/>
          </w:cols>
          <w:pgMar w:left="320" w:top="557" w:right="359" w:bottom="1440" w:gutter="0" w:footer="0" w:header="0"/>
          <w:type w:val="continuous"/>
        </w:sectPr>
      </w:pPr>
    </w:p>
    <w:p>
      <w:pPr>
        <w:ind w:left="820" w:right="44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8"/>
          <w:szCs w:val="18"/>
          <w:color w:val="auto"/>
        </w:rPr>
      </w:pPr>
    </w:p>
    <w:p>
      <w:pPr>
        <w:ind w:left="820" w:right="48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84" w:name="page85"/>
    <w:bookmarkEnd w:id="84"/>
    <w:p>
      <w:pPr>
        <w:ind w:left="820"/>
        <w:spacing w:after="0"/>
        <w:rPr>
          <w:sz w:val="20"/>
          <w:szCs w:val="20"/>
          <w:color w:val="auto"/>
        </w:rPr>
      </w:pPr>
      <w:r>
        <w:rPr>
          <w:rFonts w:ascii="Arial" w:cs="Arial" w:eastAsia="Arial" w:hAnsi="Arial"/>
          <w:sz w:val="18"/>
          <w:szCs w:val="18"/>
          <w:color w:val="auto"/>
        </w:rPr>
        <w:t>likely to be successfully developed or can be commercialized under terms that are more economically attractive than ours;</w:t>
      </w:r>
    </w:p>
    <w:p>
      <w:pPr>
        <w:spacing w:after="0" w:line="90" w:lineRule="exact"/>
        <w:rPr>
          <w:sz w:val="20"/>
          <w:szCs w:val="20"/>
          <w:color w:val="auto"/>
        </w:rPr>
      </w:pPr>
    </w:p>
    <w:p>
      <w:pPr>
        <w:ind w:left="820" w:right="660" w:hanging="407"/>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35" w:lineRule="exact"/>
        <w:rPr>
          <w:rFonts w:ascii="Arial" w:cs="Arial" w:eastAsia="Arial" w:hAnsi="Arial"/>
          <w:sz w:val="18"/>
          <w:szCs w:val="18"/>
          <w:color w:val="auto"/>
        </w:rPr>
      </w:pPr>
    </w:p>
    <w:p>
      <w:pPr>
        <w:ind w:left="820" w:hanging="407"/>
        <w:spacing w:after="0" w:line="311" w:lineRule="auto"/>
        <w:tabs>
          <w:tab w:leader="none" w:pos="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3" w:lineRule="exact"/>
        <w:rPr>
          <w:rFonts w:ascii="Arial" w:cs="Arial" w:eastAsia="Arial" w:hAnsi="Arial"/>
          <w:sz w:val="16"/>
          <w:szCs w:val="16"/>
          <w:color w:val="auto"/>
        </w:rPr>
      </w:pPr>
    </w:p>
    <w:p>
      <w:pPr>
        <w:ind w:left="820" w:right="220" w:hanging="407"/>
        <w:spacing w:after="0" w:line="263"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48" w:lineRule="exact"/>
        <w:rPr>
          <w:rFonts w:ascii="Arial" w:cs="Arial" w:eastAsia="Arial" w:hAnsi="Arial"/>
          <w:sz w:val="18"/>
          <w:szCs w:val="18"/>
          <w:color w:val="auto"/>
        </w:rPr>
      </w:pPr>
    </w:p>
    <w:p>
      <w:pPr>
        <w:ind w:left="820" w:right="680" w:hanging="407"/>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 and</w:t>
      </w:r>
    </w:p>
    <w:p>
      <w:pPr>
        <w:spacing w:after="0" w:line="113" w:lineRule="exact"/>
        <w:rPr>
          <w:rFonts w:ascii="Arial" w:cs="Arial" w:eastAsia="Arial" w:hAnsi="Arial"/>
          <w:sz w:val="16"/>
          <w:szCs w:val="16"/>
          <w:color w:val="auto"/>
        </w:rPr>
      </w:pPr>
    </w:p>
    <w:p>
      <w:pPr>
        <w:ind w:left="820" w:right="120" w:hanging="407"/>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43" w:lineRule="exact"/>
        <w:rPr>
          <w:sz w:val="20"/>
          <w:szCs w:val="20"/>
          <w:color w:val="auto"/>
        </w:rPr>
      </w:pPr>
    </w:p>
    <w:p>
      <w:pPr>
        <w:ind w:right="360" w:firstLine="416"/>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420" w:right="180"/>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30" w:lineRule="exact"/>
        <w:rPr>
          <w:sz w:val="20"/>
          <w:szCs w:val="20"/>
          <w:color w:val="auto"/>
        </w:rPr>
      </w:pPr>
    </w:p>
    <w:p>
      <w:pPr>
        <w:ind w:right="40" w:firstLine="416"/>
        <w:spacing w:after="0" w:line="254" w:lineRule="auto"/>
        <w:rPr>
          <w:sz w:val="20"/>
          <w:szCs w:val="20"/>
          <w:color w:val="auto"/>
        </w:rPr>
      </w:pPr>
      <w:r>
        <w:rPr>
          <w:rFonts w:ascii="Arial" w:cs="Arial" w:eastAsia="Arial" w:hAnsi="Arial"/>
          <w:sz w:val="18"/>
          <w:szCs w:val="18"/>
          <w:color w:val="auto"/>
        </w:rPr>
        <w:t>The total addressable market opportunity for PRT543, PRT811, PRT1419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276"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5" w:lineRule="exact"/>
        <w:rPr>
          <w:sz w:val="20"/>
          <w:szCs w:val="20"/>
          <w:color w:val="auto"/>
        </w:rPr>
      </w:pPr>
    </w:p>
    <w:p>
      <w:pPr>
        <w:ind w:right="180" w:firstLine="416"/>
        <w:spacing w:after="0" w:line="296" w:lineRule="auto"/>
        <w:rPr>
          <w:sz w:val="20"/>
          <w:szCs w:val="20"/>
          <w:color w:val="auto"/>
        </w:rPr>
      </w:pPr>
      <w:r>
        <w:rPr>
          <w:rFonts w:ascii="Arial" w:cs="Arial" w:eastAsia="Arial" w:hAnsi="Arial"/>
          <w:sz w:val="16"/>
          <w:szCs w:val="16"/>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6" w:lineRule="exact"/>
        <w:rPr>
          <w:sz w:val="20"/>
          <w:szCs w:val="20"/>
          <w:color w:val="auto"/>
        </w:rPr>
      </w:pPr>
    </w:p>
    <w:p>
      <w:pPr>
        <w:ind w:left="840" w:hanging="427"/>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acceptance of our product candidates as front-line treatment for various indications;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5" w:name="page86"/>
    <w:bookmarkEnd w:id="85"/>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06" w:lineRule="exact"/>
        <w:rPr>
          <w:sz w:val="20"/>
          <w:szCs w:val="20"/>
          <w:color w:val="auto"/>
        </w:rPr>
      </w:pPr>
    </w:p>
    <w:p>
      <w:pPr>
        <w:jc w:val="both"/>
        <w:ind w:left="420" w:right="14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30" w:lineRule="exact"/>
        <w:rPr>
          <w:sz w:val="20"/>
          <w:szCs w:val="20"/>
          <w:color w:val="auto"/>
        </w:rPr>
      </w:pPr>
    </w:p>
    <w:p>
      <w:pPr>
        <w:ind w:right="120" w:firstLine="416"/>
        <w:spacing w:after="0" w:line="263" w:lineRule="auto"/>
        <w:rPr>
          <w:sz w:val="20"/>
          <w:szCs w:val="20"/>
          <w:color w:val="auto"/>
        </w:rPr>
      </w:pPr>
      <w:r>
        <w:rPr>
          <w:rFonts w:ascii="Arial" w:cs="Arial" w:eastAsia="Arial" w:hAnsi="Arial"/>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84" w:lineRule="exact"/>
        <w:rPr>
          <w:sz w:val="20"/>
          <w:szCs w:val="20"/>
          <w:color w:val="auto"/>
        </w:rPr>
      </w:pPr>
    </w:p>
    <w:p>
      <w:pPr>
        <w:ind w:right="20" w:firstLine="416"/>
        <w:spacing w:after="0" w:line="301" w:lineRule="auto"/>
        <w:rPr>
          <w:sz w:val="20"/>
          <w:szCs w:val="20"/>
          <w:color w:val="auto"/>
        </w:rPr>
      </w:pPr>
      <w:r>
        <w:rPr>
          <w:rFonts w:ascii="Arial" w:cs="Arial" w:eastAsia="Arial" w:hAnsi="Arial"/>
          <w:sz w:val="16"/>
          <w:szCs w:val="16"/>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40" w:hanging="427"/>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raise financing necessary to build our commercialization infrastructure;</w:t>
      </w:r>
    </w:p>
    <w:p>
      <w:pPr>
        <w:spacing w:after="0" w:line="117" w:lineRule="exact"/>
        <w:rPr>
          <w:rFonts w:ascii="Arial" w:cs="Arial" w:eastAsia="Arial" w:hAnsi="Arial"/>
          <w:sz w:val="18"/>
          <w:szCs w:val="18"/>
          <w:color w:val="auto"/>
        </w:rPr>
      </w:pPr>
    </w:p>
    <w:p>
      <w:pPr>
        <w:ind w:left="840" w:right="320" w:hanging="427"/>
        <w:spacing w:after="0" w:line="277"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unfavorable third-party payor coverage and reimbursement in any geography;</w:t>
      </w:r>
    </w:p>
    <w:p>
      <w:pPr>
        <w:spacing w:after="0" w:line="117" w:lineRule="exact"/>
        <w:rPr>
          <w:rFonts w:ascii="Arial" w:cs="Arial" w:eastAsia="Arial" w:hAnsi="Arial"/>
          <w:sz w:val="18"/>
          <w:szCs w:val="18"/>
          <w:color w:val="auto"/>
        </w:rPr>
      </w:pPr>
    </w:p>
    <w:p>
      <w:pPr>
        <w:ind w:left="840" w:right="300" w:hanging="427"/>
        <w:spacing w:after="0" w:line="277"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6" w:name="page87"/>
    <w:bookmarkEnd w:id="86"/>
    <w:p>
      <w:pPr>
        <w:ind w:left="420" w:right="3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firstLine="416"/>
        <w:spacing w:after="0" w:line="269" w:lineRule="auto"/>
        <w:rPr>
          <w:sz w:val="20"/>
          <w:szCs w:val="20"/>
          <w:color w:val="auto"/>
        </w:rPr>
      </w:pPr>
      <w:r>
        <w:rPr>
          <w:rFonts w:ascii="Arial" w:cs="Arial" w:eastAsia="Arial" w:hAnsi="Arial"/>
          <w:sz w:val="17"/>
          <w:szCs w:val="17"/>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Black Diamond Therapeutics, Inc., Constellation Pharmaceuticals, Inc., Kronos Bio, Inc., Repare Therapeutics Inc., Revolution Medicines, Inc., Relay Therapeutics, Inc., and Zentalis Pharmaceuticals, LLC. In addition, we may face competition from companies pursuing the development of product candidates that are based on targeting pathways of adaptive resistance, including Amgen Inc., or Amgen, AbbVie Inc., or AbbVie, AstraZeneca PLC, or AstraZeneca, GlaxoSmithKline plc, or GlaxoSmithKline, Johnson &amp; Johnson, Pfizer Inc., or Pfizer, Bayer AG, or Bayer, and Novartis International AG, or Novartis.</w:t>
      </w:r>
    </w:p>
    <w:p>
      <w:pPr>
        <w:spacing w:after="0" w:line="185"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Specifically, with respect to our lead product candidates, we expect that our current product candidates PRT543 and PRT811 will compete against other PRMT5 inhibitors which are currently in clinical development, including those of GlaxoSmithKline (GSK3326595), Johnson &amp; Johnson (JNJ-64619178) and Pfizer (PF-06939999). Development efforts and clinical results of these other product candidates may be unsuccessful, which could result in a negative perception of PRMT5 inhibitors, for instance, and negatively impact the regulatory approval process of our product candidates, which would have a material and adverse effect on our business. For our product candidate PRT1419, other companies are developing MCL1 inhibitors with monotherapy and/or combination trials ongoing, including Amgen (AMG176), AstraZeneca (AZD5991) and Novartis (MIK665). For our preclinical CDK9 program, AstraZeneca, Bayer and Kronos Bio have CDK9 programs in Phase 1 clinical trials.</w:t>
      </w:r>
    </w:p>
    <w:p>
      <w:pPr>
        <w:spacing w:after="0" w:line="177"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78"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7" w:name="page88"/>
    <w:bookmarkEnd w:id="87"/>
    <w:p>
      <w:pPr>
        <w:ind w:left="420" w:right="3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416"/>
        <w:spacing w:after="0" w:line="253" w:lineRule="auto"/>
        <w:rPr>
          <w:sz w:val="20"/>
          <w:szCs w:val="20"/>
          <w:color w:val="auto"/>
        </w:rPr>
      </w:pPr>
      <w:r>
        <w:rPr>
          <w:rFonts w:ascii="Arial" w:cs="Arial" w:eastAsia="Arial" w:hAnsi="Arial"/>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94" w:lineRule="exact"/>
        <w:rPr>
          <w:sz w:val="20"/>
          <w:szCs w:val="20"/>
          <w:color w:val="auto"/>
        </w:rPr>
      </w:pPr>
    </w:p>
    <w:p>
      <w:pPr>
        <w:ind w:right="120" w:firstLine="416"/>
        <w:spacing w:after="0" w:line="25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92" w:lineRule="exact"/>
        <w:rPr>
          <w:sz w:val="20"/>
          <w:szCs w:val="20"/>
          <w:color w:val="auto"/>
        </w:rPr>
      </w:pPr>
    </w:p>
    <w:p>
      <w:pPr>
        <w:ind w:right="80" w:firstLine="416"/>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65"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8"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8" w:name="page89"/>
    <w:bookmarkEnd w:id="88"/>
    <w:p>
      <w:pPr>
        <w:ind w:right="120"/>
        <w:spacing w:after="0" w:line="277" w:lineRule="auto"/>
        <w:rPr>
          <w:sz w:val="20"/>
          <w:szCs w:val="20"/>
          <w:color w:val="auto"/>
        </w:rPr>
      </w:pPr>
      <w:r>
        <w:rPr>
          <w:rFonts w:ascii="Arial" w:cs="Arial" w:eastAsia="Arial" w:hAnsi="Arial"/>
          <w:sz w:val="18"/>
          <w:szCs w:val="18"/>
          <w:color w:val="auto"/>
        </w:rPr>
        <w:t>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70"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right="240" w:firstLine="416"/>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41" w:lineRule="exact"/>
        <w:rPr>
          <w:sz w:val="20"/>
          <w:szCs w:val="20"/>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and to attract, retain and motivate qualified personnel and manage our human capital.</w:t>
      </w:r>
    </w:p>
    <w:p>
      <w:pPr>
        <w:spacing w:after="0" w:line="62"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8" w:lineRule="exact"/>
        <w:rPr>
          <w:sz w:val="20"/>
          <w:szCs w:val="20"/>
          <w:color w:val="auto"/>
        </w:rPr>
      </w:pPr>
    </w:p>
    <w:p>
      <w:pPr>
        <w:ind w:right="80" w:firstLine="416"/>
        <w:spacing w:after="0" w:line="253"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successfully develop and commercialize our product candidates and to grow our business and operations as currently contemplated.</w:t>
      </w:r>
    </w:p>
    <w:p>
      <w:pPr>
        <w:spacing w:after="0" w:line="333" w:lineRule="exact"/>
        <w:rPr>
          <w:sz w:val="20"/>
          <w:szCs w:val="20"/>
          <w:color w:val="auto"/>
        </w:rPr>
      </w:pPr>
    </w:p>
    <w:p>
      <w:pPr>
        <w:ind w:left="420" w:right="60"/>
        <w:spacing w:after="0" w:line="308"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1" w:lineRule="exact"/>
        <w:rPr>
          <w:sz w:val="20"/>
          <w:szCs w:val="20"/>
          <w:color w:val="auto"/>
        </w:rPr>
      </w:pPr>
    </w:p>
    <w:p>
      <w:pPr>
        <w:ind w:right="100" w:firstLine="416"/>
        <w:spacing w:after="0" w:line="254" w:lineRule="auto"/>
        <w:rPr>
          <w:sz w:val="20"/>
          <w:szCs w:val="20"/>
          <w:color w:val="auto"/>
        </w:rPr>
      </w:pPr>
      <w:r>
        <w:rPr>
          <w:rFonts w:ascii="Arial" w:cs="Arial" w:eastAsia="Arial" w:hAnsi="Arial"/>
          <w:sz w:val="18"/>
          <w:szCs w:val="18"/>
          <w:color w:val="auto"/>
        </w:rPr>
        <w:t>As of December 31, 2020, we had 68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51" w:lineRule="exact"/>
        <w:rPr>
          <w:sz w:val="20"/>
          <w:szCs w:val="20"/>
          <w:color w:val="auto"/>
        </w:rPr>
      </w:pPr>
    </w:p>
    <w:p>
      <w:pPr>
        <w:ind w:right="120" w:firstLine="416"/>
        <w:spacing w:after="0" w:line="290"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and PRT1419,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25"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PRT543, PRT811 or PRT1419, our other pipeline product candidates or any future product candidates and, accordingly, may not achieve our research, development and commercialization goals.</w:t>
      </w:r>
    </w:p>
    <w:p>
      <w:pPr>
        <w:spacing w:after="0" w:line="224" w:lineRule="exact"/>
        <w:rPr>
          <w:sz w:val="20"/>
          <w:szCs w:val="20"/>
          <w:color w:val="auto"/>
        </w:rPr>
      </w:pPr>
    </w:p>
    <w:p>
      <w:pPr>
        <w:ind w:left="420" w:right="6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11"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51"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0" w:name="page91"/>
    <w:bookmarkEnd w:id="90"/>
    <w:p>
      <w:pPr>
        <w:ind w:right="660"/>
        <w:spacing w:after="0" w:line="342" w:lineRule="auto"/>
        <w:rPr>
          <w:sz w:val="20"/>
          <w:szCs w:val="20"/>
          <w:color w:val="auto"/>
        </w:rPr>
      </w:pPr>
      <w:r>
        <w:rPr>
          <w:rFonts w:ascii="Arial" w:cs="Arial" w:eastAsia="Arial" w:hAnsi="Arial"/>
          <w:sz w:val="16"/>
          <w:szCs w:val="16"/>
          <w:color w:val="auto"/>
        </w:rPr>
        <w:t>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18" w:lineRule="exact"/>
        <w:rPr>
          <w:sz w:val="20"/>
          <w:szCs w:val="20"/>
          <w:color w:val="auto"/>
        </w:rPr>
      </w:pPr>
    </w:p>
    <w:p>
      <w:pPr>
        <w:ind w:left="420" w:right="140"/>
        <w:spacing w:after="0" w:line="279" w:lineRule="auto"/>
        <w:rPr>
          <w:sz w:val="20"/>
          <w:szCs w:val="20"/>
          <w:color w:val="auto"/>
        </w:rPr>
      </w:pPr>
      <w:r>
        <w:rPr>
          <w:rFonts w:ascii="Arial" w:cs="Arial" w:eastAsia="Arial" w:hAnsi="Arial"/>
          <w:sz w:val="17"/>
          <w:szCs w:val="17"/>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63"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situation,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1" w:lineRule="exact"/>
        <w:rPr>
          <w:sz w:val="20"/>
          <w:szCs w:val="20"/>
          <w:color w:val="auto"/>
        </w:rPr>
      </w:pPr>
    </w:p>
    <w:p>
      <w:pPr>
        <w:ind w:firstLine="416"/>
        <w:spacing w:after="0" w:line="284" w:lineRule="auto"/>
        <w:rPr>
          <w:sz w:val="20"/>
          <w:szCs w:val="20"/>
          <w:color w:val="auto"/>
        </w:rPr>
      </w:pPr>
      <w:r>
        <w:rPr>
          <w:rFonts w:ascii="Arial" w:cs="Arial" w:eastAsia="Arial" w:hAnsi="Arial"/>
          <w:sz w:val="16"/>
          <w:szCs w:val="16"/>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1" w:name="page92"/>
    <w:bookmarkEnd w:id="91"/>
    <w:p>
      <w:pPr>
        <w:ind w:right="60" w:firstLine="416"/>
        <w:spacing w:after="0" w:line="268"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3" w:lineRule="exact"/>
        <w:rPr>
          <w:sz w:val="20"/>
          <w:szCs w:val="20"/>
          <w:color w:val="auto"/>
        </w:rPr>
      </w:pPr>
    </w:p>
    <w:p>
      <w:pPr>
        <w:ind w:left="420" w:right="60"/>
        <w:spacing w:after="0" w:line="325"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right="40" w:firstLine="416"/>
        <w:spacing w:after="0" w:line="271"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24" w:lineRule="exact"/>
        <w:rPr>
          <w:sz w:val="20"/>
          <w:szCs w:val="20"/>
          <w:color w:val="auto"/>
        </w:rPr>
      </w:pPr>
    </w:p>
    <w:p>
      <w:pPr>
        <w:ind w:firstLine="416"/>
        <w:spacing w:after="0" w:line="285" w:lineRule="auto"/>
        <w:rPr>
          <w:sz w:val="20"/>
          <w:szCs w:val="20"/>
          <w:color w:val="auto"/>
        </w:rPr>
      </w:pPr>
      <w:r>
        <w:rPr>
          <w:rFonts w:ascii="Arial" w:cs="Arial" w:eastAsia="Arial" w:hAnsi="Arial"/>
          <w:sz w:val="16"/>
          <w:szCs w:val="16"/>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92" w:name="page93"/>
    <w:bookmarkEnd w:id="92"/>
    <w:p>
      <w:pPr>
        <w:spacing w:after="0" w:line="270" w:lineRule="auto"/>
        <w:rPr>
          <w:sz w:val="20"/>
          <w:szCs w:val="20"/>
          <w:color w:val="auto"/>
        </w:rPr>
      </w:pPr>
      <w:r>
        <w:rPr>
          <w:rFonts w:ascii="Arial" w:cs="Arial" w:eastAsia="Arial" w:hAnsi="Arial"/>
          <w:sz w:val="17"/>
          <w:szCs w:val="17"/>
          <w:color w:val="auto"/>
        </w:rPr>
        <w:t>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181" w:lineRule="exact"/>
        <w:rPr>
          <w:sz w:val="20"/>
          <w:szCs w:val="20"/>
          <w:color w:val="auto"/>
        </w:rPr>
      </w:pPr>
    </w:p>
    <w:p>
      <w:pPr>
        <w:ind w:right="140" w:firstLine="416"/>
        <w:spacing w:after="0" w:line="254" w:lineRule="auto"/>
        <w:rPr>
          <w:sz w:val="20"/>
          <w:szCs w:val="20"/>
          <w:color w:val="auto"/>
        </w:rPr>
      </w:pPr>
      <w:r>
        <w:rPr>
          <w:rFonts w:ascii="Arial" w:cs="Arial" w:eastAsia="Arial" w:hAnsi="Arial"/>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United Kingdom law. Beginning in 2021, the United Kingdom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95" w:lineRule="exact"/>
        <w:rPr>
          <w:sz w:val="20"/>
          <w:szCs w:val="20"/>
          <w:color w:val="auto"/>
        </w:rPr>
      </w:pPr>
    </w:p>
    <w:p>
      <w:pPr>
        <w:ind w:right="40" w:firstLine="416"/>
        <w:spacing w:after="0" w:line="286" w:lineRule="auto"/>
        <w:rPr>
          <w:sz w:val="20"/>
          <w:szCs w:val="20"/>
          <w:color w:val="auto"/>
        </w:rPr>
      </w:pPr>
      <w:r>
        <w:rPr>
          <w:rFonts w:ascii="Arial" w:cs="Arial" w:eastAsia="Arial" w:hAnsi="Arial"/>
          <w:sz w:val="16"/>
          <w:szCs w:val="16"/>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w:t>
      </w:r>
    </w:p>
    <w:p>
      <w:pPr>
        <w:spacing w:after="0" w:line="171"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6"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60" w:firstLine="416"/>
        <w:spacing w:after="0" w:line="277" w:lineRule="auto"/>
        <w:rPr>
          <w:sz w:val="20"/>
          <w:szCs w:val="20"/>
          <w:color w:val="auto"/>
        </w:rPr>
      </w:pPr>
      <w:r>
        <w:rPr>
          <w:rFonts w:ascii="Arial" w:cs="Arial" w:eastAsia="Arial" w:hAnsi="Arial"/>
          <w:sz w:val="18"/>
          <w:szCs w:val="18"/>
          <w:color w:val="auto"/>
        </w:rPr>
        <w:t>Our company is located in Delaware. Any unplanned event, such as flood, fire, explosion, earthquake, extreme weather condition, medical epidemic, including the COVID-19 pandemic, power shortage, telecommunication failure or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3" w:name="page94"/>
    <w:bookmarkEnd w:id="93"/>
    <w:p>
      <w:pPr>
        <w:spacing w:after="0" w:line="268" w:lineRule="auto"/>
        <w:rPr>
          <w:sz w:val="20"/>
          <w:szCs w:val="20"/>
          <w:color w:val="auto"/>
        </w:rPr>
      </w:pPr>
      <w:r>
        <w:rPr>
          <w:rFonts w:ascii="Arial" w:cs="Arial" w:eastAsia="Arial" w:hAnsi="Arial"/>
          <w:sz w:val="17"/>
          <w:szCs w:val="17"/>
          <w:color w:val="auto"/>
        </w:rPr>
        <w:t>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34"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5"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90"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4" w:name="page95"/>
    <w:bookmarkEnd w:id="94"/>
    <w:p>
      <w:pPr>
        <w:spacing w:after="0" w:line="263" w:lineRule="auto"/>
        <w:rPr>
          <w:sz w:val="20"/>
          <w:szCs w:val="20"/>
          <w:color w:val="auto"/>
        </w:rPr>
      </w:pPr>
      <w:r>
        <w:rPr>
          <w:rFonts w:ascii="Arial" w:cs="Arial" w:eastAsia="Arial" w:hAnsi="Arial"/>
          <w:sz w:val="18"/>
          <w:szCs w:val="18"/>
          <w:color w:val="auto"/>
        </w:rPr>
        <w:t>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43" w:lineRule="exact"/>
        <w:rPr>
          <w:sz w:val="20"/>
          <w:szCs w:val="20"/>
          <w:color w:val="auto"/>
        </w:rPr>
      </w:pPr>
    </w:p>
    <w:p>
      <w:pPr>
        <w:ind w:left="420" w:right="66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35"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4" w:lineRule="exact"/>
        <w:rPr>
          <w:sz w:val="20"/>
          <w:szCs w:val="20"/>
          <w:color w:val="auto"/>
        </w:rPr>
      </w:pPr>
    </w:p>
    <w:p>
      <w:pPr>
        <w:ind w:left="840" w:hanging="427"/>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840" w:right="140" w:hanging="427"/>
        <w:spacing w:after="0" w:line="277"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840" w:hanging="427"/>
        <w:spacing w:after="0"/>
        <w:tabs>
          <w:tab w:leader="none" w:pos="8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140" w:lineRule="exact"/>
        <w:rPr>
          <w:rFonts w:ascii="Arial" w:cs="Arial" w:eastAsia="Arial" w:hAnsi="Arial"/>
          <w:sz w:val="16"/>
          <w:szCs w:val="16"/>
          <w:color w:val="auto"/>
        </w:rPr>
      </w:pPr>
    </w:p>
    <w:p>
      <w:pPr>
        <w:ind w:left="840" w:hanging="427"/>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portfolio of investments may be subject to market, interest and credit risk that may reduce its value.</w:t>
      </w:r>
    </w:p>
    <w:p>
      <w:pPr>
        <w:spacing w:after="0" w:line="11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420" w:right="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6" w:lineRule="exact"/>
        <w:rPr>
          <w:sz w:val="20"/>
          <w:szCs w:val="20"/>
          <w:color w:val="auto"/>
        </w:rPr>
      </w:pPr>
    </w:p>
    <w:p>
      <w:pPr>
        <w:ind w:right="120" w:firstLine="416"/>
        <w:spacing w:after="0" w:line="296" w:lineRule="auto"/>
        <w:rPr>
          <w:sz w:val="20"/>
          <w:szCs w:val="20"/>
          <w:color w:val="auto"/>
        </w:rPr>
      </w:pPr>
      <w:r>
        <w:rPr>
          <w:rFonts w:ascii="Arial" w:cs="Arial" w:eastAsia="Arial" w:hAnsi="Arial"/>
          <w:sz w:val="16"/>
          <w:szCs w:val="16"/>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and PRT1419,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5" w:name="page96"/>
    <w:bookmarkEnd w:id="95"/>
    <w:p>
      <w:pPr>
        <w:ind w:right="100"/>
        <w:spacing w:after="0" w:line="277" w:lineRule="auto"/>
        <w:rPr>
          <w:sz w:val="20"/>
          <w:szCs w:val="20"/>
          <w:color w:val="auto"/>
        </w:rPr>
      </w:pPr>
      <w:r>
        <w:rPr>
          <w:rFonts w:ascii="Arial" w:cs="Arial" w:eastAsia="Arial" w:hAnsi="Arial"/>
          <w:sz w:val="18"/>
          <w:szCs w:val="18"/>
          <w:color w:val="auto"/>
        </w:rPr>
        <w:t>property, third parties, including our competitors, may be able to erode or negate any competitive advantage we may have, which could harm our business and ability to achieve profitability.</w:t>
      </w:r>
    </w:p>
    <w:p>
      <w:pPr>
        <w:spacing w:after="0" w:line="170" w:lineRule="exact"/>
        <w:rPr>
          <w:sz w:val="20"/>
          <w:szCs w:val="20"/>
          <w:color w:val="auto"/>
        </w:rPr>
      </w:pPr>
    </w:p>
    <w:p>
      <w:pPr>
        <w:ind w:right="420" w:firstLine="416"/>
        <w:spacing w:after="0" w:line="259" w:lineRule="auto"/>
        <w:rPr>
          <w:sz w:val="20"/>
          <w:szCs w:val="20"/>
          <w:color w:val="auto"/>
        </w:rPr>
      </w:pPr>
      <w:r>
        <w:rPr>
          <w:rFonts w:ascii="Arial" w:cs="Arial" w:eastAsia="Arial" w:hAnsi="Arial"/>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abroad relating to PRT543 and PRT811.</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77"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 is expected to expire no earlier than August 9, 2038, and one issued U.S. patent covering PRT811 that is expected to expire no earlier than March 14, 2039. We do not yet have issued patents on all of our product candidates.</w:t>
      </w:r>
    </w:p>
    <w:p>
      <w:pPr>
        <w:spacing w:after="0" w:line="182"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79"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6" w:name="page97"/>
    <w:bookmarkEnd w:id="96"/>
    <w:p>
      <w:pPr>
        <w:spacing w:after="0" w:line="293" w:lineRule="auto"/>
        <w:rPr>
          <w:sz w:val="20"/>
          <w:szCs w:val="20"/>
          <w:color w:val="auto"/>
        </w:rPr>
      </w:pPr>
      <w:r>
        <w:rPr>
          <w:rFonts w:ascii="Arial" w:cs="Arial" w:eastAsia="Arial" w:hAnsi="Arial"/>
          <w:sz w:val="16"/>
          <w:szCs w:val="16"/>
          <w:color w:val="auto"/>
        </w:rPr>
        <w:t>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64"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right="160" w:firstLine="416"/>
        <w:spacing w:after="0" w:line="275"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76" w:lineRule="exact"/>
        <w:rPr>
          <w:sz w:val="20"/>
          <w:szCs w:val="20"/>
          <w:color w:val="auto"/>
        </w:rPr>
      </w:pPr>
    </w:p>
    <w:p>
      <w:pPr>
        <w:ind w:firstLine="416"/>
        <w:spacing w:after="0" w:line="286" w:lineRule="auto"/>
        <w:rPr>
          <w:sz w:val="20"/>
          <w:szCs w:val="20"/>
          <w:color w:val="auto"/>
        </w:rPr>
      </w:pPr>
      <w:r>
        <w:rPr>
          <w:rFonts w:ascii="Arial" w:cs="Arial" w:eastAsia="Arial" w:hAnsi="Arial"/>
          <w:sz w:val="16"/>
          <w:szCs w:val="16"/>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74"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government of aforementioned proprietary rights could harm our competitive position, business, financial condition, results of operations, and prospects.</w:t>
      </w:r>
    </w:p>
    <w:p>
      <w:pPr>
        <w:spacing w:after="0" w:line="275" w:lineRule="exact"/>
        <w:rPr>
          <w:sz w:val="20"/>
          <w:szCs w:val="20"/>
          <w:color w:val="auto"/>
        </w:rPr>
      </w:pPr>
    </w:p>
    <w:p>
      <w:pPr>
        <w:ind w:left="420" w:right="4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2"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26"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05" w:lineRule="exact"/>
        <w:rPr>
          <w:sz w:val="20"/>
          <w:szCs w:val="20"/>
          <w:color w:val="auto"/>
        </w:rPr>
      </w:pPr>
    </w:p>
    <w:p>
      <w:pPr>
        <w:ind w:left="420" w:right="2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35" w:lineRule="exact"/>
        <w:rPr>
          <w:sz w:val="20"/>
          <w:szCs w:val="20"/>
          <w:color w:val="auto"/>
        </w:rPr>
      </w:pPr>
    </w:p>
    <w:p>
      <w:pPr>
        <w:ind w:right="160" w:firstLine="416"/>
        <w:spacing w:after="0" w:line="257" w:lineRule="auto"/>
        <w:rPr>
          <w:sz w:val="20"/>
          <w:szCs w:val="20"/>
          <w:color w:val="auto"/>
        </w:rPr>
      </w:pPr>
      <w:r>
        <w:rPr>
          <w:rFonts w:ascii="Arial" w:cs="Arial" w:eastAsia="Arial" w:hAnsi="Arial"/>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8" w:lineRule="exact"/>
        <w:rPr>
          <w:sz w:val="20"/>
          <w:szCs w:val="20"/>
          <w:color w:val="auto"/>
        </w:rPr>
      </w:pPr>
    </w:p>
    <w:p>
      <w:pPr>
        <w:ind w:right="240" w:firstLine="416"/>
        <w:spacing w:after="0" w:line="275" w:lineRule="auto"/>
        <w:rPr>
          <w:sz w:val="20"/>
          <w:szCs w:val="20"/>
          <w:color w:val="auto"/>
        </w:rPr>
      </w:pPr>
      <w:r>
        <w:rPr>
          <w:rFonts w:ascii="Arial" w:cs="Arial" w:eastAsia="Arial" w:hAnsi="Arial"/>
          <w:sz w:val="17"/>
          <w:szCs w:val="17"/>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98" w:name="page99"/>
    <w:bookmarkEnd w:id="98"/>
    <w:p>
      <w:pPr>
        <w:ind w:firstLine="416"/>
        <w:spacing w:after="0" w:line="287" w:lineRule="auto"/>
        <w:rPr>
          <w:sz w:val="20"/>
          <w:szCs w:val="20"/>
          <w:color w:val="auto"/>
        </w:rPr>
      </w:pPr>
      <w:r>
        <w:rPr>
          <w:rFonts w:ascii="Arial" w:cs="Arial" w:eastAsia="Arial" w:hAnsi="Arial"/>
          <w:sz w:val="16"/>
          <w:szCs w:val="16"/>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8"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effectively protect or enforce our intellectual property and proprietary rights throughout the world.</w:t>
      </w:r>
    </w:p>
    <w:p>
      <w:pPr>
        <w:spacing w:after="0" w:line="117" w:lineRule="exact"/>
        <w:rPr>
          <w:sz w:val="20"/>
          <w:szCs w:val="20"/>
          <w:color w:val="auto"/>
        </w:rPr>
      </w:pPr>
    </w:p>
    <w:p>
      <w:pPr>
        <w:ind w:right="160" w:firstLine="416"/>
        <w:spacing w:after="0" w:line="272" w:lineRule="auto"/>
        <w:rPr>
          <w:sz w:val="20"/>
          <w:szCs w:val="20"/>
          <w:color w:val="auto"/>
        </w:rPr>
      </w:pPr>
      <w:r>
        <w:rPr>
          <w:rFonts w:ascii="Arial" w:cs="Arial" w:eastAsia="Arial" w:hAnsi="Arial"/>
          <w:sz w:val="17"/>
          <w:szCs w:val="17"/>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9" w:name="page100"/>
    <w:bookmarkEnd w:id="99"/>
    <w:p>
      <w:pPr>
        <w:ind w:right="40"/>
        <w:spacing w:after="0" w:line="263" w:lineRule="auto"/>
        <w:rPr>
          <w:sz w:val="20"/>
          <w:szCs w:val="20"/>
          <w:color w:val="auto"/>
        </w:rPr>
      </w:pPr>
      <w:r>
        <w:rPr>
          <w:rFonts w:ascii="Arial" w:cs="Arial" w:eastAsia="Arial" w:hAnsi="Arial"/>
          <w:sz w:val="18"/>
          <w:szCs w:val="18"/>
          <w:color w:val="auto"/>
        </w:rPr>
        <w:t>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84" w:lineRule="exact"/>
        <w:rPr>
          <w:sz w:val="20"/>
          <w:szCs w:val="20"/>
          <w:color w:val="auto"/>
        </w:rPr>
      </w:pPr>
    </w:p>
    <w:p>
      <w:pPr>
        <w:ind w:right="20" w:firstLine="416"/>
        <w:spacing w:after="0" w:line="285" w:lineRule="auto"/>
        <w:rPr>
          <w:sz w:val="20"/>
          <w:szCs w:val="20"/>
          <w:color w:val="auto"/>
        </w:rPr>
      </w:pPr>
      <w:r>
        <w:rPr>
          <w:rFonts w:ascii="Arial" w:cs="Arial" w:eastAsia="Arial" w:hAnsi="Arial"/>
          <w:sz w:val="16"/>
          <w:szCs w:val="16"/>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225" w:lineRule="exact"/>
        <w:rPr>
          <w:sz w:val="20"/>
          <w:szCs w:val="20"/>
          <w:color w:val="auto"/>
        </w:rPr>
      </w:pPr>
    </w:p>
    <w:p>
      <w:pPr>
        <w:ind w:left="420" w:right="40"/>
        <w:spacing w:after="0" w:line="342" w:lineRule="auto"/>
        <w:rPr>
          <w:sz w:val="20"/>
          <w:szCs w:val="20"/>
          <w:color w:val="auto"/>
        </w:rPr>
      </w:pPr>
      <w:r>
        <w:rPr>
          <w:rFonts w:ascii="Arial" w:cs="Arial" w:eastAsia="Arial" w:hAnsi="Arial"/>
          <w:sz w:val="16"/>
          <w:szCs w:val="16"/>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6"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92"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5" w:lineRule="exact"/>
        <w:rPr>
          <w:sz w:val="20"/>
          <w:szCs w:val="20"/>
          <w:color w:val="auto"/>
        </w:rPr>
      </w:pPr>
    </w:p>
    <w:p>
      <w:pPr>
        <w:ind w:right="160" w:firstLine="416"/>
        <w:spacing w:after="0" w:line="263"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0" w:name="page101"/>
    <w:bookmarkEnd w:id="100"/>
    <w:p>
      <w:pPr>
        <w:ind w:right="60"/>
        <w:spacing w:after="0" w:line="268" w:lineRule="auto"/>
        <w:rPr>
          <w:sz w:val="20"/>
          <w:szCs w:val="20"/>
          <w:color w:val="auto"/>
        </w:rPr>
      </w:pPr>
      <w:r>
        <w:rPr>
          <w:rFonts w:ascii="Arial" w:cs="Arial" w:eastAsia="Arial" w:hAnsi="Arial"/>
          <w:sz w:val="17"/>
          <w:szCs w:val="17"/>
          <w:color w:val="auto"/>
        </w:rPr>
        <w:t>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86" w:lineRule="exact"/>
        <w:rPr>
          <w:sz w:val="20"/>
          <w:szCs w:val="20"/>
          <w:color w:val="auto"/>
        </w:rPr>
      </w:pPr>
    </w:p>
    <w:p>
      <w:pPr>
        <w:ind w:right="140" w:firstLine="416"/>
        <w:spacing w:after="0" w:line="288" w:lineRule="auto"/>
        <w:rPr>
          <w:sz w:val="20"/>
          <w:szCs w:val="20"/>
          <w:color w:val="auto"/>
        </w:rPr>
      </w:pPr>
      <w:r>
        <w:rPr>
          <w:rFonts w:ascii="Arial" w:cs="Arial" w:eastAsia="Arial" w:hAnsi="Arial"/>
          <w:sz w:val="16"/>
          <w:szCs w:val="16"/>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63"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2" w:lineRule="exact"/>
        <w:rPr>
          <w:sz w:val="20"/>
          <w:szCs w:val="20"/>
          <w:color w:val="auto"/>
        </w:rPr>
      </w:pPr>
    </w:p>
    <w:p>
      <w:pPr>
        <w:ind w:right="40" w:firstLine="416"/>
        <w:spacing w:after="0" w:line="288" w:lineRule="auto"/>
        <w:rPr>
          <w:sz w:val="20"/>
          <w:szCs w:val="20"/>
          <w:color w:val="auto"/>
        </w:rPr>
      </w:pPr>
      <w:r>
        <w:rPr>
          <w:rFonts w:ascii="Arial" w:cs="Arial" w:eastAsia="Arial" w:hAnsi="Arial"/>
          <w:sz w:val="16"/>
          <w:szCs w:val="16"/>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68"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spacing w:after="0" w:line="255" w:lineRule="auto"/>
        <w:rPr>
          <w:sz w:val="20"/>
          <w:szCs w:val="20"/>
          <w:color w:val="auto"/>
        </w:rPr>
      </w:pPr>
      <w:r>
        <w:rPr>
          <w:rFonts w:ascii="Arial" w:cs="Arial" w:eastAsia="Arial" w:hAnsi="Arial"/>
          <w:sz w:val="18"/>
          <w:szCs w:val="18"/>
          <w:color w:val="auto"/>
        </w:rPr>
        <w:t>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to improvements to our product candidates may be held by third parties.</w:t>
      </w:r>
    </w:p>
    <w:p>
      <w:pPr>
        <w:spacing w:after="0" w:line="117"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 of our patents may be inadequate to protect our competitive position on our products.</w:t>
      </w:r>
    </w:p>
    <w:p>
      <w:pPr>
        <w:spacing w:after="0" w:line="117" w:lineRule="exact"/>
        <w:rPr>
          <w:sz w:val="20"/>
          <w:szCs w:val="20"/>
          <w:color w:val="auto"/>
        </w:rPr>
      </w:pPr>
    </w:p>
    <w:p>
      <w:pPr>
        <w:ind w:right="80" w:firstLine="416"/>
        <w:spacing w:after="0" w:line="267"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2" w:name="page103"/>
    <w:bookmarkEnd w:id="102"/>
    <w:p>
      <w:pPr>
        <w:ind w:left="420" w:right="2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6" w:lineRule="exact"/>
        <w:rPr>
          <w:sz w:val="20"/>
          <w:szCs w:val="20"/>
          <w:color w:val="auto"/>
        </w:rPr>
      </w:pPr>
    </w:p>
    <w:p>
      <w:pPr>
        <w:ind w:right="40" w:firstLine="416"/>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86"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62"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20" w:right="160" w:hanging="407"/>
        <w:spacing w:after="0" w:line="27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62"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20" w:right="100" w:hanging="407"/>
        <w:spacing w:after="0" w:line="27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3" w:name="page104"/>
    <w:bookmarkEnd w:id="103"/>
    <w:p>
      <w:pPr>
        <w:ind w:left="820" w:hanging="407"/>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44"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89" w:lineRule="exact"/>
        <w:rPr>
          <w:rFonts w:ascii="Arial" w:cs="Arial" w:eastAsia="Arial" w:hAnsi="Arial"/>
          <w:sz w:val="18"/>
          <w:szCs w:val="18"/>
          <w:color w:val="auto"/>
        </w:rPr>
      </w:pPr>
    </w:p>
    <w:p>
      <w:pPr>
        <w:ind w:left="820" w:right="20" w:hanging="407"/>
        <w:spacing w:after="0" w:line="308" w:lineRule="auto"/>
        <w:tabs>
          <w:tab w:leader="none" w:pos="8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1" w:lineRule="exact"/>
        <w:rPr>
          <w:rFonts w:ascii="Arial" w:cs="Arial" w:eastAsia="Arial" w:hAnsi="Arial"/>
          <w:sz w:val="17"/>
          <w:szCs w:val="17"/>
          <w:color w:val="auto"/>
        </w:rPr>
      </w:pPr>
    </w:p>
    <w:p>
      <w:pPr>
        <w:ind w:left="820" w:hanging="407"/>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820" w:right="260" w:hanging="407"/>
        <w:spacing w:after="0" w:line="277"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 how, and a third party may subsequently file a patent covering such intellectual property.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4"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35" w:lineRule="exact"/>
        <w:rPr>
          <w:sz w:val="20"/>
          <w:szCs w:val="20"/>
          <w:color w:val="auto"/>
        </w:rPr>
      </w:pPr>
    </w:p>
    <w:p>
      <w:pPr>
        <w:ind w:right="100" w:firstLine="416"/>
        <w:spacing w:after="0" w:line="255"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52"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5"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35" w:lineRule="exact"/>
        <w:rPr>
          <w:sz w:val="20"/>
          <w:szCs w:val="20"/>
          <w:color w:val="auto"/>
        </w:rPr>
      </w:pPr>
    </w:p>
    <w:p>
      <w:pPr>
        <w:ind w:left="820" w:right="460" w:hanging="407"/>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3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future preclinical or clinical trials or funding support by us, or future collaborators or licensing partners;</w:t>
      </w:r>
    </w:p>
    <w:p>
      <w:pPr>
        <w:spacing w:after="0" w:line="35"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01" w:lineRule="exact"/>
        <w:rPr>
          <w:rFonts w:ascii="Arial" w:cs="Arial" w:eastAsia="Arial" w:hAnsi="Arial"/>
          <w:sz w:val="17"/>
          <w:szCs w:val="17"/>
          <w:color w:val="auto"/>
        </w:rPr>
      </w:pPr>
    </w:p>
    <w:p>
      <w:pPr>
        <w:ind w:left="820" w:hanging="407"/>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90"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35" w:lineRule="exact"/>
        <w:rPr>
          <w:rFonts w:ascii="Arial" w:cs="Arial" w:eastAsia="Arial" w:hAnsi="Arial"/>
          <w:sz w:val="18"/>
          <w:szCs w:val="18"/>
          <w:color w:val="auto"/>
        </w:rPr>
      </w:pPr>
    </w:p>
    <w:p>
      <w:pPr>
        <w:ind w:left="820" w:right="520" w:hanging="407"/>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recent COVID-19 pandemic.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104" w:name="page105"/>
    <w:bookmarkEnd w:id="104"/>
    <w:p>
      <w:pPr>
        <w:ind w:right="160" w:firstLine="416"/>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market price of our common stock is likely to be highly volatile, which could result in substantial losses for purchasers of our common stock.</w:t>
      </w:r>
    </w:p>
    <w:p>
      <w:pPr>
        <w:spacing w:after="0" w:line="152"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market price of our common stock has been highly volatile since our initial public offering, or IPO, and has ranged from $23.69 to $95.38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Annual Report on Form 10-K and the following:</w:t>
      </w:r>
    </w:p>
    <w:p>
      <w:pPr>
        <w:spacing w:after="0" w:line="80" w:lineRule="exact"/>
        <w:rPr>
          <w:sz w:val="20"/>
          <w:szCs w:val="20"/>
          <w:color w:val="auto"/>
        </w:rPr>
      </w:pPr>
    </w:p>
    <w:p>
      <w:pPr>
        <w:ind w:left="820" w:right="140" w:hanging="407"/>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enrollment or results of clinical trials of our product candidates, or those of our competitors or our future collaborators, or changes in the development status of our product candidates;</w:t>
      </w:r>
    </w:p>
    <w:p>
      <w:pPr>
        <w:spacing w:after="0" w:line="62" w:lineRule="exact"/>
        <w:rPr>
          <w:rFonts w:ascii="Arial" w:cs="Arial" w:eastAsia="Arial" w:hAnsi="Arial"/>
          <w:sz w:val="18"/>
          <w:szCs w:val="18"/>
          <w:color w:val="auto"/>
        </w:rPr>
      </w:pPr>
    </w:p>
    <w:p>
      <w:pPr>
        <w:ind w:left="820" w:right="220" w:hanging="407"/>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sz w:val="20"/>
          <w:szCs w:val="20"/>
          <w:color w:val="auto"/>
        </w:rPr>
      </w:pPr>
    </w:p>
    <w:p>
      <w:pPr>
        <w:ind w:left="420" w:right="180"/>
        <w:spacing w:after="0" w:line="375" w:lineRule="auto"/>
        <w:rPr>
          <w:sz w:val="20"/>
          <w:szCs w:val="20"/>
          <w:color w:val="auto"/>
        </w:rPr>
      </w:pPr>
      <w:r>
        <w:rPr>
          <w:rFonts w:ascii="Arial" w:cs="Arial" w:eastAsia="Arial" w:hAnsi="Arial"/>
          <w:sz w:val="18"/>
          <w:szCs w:val="18"/>
          <w:color w:val="auto"/>
        </w:rPr>
        <w:t>• actions taken by regulatory agencies with respect to our products, clinical studies, manufacturing process or sales and marketing terms; • actual or anticipated variations in our financial results or those of companies that are perceived to be similar to us;</w:t>
      </w:r>
    </w:p>
    <w:p>
      <w:pPr>
        <w:spacing w:after="0" w:line="1" w:lineRule="exact"/>
        <w:rPr>
          <w:sz w:val="20"/>
          <w:szCs w:val="20"/>
          <w:color w:val="auto"/>
        </w:rPr>
      </w:pPr>
    </w:p>
    <w:p>
      <w:pPr>
        <w:ind w:left="820" w:hanging="407"/>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developments concerning any future collaborations, including but not limited to those with development and commercialization partners;</w:t>
      </w:r>
    </w:p>
    <w:p>
      <w:pPr>
        <w:spacing w:after="0" w:line="128" w:lineRule="exact"/>
        <w:rPr>
          <w:rFonts w:ascii="Arial" w:cs="Arial" w:eastAsia="Arial" w:hAnsi="Arial"/>
          <w:sz w:val="17"/>
          <w:szCs w:val="17"/>
          <w:color w:val="auto"/>
        </w:rPr>
      </w:pPr>
    </w:p>
    <w:p>
      <w:pPr>
        <w:ind w:left="820" w:hanging="407"/>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sz w:val="20"/>
          <w:szCs w:val="20"/>
          <w:color w:val="auto"/>
        </w:rPr>
      </w:pPr>
    </w:p>
    <w:p>
      <w:pPr>
        <w:ind w:left="820" w:right="80" w:hanging="407"/>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9" w:lineRule="exact"/>
        <w:rPr>
          <w:sz w:val="20"/>
          <w:szCs w:val="20"/>
          <w:color w:val="auto"/>
        </w:rPr>
      </w:pPr>
    </w:p>
    <w:p>
      <w:pPr>
        <w:ind w:left="820" w:hanging="407"/>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105" w:name="page106"/>
    <w:bookmarkEnd w:id="105"/>
    <w:p>
      <w:pPr>
        <w:ind w:left="820" w:hanging="407"/>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of our common stock by us, insiders or our stockholders;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0"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00" w:lineRule="exact"/>
        <w:rPr>
          <w:sz w:val="20"/>
          <w:szCs w:val="20"/>
          <w:color w:val="auto"/>
        </w:rPr>
      </w:pPr>
    </w:p>
    <w:p>
      <w:pPr>
        <w:spacing w:after="0" w:line="298" w:lineRule="exact"/>
        <w:rPr>
          <w:sz w:val="20"/>
          <w:szCs w:val="20"/>
          <w:color w:val="auto"/>
        </w:rPr>
      </w:pPr>
    </w:p>
    <w:p>
      <w:pPr>
        <w:ind w:left="420" w:right="4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firstLine="416"/>
        <w:spacing w:after="0" w:line="263" w:lineRule="auto"/>
        <w:rPr>
          <w:sz w:val="20"/>
          <w:szCs w:val="20"/>
          <w:color w:val="auto"/>
        </w:rPr>
      </w:pPr>
      <w:r>
        <w:rPr>
          <w:rFonts w:ascii="Arial" w:cs="Arial" w:eastAsia="Arial" w:hAnsi="Arial"/>
          <w:sz w:val="18"/>
          <w:szCs w:val="18"/>
          <w:color w:val="auto"/>
        </w:rPr>
        <w:t>As of December 31, 2020,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84" w:lineRule="exact"/>
        <w:rPr>
          <w:sz w:val="20"/>
          <w:szCs w:val="20"/>
          <w:color w:val="auto"/>
        </w:rPr>
      </w:pPr>
    </w:p>
    <w:p>
      <w:pPr>
        <w:ind w:right="100" w:firstLine="416"/>
        <w:spacing w:after="0" w:line="293" w:lineRule="auto"/>
        <w:rPr>
          <w:sz w:val="20"/>
          <w:szCs w:val="20"/>
          <w:color w:val="auto"/>
        </w:rPr>
      </w:pPr>
      <w:r>
        <w:rPr>
          <w:rFonts w:ascii="Arial" w:cs="Arial" w:eastAsia="Arial" w:hAnsi="Arial"/>
          <w:sz w:val="16"/>
          <w:szCs w:val="16"/>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3"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2" w:lineRule="exact"/>
        <w:rPr>
          <w:sz w:val="20"/>
          <w:szCs w:val="20"/>
          <w:color w:val="auto"/>
        </w:rPr>
      </w:pPr>
    </w:p>
    <w:p>
      <w:pPr>
        <w:ind w:right="60" w:firstLine="416"/>
        <w:spacing w:after="0" w:line="269" w:lineRule="auto"/>
        <w:rPr>
          <w:sz w:val="20"/>
          <w:szCs w:val="20"/>
          <w:color w:val="auto"/>
        </w:rPr>
      </w:pPr>
      <w:r>
        <w:rPr>
          <w:rFonts w:ascii="Arial" w:cs="Arial" w:eastAsia="Arial" w:hAnsi="Arial"/>
          <w:sz w:val="17"/>
          <w:szCs w:val="17"/>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March 12, 2021, the common stock will have 100% of the voting power, but if the holders of non-voting common stock were to convert all of their shares into common stock, the prior common stock would have 75.5% of the voting power, and the former non-voting common stock would represent 24.5%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6" w:name="page107"/>
    <w:bookmarkEnd w:id="106"/>
    <w:p>
      <w:pPr>
        <w:ind w:left="420" w:right="4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ind w:right="100" w:firstLine="416"/>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Annual Report on Form 10-K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Annual Report on Form 10-K.</w:t>
      </w:r>
    </w:p>
    <w:p>
      <w:pPr>
        <w:spacing w:after="0" w:line="192"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Annual Report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2"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5" w:lineRule="exact"/>
        <w:rPr>
          <w:sz w:val="20"/>
          <w:szCs w:val="20"/>
          <w:color w:val="auto"/>
        </w:rPr>
      </w:pPr>
    </w:p>
    <w:p>
      <w:pPr>
        <w:ind w:right="60" w:firstLine="416"/>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73" w:lineRule="exact"/>
        <w:rPr>
          <w:sz w:val="20"/>
          <w:szCs w:val="20"/>
          <w:color w:val="auto"/>
        </w:rPr>
      </w:pPr>
    </w:p>
    <w:p>
      <w:pPr>
        <w:ind w:left="420" w:right="10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38" w:lineRule="exact"/>
        <w:rPr>
          <w:sz w:val="20"/>
          <w:szCs w:val="20"/>
          <w:color w:val="auto"/>
        </w:rPr>
      </w:pPr>
    </w:p>
    <w:p>
      <w:pPr>
        <w:ind w:right="60" w:firstLine="416"/>
        <w:spacing w:after="0" w:line="277"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7" w:name="page108"/>
    <w:bookmarkEnd w:id="107"/>
    <w:p>
      <w:pPr>
        <w:ind w:right="540"/>
        <w:spacing w:after="0" w:line="277" w:lineRule="auto"/>
        <w:rPr>
          <w:sz w:val="20"/>
          <w:szCs w:val="20"/>
          <w:color w:val="auto"/>
        </w:rPr>
      </w:pPr>
      <w:r>
        <w:rPr>
          <w:rFonts w:ascii="Arial" w:cs="Arial" w:eastAsia="Arial" w:hAnsi="Arial"/>
          <w:sz w:val="18"/>
          <w:szCs w:val="18"/>
          <w:color w:val="auto"/>
        </w:rPr>
        <w:t>nominated by current members of our board of directors or take other corporate actions, including effecting changes in our management. These provisions:</w:t>
      </w:r>
    </w:p>
    <w:p>
      <w:pPr>
        <w:spacing w:after="0" w:line="35" w:lineRule="exact"/>
        <w:rPr>
          <w:sz w:val="20"/>
          <w:szCs w:val="20"/>
          <w:color w:val="auto"/>
        </w:rPr>
      </w:pPr>
    </w:p>
    <w:p>
      <w:pPr>
        <w:ind w:left="820" w:hanging="407"/>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90"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authorize the issuance of “blank check” preferred stock that our board could use to implement a stockholder rights plan;</w:t>
      </w:r>
    </w:p>
    <w:p>
      <w:pPr>
        <w:spacing w:after="0" w:line="90" w:lineRule="exact"/>
        <w:rPr>
          <w:sz w:val="20"/>
          <w:szCs w:val="20"/>
          <w:color w:val="auto"/>
        </w:rPr>
      </w:pPr>
    </w:p>
    <w:p>
      <w:pPr>
        <w:ind w:left="820" w:hanging="407"/>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820" w:right="460" w:hanging="407"/>
        <w:spacing w:after="0" w:line="277"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43" w:lineRule="exact"/>
        <w:rPr>
          <w:sz w:val="20"/>
          <w:szCs w:val="20"/>
          <w:color w:val="auto"/>
        </w:rPr>
      </w:pPr>
    </w:p>
    <w:p>
      <w:pPr>
        <w:ind w:right="20" w:firstLine="416"/>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65" w:lineRule="exact"/>
        <w:rPr>
          <w:sz w:val="20"/>
          <w:szCs w:val="20"/>
          <w:color w:val="auto"/>
        </w:rPr>
      </w:pPr>
    </w:p>
    <w:p>
      <w:pPr>
        <w:ind w:left="420" w:right="100"/>
        <w:spacing w:after="0" w:line="356" w:lineRule="auto"/>
        <w:rPr>
          <w:sz w:val="20"/>
          <w:szCs w:val="20"/>
          <w:color w:val="auto"/>
        </w:rPr>
      </w:pPr>
      <w:r>
        <w:rPr>
          <w:rFonts w:ascii="Arial" w:cs="Arial" w:eastAsia="Arial" w:hAnsi="Arial"/>
          <w:sz w:val="15"/>
          <w:szCs w:val="15"/>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1"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49" w:lineRule="exact"/>
        <w:rPr>
          <w:sz w:val="20"/>
          <w:szCs w:val="20"/>
          <w:color w:val="auto"/>
        </w:rPr>
      </w:pPr>
    </w:p>
    <w:p>
      <w:pPr>
        <w:ind w:right="60" w:firstLine="416"/>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30"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ind w:right="40" w:firstLine="416"/>
        <w:spacing w:after="0" w:line="277"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8" w:name="page109"/>
    <w:bookmarkEnd w:id="108"/>
    <w:p>
      <w:pPr>
        <w:spacing w:after="0" w:line="342" w:lineRule="auto"/>
        <w:rPr>
          <w:sz w:val="20"/>
          <w:szCs w:val="20"/>
          <w:color w:val="auto"/>
        </w:rPr>
      </w:pPr>
      <w:r>
        <w:rPr>
          <w:rFonts w:ascii="Arial" w:cs="Arial" w:eastAsia="Arial" w:hAnsi="Arial"/>
          <w:sz w:val="16"/>
          <w:szCs w:val="16"/>
          <w:color w:val="auto"/>
        </w:rPr>
        <w:t>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194" w:lineRule="exact"/>
        <w:rPr>
          <w:sz w:val="20"/>
          <w:szCs w:val="20"/>
          <w:color w:val="auto"/>
        </w:rPr>
      </w:pPr>
    </w:p>
    <w:p>
      <w:pPr>
        <w:ind w:right="320" w:firstLine="416"/>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14"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2" w:lineRule="exact"/>
        <w:rPr>
          <w:sz w:val="20"/>
          <w:szCs w:val="20"/>
          <w:color w:val="auto"/>
        </w:rPr>
      </w:pPr>
    </w:p>
    <w:p>
      <w:pPr>
        <w:ind w:right="20" w:firstLine="416"/>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30" w:lineRule="exact"/>
        <w:rPr>
          <w:sz w:val="20"/>
          <w:szCs w:val="20"/>
          <w:color w:val="auto"/>
        </w:rPr>
      </w:pPr>
    </w:p>
    <w:p>
      <w:pPr>
        <w:ind w:right="20" w:firstLine="416"/>
        <w:spacing w:after="0" w:line="268"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 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the Nasdaq Global Select Market.</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9" w:name="page110"/>
    <w:bookmarkEnd w:id="109"/>
    <w:p>
      <w:pPr>
        <w:ind w:left="420" w:right="2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300" w:firstLine="416"/>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420" w:right="7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40" w:firstLine="416"/>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60" w:firstLine="416"/>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Our principal executive office is located in Wilmington, Delaware where we license a total of approximately 209,500 square feet of office and laboratory space that we use for our administrative, research and development and other activities. The license expires on December 31, 2022 and we have an option to renew the license for an additional 12 months thereafter. We also have a right of first offer in connection with certain licensable additional space in this building that becomes vacant prior to October 31, 2021.</w:t>
      </w:r>
    </w:p>
    <w:p>
      <w:pPr>
        <w:spacing w:after="0" w:line="146" w:lineRule="exact"/>
        <w:rPr>
          <w:sz w:val="20"/>
          <w:szCs w:val="20"/>
          <w:color w:val="auto"/>
        </w:rPr>
      </w:pPr>
    </w:p>
    <w:p>
      <w:pPr>
        <w:jc w:val="both"/>
        <w:ind w:firstLine="416"/>
        <w:spacing w:after="0" w:line="263" w:lineRule="auto"/>
        <w:rPr>
          <w:sz w:val="20"/>
          <w:szCs w:val="20"/>
          <w:color w:val="auto"/>
        </w:rPr>
      </w:pPr>
      <w:r>
        <w:rPr>
          <w:rFonts w:ascii="Arial" w:cs="Arial" w:eastAsia="Arial" w:hAnsi="Arial"/>
          <w:sz w:val="18"/>
          <w:szCs w:val="18"/>
          <w:color w:val="auto"/>
        </w:rPr>
        <w:t>Additionally, we have a development and operations office located in Wilmington, Delaware where we lease a total of approximately 5,000 square feet of office space. The lease under this building expires on March 31, 2021. We believe that our facilities are sufficient to meet our current needs and that suitable additional space will be available as and when needed.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380" w:right="1900" w:hanging="373"/>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85"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Our common stock has been listed on The Nasdaq Global Market under the symbol “PRLD” since September 25, 2020. Prior to that there was no public trading market for our common stock.</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ind w:right="220" w:firstLine="374"/>
        <w:spacing w:after="0" w:line="311" w:lineRule="auto"/>
        <w:rPr>
          <w:sz w:val="20"/>
          <w:szCs w:val="20"/>
          <w:color w:val="auto"/>
        </w:rPr>
      </w:pPr>
      <w:r>
        <w:rPr>
          <w:rFonts w:ascii="Arial" w:cs="Arial" w:eastAsia="Arial" w:hAnsi="Arial"/>
          <w:sz w:val="16"/>
          <w:szCs w:val="16"/>
          <w:color w:val="auto"/>
        </w:rPr>
        <w:t>As of March 12, 2021, there were approximately 29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80" w:firstLine="374"/>
        <w:spacing w:after="0" w:line="279" w:lineRule="auto"/>
        <w:rPr>
          <w:sz w:val="20"/>
          <w:szCs w:val="20"/>
          <w:color w:val="auto"/>
        </w:rPr>
      </w:pPr>
      <w:r>
        <w:rPr>
          <w:rFonts w:ascii="Arial" w:cs="Arial" w:eastAsia="Arial" w:hAnsi="Arial"/>
          <w:sz w:val="17"/>
          <w:szCs w:val="17"/>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From January 1, 2020 through December 31, 2020, we sold and issued the following unregistered securities, which share numbers have been adjusted, as appropriate, to reflect the 1.1566-to-1 reverse stock split which became effective on September 18, 2020:</w:t>
      </w:r>
    </w:p>
    <w:p>
      <w:pPr>
        <w:spacing w:after="0" w:line="143" w:lineRule="exact"/>
        <w:rPr>
          <w:sz w:val="20"/>
          <w:szCs w:val="20"/>
          <w:color w:val="auto"/>
        </w:rPr>
      </w:pPr>
    </w:p>
    <w:p>
      <w:pPr>
        <w:ind w:left="740" w:right="160" w:hanging="368"/>
        <w:spacing w:after="0" w:line="279" w:lineRule="auto"/>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filing our registration statement on Form S-8 in 2020, we granted options to our directors, officers, employees and consultants to purchase an aggregate of 5,026,431 shares of common stock under our 2016 Plan with per share exercise prices ranging from $1.89 to $19.00. The issuances of the securities described above were deemed to be exempt from registration pursuant to Section 4(a)(2) of the Securities Act or Rule 701 promulgated under the Securities Act as transactions pursuant to compensatory benefit plans.</w:t>
      </w:r>
    </w:p>
    <w:p>
      <w:pPr>
        <w:spacing w:after="0" w:line="130" w:lineRule="exact"/>
        <w:rPr>
          <w:rFonts w:ascii="Arial" w:cs="Arial" w:eastAsia="Arial" w:hAnsi="Arial"/>
          <w:sz w:val="17"/>
          <w:szCs w:val="17"/>
          <w:color w:val="auto"/>
        </w:rPr>
      </w:pPr>
    </w:p>
    <w:p>
      <w:pPr>
        <w:ind w:left="740" w:right="60" w:hanging="368"/>
        <w:spacing w:after="0" w:line="25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May 2019 and March 2020, we issued and sold to six accredited investors an aggregate of 15,257,692 shares of Series B convertible preferred stock at a purchase price of $3.9325 per share, for aggregate consideration of approximately $60.0 million. These shares of Series B convertible preferred stock converted into 15,257,692 shares of our common stock or non-voting common stock. This transaction was exempt from the registration requirements of the Securities Act in reliance upon Section 4(2) of the Securities Act or Regulation D promulgated under the Securities Act.</w:t>
      </w:r>
    </w:p>
    <w:p>
      <w:pPr>
        <w:spacing w:after="0" w:line="147" w:lineRule="exact"/>
        <w:rPr>
          <w:rFonts w:ascii="Arial" w:cs="Arial" w:eastAsia="Arial" w:hAnsi="Arial"/>
          <w:sz w:val="18"/>
          <w:szCs w:val="18"/>
          <w:color w:val="auto"/>
        </w:rPr>
      </w:pPr>
    </w:p>
    <w:p>
      <w:pPr>
        <w:ind w:left="740" w:right="60" w:hanging="368"/>
        <w:spacing w:after="0" w:line="301" w:lineRule="auto"/>
        <w:tabs>
          <w:tab w:leader="none" w:pos="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August 2020, we issued and sold to seven accredited investors an aggregate of 3,443,612 shares of Series C convertible preferred stock at a purchase price of $14.5197 per share, for aggregate consideration of approximately $50.0 million. These shares of Series C convertible preferred stock converted into 3,443,612 shares of our common stock or non-voting common stock. This transaction was exempt from the registration requirements of the Securities Act in reliance upon Section 4(2) of the Securities Act or Regulation D promulgated under the Securities Act.</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02" w:lineRule="exact"/>
        <w:rPr>
          <w:sz w:val="20"/>
          <w:szCs w:val="20"/>
          <w:color w:val="auto"/>
        </w:rPr>
      </w:pPr>
    </w:p>
    <w:p>
      <w:pPr>
        <w:ind w:right="60" w:firstLine="374"/>
        <w:spacing w:after="0" w:line="220" w:lineRule="exact"/>
        <w:rPr>
          <w:sz w:val="20"/>
          <w:szCs w:val="20"/>
          <w:color w:val="auto"/>
        </w:rPr>
      </w:pPr>
      <w:r>
        <w:rPr>
          <w:rFonts w:ascii="Arial" w:cs="Arial" w:eastAsia="Arial" w:hAnsi="Arial"/>
          <w:sz w:val="18"/>
          <w:szCs w:val="18"/>
          <w:color w:val="auto"/>
        </w:rPr>
        <w:t>On September 29, 2020, we completed our IPO and sold 9,573,750 shares of common stock at an IPO price of $19.00 per share. The offer and sale of all of the shares in the IPO were registered under the Securities Act pursuant to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248628), which was declared effective by the SEC on September 24, 2020. No additional shares were registered.</w:t>
      </w:r>
    </w:p>
    <w:p>
      <w:pPr>
        <w:spacing w:after="0" w:line="164"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We received net proceeds from the IPO of approximately $166.6 million, after deducting underwriting discounts and commissions and offering costs. Morgan Stanley &amp; Co. LLC, Goldman Sachs &amp; Co. LLC and BofA Securities, Inc. acted as joint book-running managers of the offering and as representatives of the underwriters. None of the expenses associated with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the IPO were paid to directors, officers, persons owning 10% or more of any class of equity securities, or to their associates, or to our affiliates.</w:t>
      </w:r>
    </w:p>
    <w:p>
      <w:pPr>
        <w:spacing w:after="0" w:line="208"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139" w:lineRule="exact"/>
        <w:rPr>
          <w:sz w:val="20"/>
          <w:szCs w:val="20"/>
          <w:color w:val="auto"/>
        </w:rPr>
      </w:pPr>
    </w:p>
    <w:p>
      <w:pPr>
        <w:ind w:left="380" w:right="4800"/>
        <w:spacing w:after="0" w:line="485"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a Smaller Reporting Company, we have elected not to include Selected Financial Data pursuant to Item 301(c) of Regulation S-K.</w:t>
      </w:r>
    </w:p>
    <w:p>
      <w:pPr>
        <w:spacing w:after="0" w:line="200" w:lineRule="exact"/>
        <w:rPr>
          <w:sz w:val="20"/>
          <w:szCs w:val="20"/>
          <w:color w:val="auto"/>
        </w:rPr>
      </w:pPr>
    </w:p>
    <w:p>
      <w:pPr>
        <w:spacing w:after="0" w:line="3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60"/>
          </w:cols>
          <w:pgMar w:left="320" w:top="341" w:right="10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Form 10-K. Some of the information contained in this discussion and analysis contains forward-looking statements that involve risks and uncertainties. You should review the section titled “Risk Factors” in this Form 10-K for a discussion of important factors that could cause actual results to differ materially from the results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four investigational new drug applications, or INDs, and successfully advanced three of these programs into clinical development, with the fourth expected to begin clinical development in the first half of 2021. In addition, we have three unique programs in various stages of preclinical development that we plan to advance into clinical development beginning in 2021.</w:t>
      </w:r>
    </w:p>
    <w:p>
      <w:pPr>
        <w:spacing w:after="0" w:line="19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9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an ongoing confirmed complete response, or CR, in a patient with HRD+ high grade serous ovarian cancer through nine months of therapy. A complete response is defined as the disappearance of all target lesions. We will need to enroll and demonstrate objective responses in additional patients to support further development and potential approval by the FDA or other regulatory authorities, and while such approval is not guaranteed, we are encouraged by the clinical activity as of the date of this Annual Report on Form 10-K. We have recently completed the dose escalation portion of the trial. The dose expansion portion of the Phase 1 trial is open for the patient cohort with adenoid cystic carcinoma and we now expect to begin patient enrollment into additional solid tumor and myeloid malignancies expansion cohorts early in the second quarter of 2021. We anticipate presenting initial clinical data from the trial at medical meetings in the second half of 2021.</w:t>
      </w:r>
    </w:p>
    <w:p>
      <w:pPr>
        <w:spacing w:after="0" w:line="21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also advancing PRT811, a second PRMT5 inhibitor that we have optimized for high brain exposure, in a Phase 1 clinical trial in solid tumors, including GBM. As of the date of this Annual Report on Form 10-K, the trial has demonstrated early signs of clinical activity and tolerability. The previously disclosed refractory GBM patient whose tumor had demonstrated a 66% reduction on monotherapy PRT811 subsequently underwent a follow-up MRI at week 18 and the regression has improved to 77% from baseline, confirming a partial response, or PR, per RANO (response assessment in neuro-oncology) criteria. We expect to begin enrolling patients in the expansion portion of the Phase 1 clinical trial by mid-2021 and anticipate obtaining initial clinical data from this trial by the end of 2021.</w:t>
      </w:r>
    </w:p>
    <w:p>
      <w:pPr>
        <w:spacing w:after="0" w:line="19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ind w:right="60"/>
        <w:spacing w:after="0" w:line="259" w:lineRule="auto"/>
        <w:rPr>
          <w:sz w:val="20"/>
          <w:szCs w:val="20"/>
          <w:color w:val="auto"/>
        </w:rPr>
      </w:pPr>
      <w:r>
        <w:rPr>
          <w:rFonts w:ascii="Arial" w:cs="Arial" w:eastAsia="Arial" w:hAnsi="Arial"/>
          <w:sz w:val="18"/>
          <w:szCs w:val="18"/>
          <w:color w:val="auto"/>
        </w:rPr>
        <w:t>leukemia, or AML, non-Hodgkin’s lymphoma, or NHL, and multiple myeloma, or MM, into the Phase 1 clinical trial for the oral formulation of PRT1419. We expect to add dose expansion and combination cohorts to this Phase 1 clinical trial in the second half of 2021. Additionally, the FDA recently cleared our IND for an instravenous (IV) formulation of PRT1419. A Phase 1 trial of the IV formulation, which leverages the optimized physicochemical properties of MRT1419, is expected to commence in the first half of 2021 in patients with solid tumors.</w:t>
      </w:r>
    </w:p>
    <w:p>
      <w:pPr>
        <w:spacing w:after="0" w:line="187" w:lineRule="exact"/>
        <w:rPr>
          <w:sz w:val="20"/>
          <w:szCs w:val="20"/>
          <w:color w:val="auto"/>
        </w:rPr>
      </w:pPr>
    </w:p>
    <w:p>
      <w:pPr>
        <w:ind w:right="40" w:firstLine="478"/>
        <w:spacing w:after="0" w:line="268" w:lineRule="auto"/>
        <w:rPr>
          <w:sz w:val="20"/>
          <w:szCs w:val="20"/>
          <w:color w:val="auto"/>
        </w:rPr>
      </w:pPr>
      <w:r>
        <w:rPr>
          <w:rFonts w:ascii="Arial" w:cs="Arial" w:eastAsia="Arial" w:hAnsi="Arial"/>
          <w:sz w:val="17"/>
          <w:szCs w:val="17"/>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$56.9 million and $27.6 million for the years ended December 31, 2020 and 2019, respectively. As of December 31, 2020, we had an accumulated deficit of $107.4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84" w:lineRule="exact"/>
        <w:rPr>
          <w:sz w:val="20"/>
          <w:szCs w:val="20"/>
          <w:color w:val="auto"/>
        </w:rPr>
      </w:pPr>
    </w:p>
    <w:p>
      <w:pPr>
        <w:ind w:right="20" w:firstLine="478"/>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jc w:val="both"/>
        <w:ind w:right="140" w:firstLine="478"/>
        <w:spacing w:after="0" w:line="263" w:lineRule="auto"/>
        <w:rPr>
          <w:sz w:val="20"/>
          <w:szCs w:val="20"/>
          <w:color w:val="auto"/>
        </w:rPr>
      </w:pPr>
      <w:r>
        <w:rPr>
          <w:rFonts w:ascii="Arial" w:cs="Arial" w:eastAsia="Arial" w:hAnsi="Arial"/>
          <w:sz w:val="18"/>
          <w:szCs w:val="18"/>
          <w:color w:val="auto"/>
        </w:rPr>
        <w:t>As of December 31, 2020, we had $218.3 million in cash and cash equivalents. We expect our existing cash and cash equivalents, together with the net proceeds of $161.4 million from the sale of our common stock in January 2021, will enable us to fund our operating expense and capital expenditures into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17"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We are continuing to proactively monitor and assess the current coronavirus disease 2019, or COVID-19, global pandemic. Since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478"/>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5" w:name="page116"/>
    <w:bookmarkEnd w:id="115"/>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as incurred, including:</w:t>
      </w:r>
    </w:p>
    <w:p>
      <w:pPr>
        <w:spacing w:after="0" w:line="103" w:lineRule="exact"/>
        <w:rPr>
          <w:sz w:val="20"/>
          <w:szCs w:val="20"/>
          <w:color w:val="auto"/>
        </w:rPr>
      </w:pPr>
    </w:p>
    <w:p>
      <w:pPr>
        <w:ind w:left="960" w:right="20" w:hanging="480"/>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62" w:lineRule="exact"/>
        <w:rPr>
          <w:rFonts w:ascii="Arial" w:cs="Arial" w:eastAsia="Arial" w:hAnsi="Arial"/>
          <w:sz w:val="18"/>
          <w:szCs w:val="18"/>
          <w:color w:val="auto"/>
        </w:rPr>
      </w:pPr>
    </w:p>
    <w:p>
      <w:pPr>
        <w:ind w:left="960" w:right="880" w:hanging="480"/>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62" w:lineRule="exact"/>
        <w:rPr>
          <w:rFonts w:ascii="Arial" w:cs="Arial" w:eastAsia="Arial" w:hAnsi="Arial"/>
          <w:sz w:val="18"/>
          <w:szCs w:val="18"/>
          <w:color w:val="auto"/>
        </w:rPr>
      </w:pPr>
    </w:p>
    <w:p>
      <w:pPr>
        <w:ind w:left="960" w:right="400" w:hanging="480"/>
        <w:spacing w:after="0" w:line="342" w:lineRule="auto"/>
        <w:tabs>
          <w:tab w:leader="none" w:pos="9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5" w:lineRule="exact"/>
        <w:rPr>
          <w:rFonts w:ascii="Arial" w:cs="Arial" w:eastAsia="Arial" w:hAnsi="Arial"/>
          <w:sz w:val="16"/>
          <w:szCs w:val="16"/>
          <w:color w:val="auto"/>
        </w:rPr>
      </w:pPr>
    </w:p>
    <w:p>
      <w:pPr>
        <w:ind w:left="960" w:right="40" w:hanging="480"/>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right="100" w:firstLine="478"/>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57" w:lineRule="exact"/>
        <w:rPr>
          <w:sz w:val="20"/>
          <w:szCs w:val="20"/>
          <w:color w:val="auto"/>
        </w:rPr>
      </w:pPr>
    </w:p>
    <w:p>
      <w:pPr>
        <w:ind w:right="160" w:firstLine="478"/>
        <w:spacing w:after="0" w:line="293" w:lineRule="auto"/>
        <w:rPr>
          <w:sz w:val="20"/>
          <w:szCs w:val="20"/>
          <w:color w:val="auto"/>
        </w:rPr>
      </w:pPr>
      <w:r>
        <w:rPr>
          <w:rFonts w:ascii="Arial" w:cs="Arial" w:eastAsia="Arial" w:hAnsi="Arial"/>
          <w:sz w:val="16"/>
          <w:szCs w:val="16"/>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80" w:firstLine="478"/>
        <w:spacing w:after="0" w:line="277" w:lineRule="auto"/>
        <w:rPr>
          <w:sz w:val="20"/>
          <w:szCs w:val="20"/>
          <w:color w:val="auto"/>
        </w:rPr>
      </w:pPr>
      <w:r>
        <w:rPr>
          <w:rFonts w:ascii="Arial" w:cs="Arial" w:eastAsia="Arial" w:hAnsi="Arial"/>
          <w:sz w:val="18"/>
          <w:szCs w:val="18"/>
          <w:color w:val="auto"/>
        </w:rPr>
        <w:t>Other income, net consists primarily of interest earned on our cash equivalents and grant income received from the State of Delaware. We anticipate re-applying for the grant from the State of Delaware from time to time as long as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ind w:right="160"/>
        <w:spacing w:after="0" w:line="277" w:lineRule="auto"/>
        <w:rPr>
          <w:sz w:val="20"/>
          <w:szCs w:val="20"/>
          <w:color w:val="auto"/>
        </w:rPr>
      </w:pPr>
      <w:r>
        <w:rPr>
          <w:rFonts w:ascii="Arial" w:cs="Arial" w:eastAsia="Arial" w:hAnsi="Arial"/>
          <w:sz w:val="18"/>
          <w:szCs w:val="18"/>
          <w:color w:val="auto"/>
        </w:rPr>
        <w:t>maintain qualifying headcount levels in the State of Delaware. We expect our interest income, net to increase due to our investment of cash received from the sale of common stock.</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years ended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48,177</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24,279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firstLine="478"/>
        <w:spacing w:after="0" w:line="291" w:lineRule="auto"/>
        <w:rPr>
          <w:sz w:val="20"/>
          <w:szCs w:val="20"/>
          <w:color w:val="auto"/>
        </w:rPr>
      </w:pPr>
      <w:r>
        <w:rPr>
          <w:rFonts w:ascii="Arial" w:cs="Arial" w:eastAsia="Arial" w:hAnsi="Arial"/>
          <w:sz w:val="16"/>
          <w:szCs w:val="16"/>
          <w:color w:val="auto"/>
        </w:rPr>
        <w:t>Research and development expenses increased by $23.9 million to $48.2 million for the year ended December 31, 2020 from $24.3 million for the year ended December 31, 2019. The increase was mainly due to increased clinical research costs for the PRT543 and PRT811 clinical trials and increased costs associated with the initiation of the clinical trial for PRT1419, which began in the third quarter of 2020. We also incurred an increase in chemistry, manufacturing and other costs for those trials.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PRT543</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10,641</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PRT811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PRT1419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General and administrative expenses increased by $6.8 million to $10.6 million for the year ended December 31, 2020 from $3.8 million for the year ended December 31, 2019. The increase was primarily due to an increase in personnel related expense due to increases in employee headcount and an increase in our professional fees as we expanded our operations to support our research and development efforts and incurred additional costs as we began operating as a public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income, net increased by $1.3 million to $1.8 million for the year ended December 31, 2020 from $0.5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primarily due to the receipt and recognition of a research and development tax credit from the State of Delaware in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as well as additional interest earned on the investment of our cash proceeds.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78"/>
        <w:spacing w:after="0" w:line="293" w:lineRule="auto"/>
        <w:rPr>
          <w:sz w:val="20"/>
          <w:szCs w:val="20"/>
          <w:color w:val="auto"/>
        </w:rPr>
      </w:pPr>
      <w:r>
        <w:rPr>
          <w:rFonts w:ascii="Arial" w:cs="Arial" w:eastAsia="Arial" w:hAnsi="Arial"/>
          <w:sz w:val="16"/>
          <w:szCs w:val="16"/>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December 31, 2020, we had $218.3 million in cash and cash equivalents and had an accumulated deficit of $107.4 million. We expect our existing cash and cash equivalents, together with the net proceeds of $161.4 million from the sale of our common stock in January 2021, will enable us to fund our operating expense and capital expenditures into 2023. We have based these estimates on assumptions that may prove to be imprecise, and we could utilize our available capital resources sooner than we expect.</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20" w:firstLine="478"/>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960" w:hanging="480"/>
        <w:spacing w:after="0"/>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scope, timing, progress and results of discovery, preclinical development, laboratory testing and clinical trials for our product candidates;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8" w:lineRule="exact"/>
        <w:rPr>
          <w:rFonts w:ascii="Arial" w:cs="Arial" w:eastAsia="Arial" w:hAnsi="Arial"/>
          <w:sz w:val="17"/>
          <w:szCs w:val="17"/>
          <w:color w:val="auto"/>
        </w:rPr>
      </w:pPr>
    </w:p>
    <w:p>
      <w:pPr>
        <w:ind w:left="960" w:right="340" w:hanging="480"/>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62" w:lineRule="exact"/>
        <w:rPr>
          <w:rFonts w:ascii="Arial" w:cs="Arial" w:eastAsia="Arial" w:hAnsi="Arial"/>
          <w:sz w:val="18"/>
          <w:szCs w:val="18"/>
          <w:color w:val="auto"/>
        </w:rPr>
      </w:pPr>
    </w:p>
    <w:p>
      <w:pPr>
        <w:ind w:left="960" w:right="320" w:hanging="480"/>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7"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w:t>
      </w:r>
    </w:p>
    <w:p>
      <w:pPr>
        <w:spacing w:after="0" w:line="248" w:lineRule="exact"/>
        <w:rPr>
          <w:sz w:val="20"/>
          <w:szCs w:val="20"/>
          <w:color w:val="auto"/>
        </w:rPr>
      </w:pPr>
    </w:p>
    <w:p>
      <w:pPr>
        <w:ind w:right="100" w:firstLine="478"/>
        <w:spacing w:after="0" w:line="259"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8" w:name="page119"/>
    <w:bookmarkEnd w:id="118"/>
    <w:p>
      <w:pPr>
        <w:ind w:firstLine="478"/>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246,228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199,430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478"/>
        <w:spacing w:after="0" w:line="259" w:lineRule="auto"/>
        <w:rPr>
          <w:sz w:val="20"/>
          <w:szCs w:val="20"/>
          <w:color w:val="auto"/>
        </w:rPr>
      </w:pPr>
      <w:r>
        <w:rPr>
          <w:rFonts w:ascii="Arial" w:cs="Arial" w:eastAsia="Arial" w:hAnsi="Arial"/>
          <w:sz w:val="18"/>
          <w:szCs w:val="18"/>
          <w:color w:val="auto"/>
        </w:rPr>
        <w:t>During the year ended December 31, 2020, we used $46.2 million of cash in operating activities. Cash used in operating activities reflected our net loss of $56.9 million, offset by a $4.6 million net decrease in our operating assets and liabilities and noncash charges of $6.1 million, which consisted of $0.5 million in depreciation and amortization and $5.6 million in stock-based compensation. The primary use of cash was to fund our operations related to the development of our product candidates.</w:t>
      </w:r>
    </w:p>
    <w:p>
      <w:pPr>
        <w:spacing w:after="0" w:line="187" w:lineRule="exact"/>
        <w:rPr>
          <w:sz w:val="20"/>
          <w:szCs w:val="20"/>
          <w:color w:val="auto"/>
        </w:rPr>
      </w:pPr>
    </w:p>
    <w:p>
      <w:pPr>
        <w:ind w:right="120" w:firstLine="478"/>
        <w:spacing w:after="0" w:line="259" w:lineRule="auto"/>
        <w:rPr>
          <w:sz w:val="20"/>
          <w:szCs w:val="20"/>
          <w:color w:val="auto"/>
        </w:rPr>
      </w:pPr>
      <w:r>
        <w:rPr>
          <w:rFonts w:ascii="Arial" w:cs="Arial" w:eastAsia="Arial" w:hAnsi="Arial"/>
          <w:sz w:val="18"/>
          <w:szCs w:val="18"/>
          <w:color w:val="auto"/>
        </w:rPr>
        <w:t>During the year ended December 31, 2019, we used $25.7 million of cash in operating activities. Cash used in operating activities reflected our net loss of $27.6 million, offset by a $0.7 million net decrease in our operating assets and liabilities and noncash charges of $1.2 million, which consisted of $0.4 million in depreciation and $0.8 million in stock-based compensation. The primary use of cash was to fund our operations related to the development of our product candidates.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478"/>
        <w:spacing w:after="0" w:line="277" w:lineRule="auto"/>
        <w:rPr>
          <w:sz w:val="20"/>
          <w:szCs w:val="20"/>
          <w:color w:val="auto"/>
        </w:rPr>
      </w:pPr>
      <w:r>
        <w:rPr>
          <w:rFonts w:ascii="Arial" w:cs="Arial" w:eastAsia="Arial" w:hAnsi="Arial"/>
          <w:sz w:val="18"/>
          <w:szCs w:val="18"/>
          <w:color w:val="auto"/>
        </w:rPr>
        <w:t>During the years ended December 31, 2020 and 2019, we used $0.6 million and $0.8 million of cash, respectively, for the purchase of property and equipment.</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478"/>
        <w:spacing w:after="0" w:line="259" w:lineRule="auto"/>
        <w:rPr>
          <w:sz w:val="20"/>
          <w:szCs w:val="20"/>
          <w:color w:val="auto"/>
        </w:rPr>
      </w:pPr>
      <w:r>
        <w:rPr>
          <w:rFonts w:ascii="Arial" w:cs="Arial" w:eastAsia="Arial" w:hAnsi="Arial"/>
          <w:sz w:val="18"/>
          <w:szCs w:val="18"/>
          <w:color w:val="auto"/>
        </w:rPr>
        <w:t>During the year ended December 31, 2020, financing activities provided $246.2 million. During the year ended December 31, 2020, we completed our IPO and received net cash of $166.6 million. We also received $49.8 million from the sale of our Series C convertible preferred stock, $29.9 million from the sale of our Series B convertible preferred stock and $0.1 million from the exercise of stock options. During the year ended December 31, 2020, we made $0.3 million in payments for our capital lease obligation.</w:t>
      </w:r>
    </w:p>
    <w:p>
      <w:pPr>
        <w:spacing w:after="0" w:line="79" w:lineRule="exact"/>
        <w:rPr>
          <w:sz w:val="20"/>
          <w:szCs w:val="20"/>
          <w:color w:val="auto"/>
        </w:rPr>
      </w:pPr>
    </w:p>
    <w:p>
      <w:pPr>
        <w:ind w:right="60" w:firstLine="523"/>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2019 consisted of $29.8 million from the sale of our Series B convertible preferred stock, offset by payments of $0.1 million for our capital lease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78"/>
        <w:spacing w:after="0" w:line="272"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78"/>
        <w:spacing w:after="0" w:line="279" w:lineRule="auto"/>
        <w:rPr>
          <w:sz w:val="20"/>
          <w:szCs w:val="20"/>
          <w:color w:val="auto"/>
        </w:rPr>
      </w:pPr>
      <w:r>
        <w:rPr>
          <w:rFonts w:ascii="Arial" w:cs="Arial" w:eastAsia="Arial" w:hAnsi="Arial"/>
          <w:sz w:val="18"/>
          <w:szCs w:val="18"/>
          <w:color w:val="auto"/>
        </w:rPr>
        <w:t>While our significant accounting policies are described in more detail in Note 3 to our audited financial statements included elsewhere in this Annual Report on Form 10-K, we believe the following accounting policies are the most critical to the judgments and estimates used in the preparation of our financial statements.</w:t>
      </w:r>
    </w:p>
    <w:p>
      <w:pPr>
        <w:spacing w:after="0" w:line="2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firstLine="478"/>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development of our product candidates. We expense research and development costs as incurred.</w:t>
      </w:r>
    </w:p>
    <w:p>
      <w:pPr>
        <w:spacing w:after="0" w:line="170" w:lineRule="exact"/>
        <w:rPr>
          <w:sz w:val="20"/>
          <w:szCs w:val="20"/>
          <w:color w:val="auto"/>
        </w:rPr>
      </w:pPr>
    </w:p>
    <w:p>
      <w:pPr>
        <w:ind w:right="100" w:firstLine="478"/>
        <w:spacing w:after="0" w:line="257" w:lineRule="auto"/>
        <w:rPr>
          <w:sz w:val="20"/>
          <w:szCs w:val="20"/>
          <w:color w:val="auto"/>
        </w:rPr>
      </w:pPr>
      <w:r>
        <w:rPr>
          <w:rFonts w:ascii="Arial" w:cs="Arial" w:eastAsia="Arial" w:hAnsi="Arial"/>
          <w:sz w:val="18"/>
          <w:szCs w:val="18"/>
          <w:color w:val="auto"/>
        </w:rPr>
        <w:t>We accrue an expense for preclinical studies and clinical trial activities performed by our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8" w:lineRule="exact"/>
        <w:rPr>
          <w:sz w:val="20"/>
          <w:szCs w:val="20"/>
          <w:color w:val="auto"/>
        </w:rPr>
      </w:pPr>
    </w:p>
    <w:p>
      <w:pPr>
        <w:ind w:right="60" w:firstLine="478"/>
        <w:spacing w:after="0" w:line="257" w:lineRule="auto"/>
        <w:rPr>
          <w:sz w:val="20"/>
          <w:szCs w:val="20"/>
          <w:color w:val="auto"/>
        </w:rPr>
      </w:pPr>
      <w:r>
        <w:rPr>
          <w:rFonts w:ascii="Arial" w:cs="Arial" w:eastAsia="Arial" w:hAnsi="Arial"/>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1"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We recognize compensation costs related to share-based awards granted to employees and directors, including stock options and vesting restricted stock, based on the estimated fair value of the awards on the date of grant. We estimate the grant date fair value,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87" w:lineRule="exact"/>
        <w:rPr>
          <w:sz w:val="20"/>
          <w:szCs w:val="20"/>
          <w:color w:val="auto"/>
        </w:rPr>
      </w:pPr>
    </w:p>
    <w:p>
      <w:pPr>
        <w:ind w:firstLine="478"/>
        <w:spacing w:after="0" w:line="275" w:lineRule="auto"/>
        <w:rPr>
          <w:sz w:val="20"/>
          <w:szCs w:val="20"/>
          <w:color w:val="auto"/>
        </w:rPr>
      </w:pPr>
      <w:r>
        <w:rPr>
          <w:rFonts w:ascii="Arial" w:cs="Arial" w:eastAsia="Arial" w:hAnsi="Arial"/>
          <w:sz w:val="17"/>
          <w:szCs w:val="17"/>
          <w:color w:val="auto"/>
        </w:rPr>
        <w:t>We estimate the fair value of stock options using the Black-Scholes option-pricing model, which requires assumptions, including the fair value of our common stock prior to the IPO,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ind w:left="480"/>
        <w:spacing w:after="0"/>
        <w:rPr>
          <w:sz w:val="20"/>
          <w:szCs w:val="20"/>
          <w:color w:val="auto"/>
        </w:rPr>
      </w:pPr>
      <w:r>
        <w:rPr>
          <w:rFonts w:ascii="Arial" w:cs="Arial" w:eastAsia="Arial" w:hAnsi="Arial"/>
          <w:sz w:val="18"/>
          <w:szCs w:val="18"/>
          <w:color w:val="auto"/>
        </w:rPr>
        <w:t>These subjective assumptions are estimated as follows:</w:t>
      </w:r>
    </w:p>
    <w:p>
      <w:pPr>
        <w:spacing w:after="0" w:line="225" w:lineRule="exact"/>
        <w:rPr>
          <w:sz w:val="20"/>
          <w:szCs w:val="20"/>
          <w:color w:val="auto"/>
        </w:rPr>
      </w:pPr>
    </w:p>
    <w:p>
      <w:pPr>
        <w:ind w:right="40" w:firstLine="478"/>
        <w:spacing w:after="0" w:line="296" w:lineRule="auto"/>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 Historically, for all periods prior to our IPO, the fair value of the shares of common stock underlying our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was estimated on each grant date by our board of directors.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Valuation of Privately-Held-Company Equity Securities Issued as Compensation, or the Practice Aid. Since becoming a public company we have used our stock price to determine fair value of our common stock.</w:t>
      </w:r>
    </w:p>
    <w:p>
      <w:pPr>
        <w:spacing w:after="0" w:line="161" w:lineRule="exact"/>
        <w:rPr>
          <w:sz w:val="20"/>
          <w:szCs w:val="20"/>
          <w:color w:val="auto"/>
        </w:rPr>
      </w:pPr>
    </w:p>
    <w:p>
      <w:pPr>
        <w:ind w:right="20" w:firstLine="478"/>
        <w:spacing w:after="0" w:line="296"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—As a privately held company we did not have any trading history for our common stock; accordingly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 traded biotechnology companies over a period equal to the expected term of the stock option grants. The comparable companies were chosen based on their similar size, stage in the life cycle or area of specialty. As a public company we have computed the historical volatility of our own stock price and will continue to use the average volatility for comparable publicly traded biotechnology companies until we have ample trading history of our own stock commensurate with the estimated expected term of our options.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180" w:firstLine="478"/>
        <w:spacing w:after="0" w:line="277" w:lineRule="auto"/>
        <w:rPr>
          <w:sz w:val="20"/>
          <w:szCs w:val="20"/>
          <w:color w:val="auto"/>
        </w:rPr>
      </w:pPr>
      <w:r>
        <w:rPr>
          <w:rFonts w:ascii="Arial" w:cs="Arial" w:eastAsia="Arial" w:hAnsi="Arial"/>
          <w:sz w:val="18"/>
          <w:szCs w:val="18"/>
          <w:color w:val="auto"/>
        </w:rPr>
        <w:t>See Note 3 to our financial statements included elsewhere in this Annual Report on Form 10-K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ind w:right="200" w:firstLine="478"/>
        <w:spacing w:after="0" w:line="286"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w:t>
      </w:r>
    </w:p>
    <w:p>
      <w:pPr>
        <w:spacing w:after="0" w:line="1" w:lineRule="exact"/>
        <w:rPr>
          <w:sz w:val="20"/>
          <w:szCs w:val="20"/>
          <w:color w:val="auto"/>
        </w:rPr>
      </w:pPr>
    </w:p>
    <w:p>
      <w:pPr>
        <w:ind w:firstLine="8"/>
        <w:spacing w:after="0" w:line="255"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0" w:lineRule="exact"/>
        <w:rPr>
          <w:sz w:val="20"/>
          <w:szCs w:val="20"/>
          <w:color w:val="auto"/>
        </w:rPr>
      </w:pPr>
    </w:p>
    <w:p>
      <w:pPr>
        <w:ind w:right="220" w:firstLine="478"/>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10500" w:type="dxa"/>
            <w:vAlign w:val="bottom"/>
          </w:tcPr>
          <w:p>
            <w:pPr>
              <w:ind w:left="4280"/>
              <w:spacing w:after="0"/>
              <w:rPr>
                <w:sz w:val="20"/>
                <w:szCs w:val="20"/>
                <w:color w:val="auto"/>
              </w:rPr>
            </w:pPr>
            <w:r>
              <w:rPr>
                <w:rFonts w:ascii="Arial" w:cs="Arial" w:eastAsia="Arial" w:hAnsi="Arial"/>
                <w:sz w:val="18"/>
                <w:szCs w:val="18"/>
                <w:b w:val="1"/>
                <w:bCs w:val="1"/>
                <w:color w:val="auto"/>
              </w:rPr>
              <w:t>INDEX TO FINANCIAL STATEMENTS</w:t>
            </w:r>
          </w:p>
        </w:tc>
        <w:tc>
          <w:tcPr>
            <w:tcW w:w="720" w:type="dxa"/>
            <w:vAlign w:val="bottom"/>
          </w:tcPr>
          <w:p>
            <w:pPr>
              <w:spacing w:after="0"/>
              <w:rPr>
                <w:sz w:val="20"/>
                <w:szCs w:val="20"/>
                <w:color w:val="auto"/>
              </w:rPr>
            </w:pPr>
          </w:p>
        </w:tc>
      </w:tr>
      <w:tr>
        <w:trPr>
          <w:trHeight w:val="445"/>
        </w:trPr>
        <w:tc>
          <w:tcPr>
            <w:tcW w:w="10500" w:type="dxa"/>
            <w:vAlign w:val="bottom"/>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Report of Independent Registered Public Accounting Firm</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65"/>
        </w:trPr>
        <w:tc>
          <w:tcPr>
            <w:tcW w:w="10500" w:type="dxa"/>
            <w:vAlign w:val="bottom"/>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Balance Sheets as of December 31, 2020 and 2019</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64"/>
        </w:trPr>
        <w:tc>
          <w:tcPr>
            <w:tcW w:w="1050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Statements of Operations for the Years ended December 31, 2020 and 2019</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64"/>
        </w:trPr>
        <w:tc>
          <w:tcPr>
            <w:tcW w:w="10500" w:type="dxa"/>
            <w:vAlign w:val="bottom"/>
          </w:tcPr>
          <w:p>
            <w:pPr>
              <w:spacing w:after="0"/>
              <w:rPr>
                <w:rFonts w:ascii="Arial" w:cs="Arial" w:eastAsia="Arial" w:hAnsi="Arial"/>
                <w:sz w:val="18"/>
                <w:szCs w:val="18"/>
                <w:u w:val="single" w:color="auto"/>
                <w:color w:val="0000EE"/>
                <w:w w:val="94"/>
              </w:rPr>
            </w:pPr>
            <w:hyperlink w:anchor="page127">
              <w:r>
                <w:rPr>
                  <w:rFonts w:ascii="Arial" w:cs="Arial" w:eastAsia="Arial" w:hAnsi="Arial"/>
                  <w:sz w:val="18"/>
                  <w:szCs w:val="18"/>
                  <w:u w:val="single" w:color="auto"/>
                  <w:color w:val="0000EE"/>
                  <w:w w:val="94"/>
                </w:rPr>
                <w:t>Statements of Changes in Convertible Preferred Stock and Stockholders’ Equity (Deficit) for the Years ended December 31, 2020 and 2019</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65"/>
        </w:trPr>
        <w:tc>
          <w:tcPr>
            <w:tcW w:w="1050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Statements of Cash Flows for the Years ended December 31, 2020 and 2019</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64"/>
        </w:trPr>
        <w:tc>
          <w:tcPr>
            <w:tcW w:w="1050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Notes to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3" w:name="page124"/>
    <w:bookmarkEnd w:id="123"/>
    <w:p>
      <w:pPr>
        <w:ind w:right="2500" w:firstLine="2535"/>
        <w:spacing w:after="0" w:line="48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Prelude Therapeutics Incorporated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40" w:firstLine="478"/>
        <w:spacing w:after="0" w:line="257" w:lineRule="auto"/>
        <w:rPr>
          <w:sz w:val="20"/>
          <w:szCs w:val="20"/>
          <w:color w:val="auto"/>
        </w:rPr>
      </w:pPr>
      <w:r>
        <w:rPr>
          <w:rFonts w:ascii="Arial" w:cs="Arial" w:eastAsia="Arial" w:hAnsi="Arial"/>
          <w:sz w:val="18"/>
          <w:szCs w:val="18"/>
          <w:color w:val="auto"/>
        </w:rPr>
        <w:t>We have audited the accompanying balance sheets of Prelude Therapeutics Incorporated (the Company) as of December 31, 2020 and 2019, the related statements of operations, changes in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firstLine="47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2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223,590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obligation</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$0.0001 par value:</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500"/>
              <w:spacing w:after="0"/>
              <w:rPr>
                <w:sz w:val="20"/>
                <w:szCs w:val="20"/>
                <w:color w:val="auto"/>
              </w:rPr>
            </w:pPr>
            <w:r>
              <w:rPr>
                <w:rFonts w:ascii="Arial" w:cs="Arial" w:eastAsia="Arial" w:hAnsi="Arial"/>
                <w:sz w:val="18"/>
                <w:szCs w:val="18"/>
                <w:color w:val="auto"/>
                <w:w w:val="91"/>
              </w:rPr>
              <w:t>Series A convertible preferred stock: No shares and 13,574,008 shares authorized at December</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500"/>
              <w:spacing w:after="0"/>
              <w:rPr>
                <w:sz w:val="20"/>
                <w:szCs w:val="20"/>
                <w:color w:val="auto"/>
              </w:rPr>
            </w:pPr>
            <w:r>
              <w:rPr>
                <w:rFonts w:ascii="Arial" w:cs="Arial" w:eastAsia="Arial" w:hAnsi="Arial"/>
                <w:sz w:val="18"/>
                <w:szCs w:val="18"/>
                <w:color w:val="auto"/>
                <w:w w:val="93"/>
              </w:rPr>
              <w:t>31, 2020 and 2019, respectively; No shares and 11,736,119 shares issued and outstanding at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500"/>
              <w:spacing w:after="0"/>
              <w:rPr>
                <w:sz w:val="20"/>
                <w:szCs w:val="20"/>
                <w:color w:val="auto"/>
              </w:rPr>
            </w:pPr>
            <w:r>
              <w:rPr>
                <w:rFonts w:ascii="Arial" w:cs="Arial" w:eastAsia="Arial" w:hAnsi="Arial"/>
                <w:sz w:val="18"/>
                <w:szCs w:val="18"/>
                <w:color w:val="auto"/>
              </w:rPr>
              <w:t>December 31, 2020 and 2019, respectively</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Series B convertible preferred stock: No shares and 18,500,000 shares authorized at December</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5"/>
              </w:rPr>
              <w:t>31, 2020 and 2019, respectively; No shares and 7,628,846 shares issued and outstanding at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December 31, 2020 and 2019, respectively</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500"/>
              <w:spacing w:after="0"/>
              <w:rPr>
                <w:sz w:val="20"/>
                <w:szCs w:val="20"/>
                <w:color w:val="auto"/>
              </w:rPr>
            </w:pPr>
            <w:r>
              <w:rPr>
                <w:rFonts w:ascii="Arial" w:cs="Arial" w:eastAsia="Arial" w:hAnsi="Arial"/>
                <w:sz w:val="18"/>
                <w:szCs w:val="18"/>
                <w:color w:val="auto"/>
                <w:w w:val="92"/>
              </w:rPr>
              <w:t>Series C convertible preferred stock: No shares authorized, issued or outstanding at December</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500"/>
              <w:spacing w:after="0"/>
              <w:rPr>
                <w:sz w:val="20"/>
                <w:szCs w:val="20"/>
                <w:color w:val="auto"/>
              </w:rPr>
            </w:pPr>
            <w:r>
              <w:rPr>
                <w:rFonts w:ascii="Arial" w:cs="Arial" w:eastAsia="Arial" w:hAnsi="Arial"/>
                <w:sz w:val="18"/>
                <w:szCs w:val="18"/>
                <w:color w:val="auto"/>
              </w:rPr>
              <w:t>31, 2020 and 2019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convertible preferred stock</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Commitments (note 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60"/>
              <w:spacing w:after="0"/>
              <w:rPr>
                <w:sz w:val="20"/>
                <w:szCs w:val="20"/>
                <w:color w:val="auto"/>
              </w:rPr>
            </w:pPr>
            <w:r>
              <w:rPr>
                <w:rFonts w:ascii="Arial" w:cs="Arial" w:eastAsia="Arial" w:hAnsi="Arial"/>
                <w:sz w:val="18"/>
                <w:szCs w:val="18"/>
                <w:color w:val="auto"/>
              </w:rPr>
              <w:t>Voting common stock, $0.0001 par value: 487,149,741 and 42,000,000 shares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80"/>
              <w:spacing w:after="0"/>
              <w:rPr>
                <w:sz w:val="20"/>
                <w:szCs w:val="20"/>
                <w:color w:val="auto"/>
              </w:rPr>
            </w:pPr>
            <w:r>
              <w:rPr>
                <w:rFonts w:ascii="Arial" w:cs="Arial" w:eastAsia="Arial" w:hAnsi="Arial"/>
                <w:sz w:val="18"/>
                <w:szCs w:val="18"/>
                <w:color w:val="auto"/>
              </w:rPr>
              <w:t>authorized at December 31, 2020 and 2019, respectively; 32,595,301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80"/>
              <w:spacing w:after="0"/>
              <w:rPr>
                <w:sz w:val="20"/>
                <w:szCs w:val="20"/>
                <w:color w:val="auto"/>
              </w:rPr>
            </w:pPr>
            <w:r>
              <w:rPr>
                <w:rFonts w:ascii="Arial" w:cs="Arial" w:eastAsia="Arial" w:hAnsi="Arial"/>
                <w:sz w:val="18"/>
                <w:szCs w:val="18"/>
                <w:color w:val="auto"/>
              </w:rPr>
              <w:t>and 3,161,653 shares issued and outstanding at December 31, 2020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380"/>
              <w:spacing w:after="0"/>
              <w:rPr>
                <w:sz w:val="20"/>
                <w:szCs w:val="20"/>
                <w:color w:val="auto"/>
              </w:rPr>
            </w:pPr>
            <w:r>
              <w:rPr>
                <w:rFonts w:ascii="Arial" w:cs="Arial" w:eastAsia="Arial" w:hAnsi="Arial"/>
                <w:sz w:val="18"/>
                <w:szCs w:val="18"/>
                <w:color w:val="auto"/>
              </w:rPr>
              <w:t>and 2019, respectively</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Non-voting common stock, $0.0001 par value: 12,850,259 and no shares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at December 31, 2020 and 2019, respectively; 11,110,371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no shares issued and outstanding at December 31, 2020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2019, respectively</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319,605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(107,426)</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(50,497)</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223,590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Pr>
          <w:p>
            <w:pPr>
              <w:spacing w:after="0"/>
              <w:rPr>
                <w:sz w:val="14"/>
                <w:szCs w:val="14"/>
                <w:color w:val="auto"/>
              </w:rPr>
            </w:pPr>
          </w:p>
        </w:tc>
        <w:tc>
          <w:tcPr>
            <w:tcW w:w="31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48,177</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Per share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(4.56)</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12,478,463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Convertible preferred stock</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Stockholders’ equity (deficit)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Non-voting common</w:t>
            </w:r>
          </w:p>
        </w:tc>
        <w:tc>
          <w:tcPr>
            <w:tcW w:w="8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Additional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right w:val="single" w:sz="8" w:color="auto"/>
            </w:tcBorders>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2"/>
                <w:szCs w:val="12"/>
                <w:color w:val="auto"/>
              </w:rPr>
            </w:pPr>
          </w:p>
        </w:tc>
        <w:tc>
          <w:tcPr>
            <w:tcW w:w="15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Voting common stock</w:t>
            </w:r>
          </w:p>
        </w:tc>
        <w:tc>
          <w:tcPr>
            <w:tcW w:w="14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right w:val="single" w:sz="8" w:color="auto"/>
            </w:tcBorders>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vMerge w:val="continue"/>
          </w:tcPr>
          <w:p>
            <w:pPr>
              <w:spacing w:after="0"/>
              <w:rPr>
                <w:sz w:val="14"/>
                <w:szCs w:val="14"/>
                <w:color w:val="auto"/>
              </w:rPr>
            </w:pPr>
          </w:p>
        </w:tc>
        <w:tc>
          <w:tcPr>
            <w:tcW w:w="860" w:type="dxa"/>
            <w:vAlign w:val="bottom"/>
            <w:gridSpan w:val="2"/>
          </w:tcPr>
          <w:p>
            <w:pPr>
              <w:jc w:val="center"/>
              <w:ind w:left="425"/>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20" w:type="dxa"/>
            <w:vAlign w:val="bottom"/>
            <w:vMerge w:val="continue"/>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Arial" w:cs="Arial" w:eastAsia="Arial" w:hAnsi="Arial"/>
                <w:sz w:val="14"/>
                <w:szCs w:val="14"/>
                <w:b w:val="1"/>
                <w:bCs w:val="1"/>
                <w:color w:val="auto"/>
              </w:rPr>
              <w:t>except</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720" w:type="dxa"/>
            <w:vAlign w:val="bottom"/>
            <w:tcBorders>
              <w:right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January 1,</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2019</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11,736,119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36,595</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2,380,270</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(22,927)</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93"/>
              </w:rPr>
              <w:t>$ (22,693)</w:t>
            </w: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Exercise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stock options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6"/>
              </w:rPr>
              <w:t>Sale of Series</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B convertible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preferred</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stock, net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 issuance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costs of $152</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7,628,846</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29,848</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w w:val="96"/>
              </w:rPr>
              <w:t>compensation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expense,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including</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issuance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restricted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stock</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awards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778,141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(27,570)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(27,570)</w:t>
            </w:r>
          </w:p>
        </w:tc>
        <w:tc>
          <w:tcPr>
            <w:tcW w:w="0" w:type="dxa"/>
            <w:vAlign w:val="bottom"/>
          </w:tcPr>
          <w:p>
            <w:pPr>
              <w:spacing w:after="0"/>
              <w:rPr>
                <w:sz w:val="1"/>
                <w:szCs w:val="1"/>
                <w:color w:val="auto"/>
              </w:rPr>
            </w:pPr>
          </w:p>
        </w:tc>
      </w:tr>
      <w:tr>
        <w:trPr>
          <w:trHeight w:val="152"/>
        </w:trPr>
        <w:tc>
          <w:tcPr>
            <w:tcW w:w="920" w:type="dxa"/>
            <w:vAlign w:val="bottom"/>
          </w:tcPr>
          <w:p>
            <w:pPr>
              <w:spacing w:after="0" w:line="152" w:lineRule="exact"/>
              <w:rPr>
                <w:sz w:val="20"/>
                <w:szCs w:val="20"/>
                <w:color w:val="auto"/>
              </w:rPr>
            </w:pPr>
            <w:r>
              <w:rPr>
                <w:rFonts w:ascii="Arial" w:cs="Arial" w:eastAsia="Arial" w:hAnsi="Arial"/>
                <w:sz w:val="15"/>
                <w:szCs w:val="15"/>
                <w:b w:val="1"/>
                <w:bCs w:val="1"/>
                <w:color w:val="auto"/>
              </w:rPr>
              <w:t>Balance at</w:t>
            </w: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b w:val="1"/>
                <w:bCs w:val="1"/>
                <w:color w:val="auto"/>
              </w:rPr>
              <w:t>December</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20"/>
                <w:szCs w:val="20"/>
                <w:color w:val="auto"/>
              </w:rPr>
            </w:pPr>
            <w:r>
              <w:rPr>
                <w:rFonts w:ascii="Arial" w:cs="Arial" w:eastAsia="Arial" w:hAnsi="Arial"/>
                <w:sz w:val="15"/>
                <w:szCs w:val="15"/>
                <w:b w:val="1"/>
                <w:bCs w:val="1"/>
                <w:color w:val="auto"/>
              </w:rPr>
              <w:t>31, 2019</w:t>
            </w:r>
          </w:p>
        </w:tc>
        <w:tc>
          <w:tcPr>
            <w:tcW w:w="800" w:type="dxa"/>
            <w:vAlign w:val="bottom"/>
          </w:tcPr>
          <w:p>
            <w:pPr>
              <w:jc w:val="right"/>
              <w:spacing w:after="0"/>
              <w:rPr>
                <w:sz w:val="20"/>
                <w:szCs w:val="20"/>
                <w:color w:val="auto"/>
              </w:rPr>
            </w:pPr>
            <w:r>
              <w:rPr>
                <w:rFonts w:ascii="Arial" w:cs="Arial" w:eastAsia="Arial" w:hAnsi="Arial"/>
                <w:sz w:val="15"/>
                <w:szCs w:val="15"/>
                <w:color w:val="auto"/>
              </w:rPr>
              <w:t>11,736,119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36,595</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7,628,846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29,848</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3,161,653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(50,497)</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(49,412)</w:t>
            </w: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Exercise 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stock options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100,545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w w:val="96"/>
              </w:rPr>
              <w:t>Sale of Series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B convertible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preferred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stock, net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of issuance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costs of $58</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7,628,846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29,942</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6"/>
              </w:rPr>
              <w:t>Sale of Series</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 convertible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preferred</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stock, net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 issuance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costs of $174</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3,443,612</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49,826</w:t>
            </w: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Conversion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preferred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stock upon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initial public</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offering</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(11,736,119)</w:t>
            </w:r>
          </w:p>
        </w:tc>
        <w:tc>
          <w:tcPr>
            <w:tcW w:w="10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(36,595)</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w w:val="98"/>
              </w:rPr>
              <w:t>(15,257,692)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(59,790)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(3,443,612)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96"/>
              </w:rPr>
              <w:t>(49,826)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5"/>
              </w:rPr>
              <w:t>19,327,052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11,110,371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146,208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146,211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Sale 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 in</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initial public</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offering, net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 issuance</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costs of</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$2,538</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9,573,750</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166,629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166,630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Stock-based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w w:val="96"/>
              </w:rPr>
              <w:t>compensation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expense,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including</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issuance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color w:val="auto"/>
              </w:rPr>
              <w:t>restricted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120"/>
              <w:spacing w:after="0" w:line="162" w:lineRule="exact"/>
              <w:rPr>
                <w:sz w:val="20"/>
                <w:szCs w:val="20"/>
                <w:color w:val="auto"/>
              </w:rPr>
            </w:pPr>
            <w:r>
              <w:rPr>
                <w:rFonts w:ascii="Arial" w:cs="Arial" w:eastAsia="Arial" w:hAnsi="Arial"/>
                <w:sz w:val="15"/>
                <w:szCs w:val="15"/>
                <w:color w:val="auto"/>
              </w:rPr>
              <w:t>stock</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5"/>
                <w:szCs w:val="15"/>
                <w:color w:val="auto"/>
              </w:rPr>
              <w:t>awards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432,301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5,583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5,583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(56,929)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(56,929)</w:t>
            </w:r>
          </w:p>
        </w:tc>
        <w:tc>
          <w:tcPr>
            <w:tcW w:w="0" w:type="dxa"/>
            <w:vAlign w:val="bottom"/>
          </w:tcPr>
          <w:p>
            <w:pPr>
              <w:spacing w:after="0"/>
              <w:rPr>
                <w:sz w:val="1"/>
                <w:szCs w:val="1"/>
                <w:color w:val="auto"/>
              </w:rPr>
            </w:pPr>
          </w:p>
        </w:tc>
      </w:tr>
      <w:tr>
        <w:trPr>
          <w:trHeight w:val="152"/>
        </w:trPr>
        <w:tc>
          <w:tcPr>
            <w:tcW w:w="920" w:type="dxa"/>
            <w:vAlign w:val="bottom"/>
          </w:tcPr>
          <w:p>
            <w:pPr>
              <w:spacing w:after="0" w:line="152" w:lineRule="exact"/>
              <w:rPr>
                <w:sz w:val="20"/>
                <w:szCs w:val="20"/>
                <w:color w:val="auto"/>
              </w:rPr>
            </w:pPr>
            <w:r>
              <w:rPr>
                <w:rFonts w:ascii="Arial" w:cs="Arial" w:eastAsia="Arial" w:hAnsi="Arial"/>
                <w:sz w:val="15"/>
                <w:szCs w:val="15"/>
                <w:b w:val="1"/>
                <w:bCs w:val="1"/>
                <w:color w:val="auto"/>
              </w:rPr>
              <w:t>Balance at</w:t>
            </w: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line="162" w:lineRule="exact"/>
              <w:rPr>
                <w:sz w:val="20"/>
                <w:szCs w:val="20"/>
                <w:color w:val="auto"/>
              </w:rPr>
            </w:pPr>
            <w:r>
              <w:rPr>
                <w:rFonts w:ascii="Arial" w:cs="Arial" w:eastAsia="Arial" w:hAnsi="Arial"/>
                <w:sz w:val="15"/>
                <w:szCs w:val="15"/>
                <w:b w:val="1"/>
                <w:bCs w:val="1"/>
                <w:color w:val="auto"/>
              </w:rPr>
              <w:t>December</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20"/>
                <w:szCs w:val="20"/>
                <w:color w:val="auto"/>
              </w:rPr>
            </w:pPr>
            <w:r>
              <w:rPr>
                <w:rFonts w:ascii="Arial" w:cs="Arial" w:eastAsia="Arial" w:hAnsi="Arial"/>
                <w:sz w:val="15"/>
                <w:szCs w:val="15"/>
                <w:b w:val="1"/>
                <w:bCs w:val="1"/>
                <w:color w:val="auto"/>
              </w:rPr>
              <w:t>31, 2020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5"/>
              </w:rPr>
              <w:t>32,595,301</w:t>
            </w:r>
          </w:p>
        </w:tc>
        <w:tc>
          <w:tcPr>
            <w:tcW w:w="1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11,110,371</w:t>
            </w:r>
          </w:p>
        </w:tc>
        <w:tc>
          <w:tcPr>
            <w:tcW w:w="1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319,605</w:t>
            </w:r>
          </w:p>
        </w:tc>
        <w:tc>
          <w:tcPr>
            <w:tcW w:w="1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1400" w:type="dxa"/>
            <w:vAlign w:val="bottom"/>
            <w:gridSpan w:val="3"/>
          </w:tcPr>
          <w:p>
            <w:pPr>
              <w:jc w:val="right"/>
              <w:spacing w:after="0"/>
              <w:rPr>
                <w:sz w:val="20"/>
                <w:szCs w:val="20"/>
                <w:color w:val="auto"/>
              </w:rPr>
            </w:pPr>
            <w:r>
              <w:rPr>
                <w:rFonts w:ascii="Arial" w:cs="Arial" w:eastAsia="Arial" w:hAnsi="Arial"/>
                <w:sz w:val="15"/>
                <w:szCs w:val="15"/>
                <w:color w:val="auto"/>
              </w:rPr>
              <w:t>(107,426) $ 212,183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53" w:right="319" w:bottom="902"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380" w:type="dxa"/>
            <w:vAlign w:val="bottom"/>
            <w:tcBorders>
              <w:bottom w:val="single" w:sz="8" w:color="CFF0FC"/>
            </w:tcBorders>
            <w:vMerge w:val="continue"/>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(56,929)</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(27,570)</w:t>
            </w: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financing activities:</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w w:val="96"/>
              </w:rPr>
              <w:t>Proceeds from the issuance of common stock upon initial public offering, net of offering costs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166,630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Series C convertible preferred stock, net of offering costs</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Proceeds from the sale of Series B convertible preferred stock, net of offering costs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offering costs associated with January 2021 offering</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Payment of capital lease obligation</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exercise of stock options</w:t>
            </w:r>
          </w:p>
        </w:tc>
        <w:tc>
          <w:tcPr>
            <w:tcW w:w="3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246,228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in accounts payable</w:t>
            </w:r>
          </w:p>
        </w:tc>
        <w:tc>
          <w:tcPr>
            <w:tcW w:w="7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3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Offering costs in accrued expenses</w:t>
            </w:r>
          </w:p>
        </w:tc>
        <w:tc>
          <w:tcPr>
            <w:tcW w:w="3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Offering costs in accounts payable</w:t>
            </w: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260"/>
              <w:spacing w:after="0"/>
              <w:rPr>
                <w:sz w:val="20"/>
                <w:szCs w:val="20"/>
                <w:color w:val="auto"/>
              </w:rPr>
            </w:pPr>
            <w:r>
              <w:rPr>
                <w:rFonts w:ascii="Arial" w:cs="Arial" w:eastAsia="Arial" w:hAnsi="Arial"/>
                <w:sz w:val="18"/>
                <w:szCs w:val="18"/>
                <w:color w:val="auto"/>
                <w:w w:val="98"/>
              </w:rPr>
              <w:t>Issuance of capital lease obligation in connection with purchase of property and equipment</w:t>
            </w:r>
          </w:p>
        </w:tc>
        <w:tc>
          <w:tcPr>
            <w:tcW w:w="7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Prelude Therapeutics Incorporated (the “Company”) was incorporated in Delaware on February 5, 2016 and is a clinical-stage biotechnology company focused on discovering and developing new medicines targeting chromatin function to treat cancer and rare diseases. Since beginning operations, the Company has devoted substantially all its efforts to research and development, conducting preclinical and clinical studies, recruiting management and technical staff, administration, and raising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right="40" w:firstLine="478"/>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right="100" w:firstLine="478"/>
        <w:spacing w:after="0" w:line="263" w:lineRule="auto"/>
        <w:rPr>
          <w:sz w:val="20"/>
          <w:szCs w:val="20"/>
          <w:color w:val="auto"/>
        </w:rPr>
      </w:pPr>
      <w:r>
        <w:rPr>
          <w:rFonts w:ascii="Arial" w:cs="Arial" w:eastAsia="Arial" w:hAnsi="Arial"/>
          <w:sz w:val="18"/>
          <w:szCs w:val="18"/>
          <w:color w:val="auto"/>
        </w:rPr>
        <w:t>Since its inception, the Company has incurred operating losses and has an accumulated deficit of $107.4 million at December 31, 2020.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ind w:right="20" w:firstLine="478"/>
        <w:spacing w:after="0" w:line="308" w:lineRule="auto"/>
        <w:rPr>
          <w:sz w:val="20"/>
          <w:szCs w:val="20"/>
          <w:color w:val="auto"/>
        </w:rPr>
      </w:pPr>
      <w:r>
        <w:rPr>
          <w:rFonts w:ascii="Arial" w:cs="Arial" w:eastAsia="Arial" w:hAnsi="Arial"/>
          <w:sz w:val="17"/>
          <w:szCs w:val="17"/>
          <w:color w:val="auto"/>
        </w:rPr>
        <w:t>The Company believes that its existing cash and cash equivalents, together with the net proceeds of $161.4 million from the sale of common stock in January 2021 (see Note 11), will be sufficient to fund its operating expenses and capital expenditure requirements into 2023.</w:t>
      </w:r>
    </w:p>
    <w:p>
      <w:pPr>
        <w:spacing w:after="0" w:line="146" w:lineRule="exact"/>
        <w:rPr>
          <w:sz w:val="20"/>
          <w:szCs w:val="20"/>
          <w:color w:val="auto"/>
        </w:rPr>
      </w:pPr>
    </w:p>
    <w:p>
      <w:pPr>
        <w:ind w:right="100" w:firstLine="478"/>
        <w:spacing w:after="0" w:line="273" w:lineRule="auto"/>
        <w:rPr>
          <w:sz w:val="20"/>
          <w:szCs w:val="20"/>
          <w:color w:val="auto"/>
        </w:rPr>
      </w:pPr>
      <w:r>
        <w:rPr>
          <w:rFonts w:ascii="Arial" w:cs="Arial" w:eastAsia="Arial" w:hAnsi="Arial"/>
          <w:sz w:val="17"/>
          <w:szCs w:val="17"/>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78"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On March 10, 2020, the World Health Organization characterized the novel COVID-19 virus as a global pandemic. There is significant uncertainty as to the likely effects of this disease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0" w:firstLine="478"/>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Any reference in these notes to applicable guidance is meant to refer to GAAP 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3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found in the Accounting Standards Codification (“ASC”) and Accounting Standards Updates (“ASU”) promulgated by the Financial Accounting Standards Board (“FASB”).</w:t>
      </w:r>
    </w:p>
    <w:p>
      <w:pPr>
        <w:spacing w:after="0" w:line="170" w:lineRule="exact"/>
        <w:rPr>
          <w:sz w:val="20"/>
          <w:szCs w:val="20"/>
          <w:color w:val="auto"/>
        </w:rPr>
      </w:pPr>
    </w:p>
    <w:p>
      <w:pPr>
        <w:jc w:val="both"/>
        <w:ind w:right="340" w:firstLine="478"/>
        <w:spacing w:after="0" w:line="259" w:lineRule="auto"/>
        <w:rPr>
          <w:sz w:val="20"/>
          <w:szCs w:val="20"/>
          <w:color w:val="auto"/>
        </w:rPr>
      </w:pPr>
      <w:r>
        <w:rPr>
          <w:rFonts w:ascii="Arial" w:cs="Arial" w:eastAsia="Arial" w:hAnsi="Arial"/>
          <w:sz w:val="18"/>
          <w:szCs w:val="18"/>
          <w:color w:val="auto"/>
        </w:rPr>
        <w:t>On September 18, 2020, in connection with the Company’s initial public offering (IPO) of common stock, the Company’s board of directors and stockholders approved a 1.1566-to-one reverse stock split of the Company’s issued and outstanding shares of common stock and convertible preferred stock. All share and per share amounts in the financial statements and notes hereto have been retrospectively adjusted for all periods presented to give effect to the reverse stock split.</w:t>
      </w:r>
    </w:p>
    <w:p>
      <w:pPr>
        <w:spacing w:after="0" w:line="187" w:lineRule="exact"/>
        <w:rPr>
          <w:sz w:val="20"/>
          <w:szCs w:val="20"/>
          <w:color w:val="auto"/>
        </w:rPr>
      </w:pPr>
    </w:p>
    <w:p>
      <w:pPr>
        <w:ind w:right="460" w:firstLine="478"/>
        <w:spacing w:after="0" w:line="277" w:lineRule="auto"/>
        <w:rPr>
          <w:sz w:val="20"/>
          <w:szCs w:val="20"/>
          <w:color w:val="auto"/>
        </w:rPr>
      </w:pPr>
      <w:r>
        <w:rPr>
          <w:rFonts w:ascii="Arial" w:cs="Arial" w:eastAsia="Arial" w:hAnsi="Arial"/>
          <w:sz w:val="18"/>
          <w:szCs w:val="18"/>
          <w:color w:val="auto"/>
        </w:rPr>
        <w:t>The completion of the IPO, as described above, impacts the comparability of certain amounts to the corresponding prior year period, including earnings per share.</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478"/>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jc w:val="both"/>
        <w:ind w:right="200" w:firstLine="478"/>
        <w:spacing w:after="0" w:line="263" w:lineRule="auto"/>
        <w:rPr>
          <w:sz w:val="20"/>
          <w:szCs w:val="20"/>
          <w:color w:val="auto"/>
        </w:rPr>
      </w:pPr>
      <w:r>
        <w:rPr>
          <w:rFonts w:ascii="Arial" w:cs="Arial" w:eastAsia="Arial" w:hAnsi="Arial"/>
          <w:sz w:val="18"/>
          <w:szCs w:val="18"/>
          <w:color w:val="auto"/>
        </w:rPr>
        <w:t>Estimates and assumptions are periodically reviewed and the effects of the revisions are reflected in the accompanying financial statements in the period they are determined to be necessary. Significant areas that require management’s estimates include the fair value of the Company’s common stock prior to the IPO, stock-based compensation assumptions, and accrued clinical trial expenses.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478"/>
        <w:spacing w:after="0" w:line="31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of cash and cash equivalents.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320" w:firstLine="478"/>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and manages its operations as a single operating segment.</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60" w:firstLine="478"/>
        <w:spacing w:after="0" w:line="277" w:lineRule="auto"/>
        <w:rPr>
          <w:sz w:val="20"/>
          <w:szCs w:val="20"/>
          <w:color w:val="auto"/>
        </w:rPr>
      </w:pPr>
      <w:r>
        <w:rPr>
          <w:rFonts w:ascii="Arial" w:cs="Arial" w:eastAsia="Arial" w:hAnsi="Arial"/>
          <w:sz w:val="18"/>
          <w:szCs w:val="18"/>
          <w:color w:val="auto"/>
        </w:rPr>
        <w:t>Management believes that the carrying amounts of the Company’s financial instruments, including cash, accounts payable, accrued expenses and a capital lease obligation, approximate fair value due to the short-term nature of these instruments.</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firstLine="47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Fixed Asset Type</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Computers</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 years</w:t>
            </w:r>
          </w:p>
        </w:tc>
      </w:tr>
    </w:tbl>
    <w:p>
      <w:pPr>
        <w:spacing w:after="0" w:line="229" w:lineRule="exact"/>
        <w:rPr>
          <w:sz w:val="20"/>
          <w:szCs w:val="20"/>
          <w:color w:val="auto"/>
        </w:rPr>
      </w:pPr>
    </w:p>
    <w:p>
      <w:pPr>
        <w:ind w:right="300" w:firstLine="478"/>
        <w:spacing w:after="0" w:line="342" w:lineRule="auto"/>
        <w:rPr>
          <w:sz w:val="20"/>
          <w:szCs w:val="20"/>
          <w:color w:val="auto"/>
        </w:rPr>
      </w:pPr>
      <w:r>
        <w:rPr>
          <w:rFonts w:ascii="Arial" w:cs="Arial" w:eastAsia="Arial" w:hAnsi="Arial"/>
          <w:sz w:val="16"/>
          <w:szCs w:val="16"/>
          <w:color w:val="auto"/>
        </w:rPr>
        <w:t>Leasehold improvements are amortized over the shorter of the estimated useful life of the assets or the remaining lease term. Assets under capital leases are recorded in property and equipment, net on the balance sheets and depreciated in a manner similar to other property and equipment.</w:t>
      </w:r>
    </w:p>
    <w:p>
      <w:pPr>
        <w:spacing w:after="0" w:line="124" w:lineRule="exact"/>
        <w:rPr>
          <w:sz w:val="20"/>
          <w:szCs w:val="20"/>
          <w:color w:val="auto"/>
        </w:rPr>
      </w:pPr>
    </w:p>
    <w:p>
      <w:pPr>
        <w:ind w:right="180" w:firstLine="478"/>
        <w:spacing w:after="0" w:line="263" w:lineRule="auto"/>
        <w:rPr>
          <w:sz w:val="20"/>
          <w:szCs w:val="20"/>
          <w:color w:val="auto"/>
        </w:rPr>
      </w:pPr>
      <w:r>
        <w:rPr>
          <w:rFonts w:ascii="Arial" w:cs="Arial" w:eastAsia="Arial" w:hAnsi="Arial"/>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84" w:lineRule="exact"/>
        <w:rPr>
          <w:sz w:val="20"/>
          <w:szCs w:val="20"/>
          <w:color w:val="auto"/>
        </w:rPr>
      </w:pPr>
    </w:p>
    <w:p>
      <w:pPr>
        <w:ind w:right="60" w:firstLine="478"/>
        <w:spacing w:after="0" w:line="257" w:lineRule="auto"/>
        <w:rPr>
          <w:sz w:val="20"/>
          <w:szCs w:val="20"/>
          <w:color w:val="auto"/>
        </w:rPr>
      </w:pPr>
      <w:r>
        <w:rPr>
          <w:rFonts w:ascii="Arial" w:cs="Arial" w:eastAsia="Arial" w:hAnsi="Arial"/>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 capitalizes costs that are directly associated with in-process equity financings until such financings are consummated, at which time such costs are recorded against the gross proceeds from the applicable financing. If a financing is abandoned, deferred offering costs are expensed. Deferred offering costs were $0.3 million at December 31, 2020.</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333" w:lineRule="exact"/>
        <w:rPr>
          <w:sz w:val="20"/>
          <w:szCs w:val="20"/>
          <w:color w:val="auto"/>
        </w:rPr>
      </w:pPr>
    </w:p>
    <w:p>
      <w:pPr>
        <w:ind w:left="480" w:right="780"/>
        <w:spacing w:after="0" w:line="277" w:lineRule="auto"/>
        <w:rPr>
          <w:sz w:val="20"/>
          <w:szCs w:val="20"/>
          <w:color w:val="auto"/>
        </w:rPr>
      </w:pPr>
      <w:r>
        <w:rPr>
          <w:rFonts w:ascii="Arial" w:cs="Arial" w:eastAsia="Arial" w:hAnsi="Arial"/>
          <w:sz w:val="18"/>
          <w:szCs w:val="18"/>
          <w:color w:val="auto"/>
        </w:rPr>
        <w:t>Comprehensive loss includes net loss and certain changes in stockholders’ equity (deficit) that are excluded from net loss. The Company’s comprehensive loss was equal to net loss for the years ended December 31, 2020 and 2019.</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333" w:lineRule="exact"/>
        <w:rPr>
          <w:sz w:val="20"/>
          <w:szCs w:val="20"/>
          <w:color w:val="auto"/>
        </w:rPr>
      </w:pPr>
    </w:p>
    <w:p>
      <w:pPr>
        <w:ind w:right="100" w:firstLine="478"/>
        <w:spacing w:after="0" w:line="277" w:lineRule="auto"/>
        <w:rPr>
          <w:sz w:val="20"/>
          <w:szCs w:val="20"/>
          <w:color w:val="auto"/>
        </w:rPr>
      </w:pPr>
      <w:r>
        <w:rPr>
          <w:rFonts w:ascii="Arial" w:cs="Arial" w:eastAsia="Arial" w:hAnsi="Arial"/>
          <w:sz w:val="18"/>
          <w:szCs w:val="18"/>
          <w:color w:val="auto"/>
        </w:rPr>
        <w:t>The Company measures share-based awards at their grant-date fair value and records compensation expense on a straight-line basis over the vesting period of the awards.</w:t>
      </w:r>
    </w:p>
    <w:p>
      <w:pPr>
        <w:spacing w:after="0" w:line="62" w:lineRule="exact"/>
        <w:rPr>
          <w:sz w:val="20"/>
          <w:szCs w:val="20"/>
          <w:color w:val="auto"/>
        </w:rPr>
      </w:pPr>
    </w:p>
    <w:p>
      <w:pPr>
        <w:jc w:val="both"/>
        <w:ind w:right="160" w:firstLine="478"/>
        <w:spacing w:after="0" w:line="255" w:lineRule="auto"/>
        <w:rPr>
          <w:sz w:val="20"/>
          <w:szCs w:val="20"/>
          <w:color w:val="auto"/>
        </w:rPr>
      </w:pPr>
      <w:r>
        <w:rPr>
          <w:rFonts w:ascii="Arial" w:cs="Arial" w:eastAsia="Arial" w:hAnsi="Arial"/>
          <w:sz w:val="18"/>
          <w:szCs w:val="18"/>
          <w:color w:val="auto"/>
        </w:rPr>
        <w:t>Estimating the fair value of share-based awards requires the input of subjective assumptions, including, prior to the IPO, the estimated fair value of the Company’s common stock, and, for stock options, the expected life of the options and stock price volatility. The Company accounts for forfeitures for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84" w:lineRule="exact"/>
        <w:rPr>
          <w:sz w:val="20"/>
          <w:szCs w:val="20"/>
          <w:color w:val="auto"/>
        </w:rPr>
      </w:pPr>
    </w:p>
    <w:p>
      <w:pPr>
        <w:ind w:right="180" w:firstLine="478"/>
        <w:spacing w:after="0" w:line="259" w:lineRule="auto"/>
        <w:rPr>
          <w:sz w:val="20"/>
          <w:szCs w:val="20"/>
          <w:color w:val="auto"/>
        </w:rPr>
      </w:pPr>
      <w:r>
        <w:rPr>
          <w:rFonts w:ascii="Arial" w:cs="Arial" w:eastAsia="Arial" w:hAnsi="Arial"/>
          <w:sz w:val="18"/>
          <w:szCs w:val="18"/>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expected volatility to calculate the fair value of option grants. The risk-free rate is based on the U.S. Treasury yield curve commensurate with the expected life of the option.</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Grant Income and Research and Development Tax Credits</w:t>
      </w:r>
    </w:p>
    <w:p>
      <w:pPr>
        <w:spacing w:after="0" w:line="117" w:lineRule="exact"/>
        <w:rPr>
          <w:sz w:val="20"/>
          <w:szCs w:val="20"/>
          <w:color w:val="auto"/>
        </w:rPr>
      </w:pPr>
    </w:p>
    <w:p>
      <w:pPr>
        <w:jc w:val="both"/>
        <w:ind w:right="80" w:firstLine="478"/>
        <w:spacing w:after="0" w:line="263" w:lineRule="auto"/>
        <w:rPr>
          <w:sz w:val="20"/>
          <w:szCs w:val="20"/>
          <w:color w:val="auto"/>
        </w:rPr>
      </w:pPr>
      <w:r>
        <w:rPr>
          <w:rFonts w:ascii="Arial" w:cs="Arial" w:eastAsia="Arial" w:hAnsi="Arial"/>
          <w:sz w:val="18"/>
          <w:szCs w:val="18"/>
          <w:color w:val="auto"/>
        </w:rPr>
        <w:t>The Company recognizes grant income and Delaware research and development tax credits, which are refundable irrespective of taxable income, in other income, net in the statements of operations when it is probable that the amounts will be received and the necessary qualifying conditions, as stated in the agreements, are met.</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firstLine="478"/>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and clinical manufacturing organizations, and other direct and indirect costs.</w:t>
      </w:r>
    </w:p>
    <w:p>
      <w:pPr>
        <w:spacing w:after="0" w:line="187" w:lineRule="exact"/>
        <w:rPr>
          <w:sz w:val="20"/>
          <w:szCs w:val="20"/>
          <w:color w:val="auto"/>
        </w:rPr>
      </w:pPr>
    </w:p>
    <w:p>
      <w:pPr>
        <w:ind w:right="20" w:firstLine="478"/>
        <w:spacing w:after="0" w:line="275" w:lineRule="auto"/>
        <w:rPr>
          <w:sz w:val="20"/>
          <w:szCs w:val="20"/>
          <w:color w:val="auto"/>
        </w:rPr>
      </w:pPr>
      <w:r>
        <w:rPr>
          <w:rFonts w:ascii="Arial" w:cs="Arial" w:eastAsia="Arial" w:hAnsi="Arial"/>
          <w:sz w:val="17"/>
          <w:szCs w:val="17"/>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478"/>
        <w:spacing w:after="0" w:line="254" w:lineRule="auto"/>
        <w:rPr>
          <w:sz w:val="20"/>
          <w:szCs w:val="20"/>
          <w:color w:val="auto"/>
        </w:rPr>
      </w:pPr>
      <w:r>
        <w:rPr>
          <w:rFonts w:ascii="Arial" w:cs="Arial" w:eastAsia="Arial" w:hAnsi="Arial"/>
          <w:sz w:val="18"/>
          <w:szCs w:val="18"/>
          <w:color w:val="auto"/>
        </w:rPr>
        <w:t xml:space="preserve">Income taxes are accounted for under the asset-and-liability method as required by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95" w:lineRule="exact"/>
        <w:rPr>
          <w:sz w:val="20"/>
          <w:szCs w:val="20"/>
          <w:color w:val="auto"/>
        </w:rPr>
      </w:pPr>
    </w:p>
    <w:p>
      <w:pPr>
        <w:ind w:firstLine="478"/>
        <w:spacing w:after="0" w:line="277" w:lineRule="auto"/>
        <w:rPr>
          <w:sz w:val="20"/>
          <w:szCs w:val="20"/>
          <w:color w:val="auto"/>
        </w:rPr>
      </w:pPr>
      <w:r>
        <w:rPr>
          <w:rFonts w:ascii="Arial" w:cs="Arial" w:eastAsia="Arial" w:hAnsi="Arial"/>
          <w:sz w:val="17"/>
          <w:szCs w:val="17"/>
          <w:color w:val="auto"/>
        </w:rPr>
        <w:t xml:space="preserve">FASB ASC Subtopic 740-10, </w:t>
      </w:r>
      <w:r>
        <w:rPr>
          <w:rFonts w:ascii="Arial" w:cs="Arial" w:eastAsia="Arial" w:hAnsi="Arial"/>
          <w:sz w:val="17"/>
          <w:szCs w:val="17"/>
          <w:i w:val="1"/>
          <w:iCs w:val="1"/>
          <w:color w:val="auto"/>
        </w:rPr>
        <w:t>Accounting for Uncertainty of Income Taxes</w:t>
      </w:r>
      <w:r>
        <w:rPr>
          <w:rFonts w:ascii="Arial" w:cs="Arial" w:eastAsia="Arial" w:hAnsi="Arial"/>
          <w:sz w:val="17"/>
          <w:szCs w:val="17"/>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478"/>
        <w:spacing w:after="0" w:line="272" w:lineRule="auto"/>
        <w:rPr>
          <w:sz w:val="20"/>
          <w:szCs w:val="20"/>
          <w:color w:val="auto"/>
        </w:rPr>
      </w:pPr>
      <w:r>
        <w:rPr>
          <w:rFonts w:ascii="Arial" w:cs="Arial" w:eastAsia="Arial" w:hAnsi="Arial"/>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3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84" w:lineRule="exact"/>
        <w:rPr>
          <w:sz w:val="20"/>
          <w:szCs w:val="20"/>
          <w:color w:val="auto"/>
        </w:rPr>
      </w:pPr>
    </w:p>
    <w:p>
      <w:pPr>
        <w:ind w:right="680" w:firstLine="47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36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640" w:type="dxa"/>
            <w:vAlign w:val="bottom"/>
            <w:tcBorders>
              <w:bottom w:val="single" w:sz="8" w:color="CFF0FC"/>
            </w:tcBorders>
          </w:tcPr>
          <w:p>
            <w:pPr>
              <w:spacing w:after="0"/>
              <w:rPr>
                <w:sz w:val="13"/>
                <w:szCs w:val="13"/>
                <w:color w:val="auto"/>
              </w:rPr>
            </w:pPr>
          </w:p>
        </w:tc>
        <w:tc>
          <w:tcPr>
            <w:tcW w:w="1760" w:type="dxa"/>
            <w:vAlign w:val="bottom"/>
            <w:tcBorders>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Series A convertible preferred stock</w:t>
            </w: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11,736,119</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7,628,846</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awards</w:t>
            </w: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1,214,767</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1,335,349</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6,839,091</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2,269,742</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8,053,858</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22,970,056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right="180" w:firstLine="478"/>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firstLine="478"/>
        <w:spacing w:after="0" w:line="269" w:lineRule="auto"/>
        <w:rPr>
          <w:sz w:val="20"/>
          <w:szCs w:val="20"/>
          <w:color w:val="auto"/>
        </w:rPr>
      </w:pPr>
      <w:r>
        <w:rPr>
          <w:rFonts w:ascii="Arial" w:cs="Arial" w:eastAsia="Arial" w:hAnsi="Arial"/>
          <w:sz w:val="17"/>
          <w:szCs w:val="17"/>
          <w:color w:val="auto"/>
        </w:rPr>
        <w:t>In February 2016, the FASB issued ASU No. 2016-02, Leases (“ASC 842”), which requires a lessee to record a right-of-use asset and a corresponding lease liability on the balance sheet for most leases including operating leases. Lessees will classify leases as either finance or operating leases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periodic expense in the earlier periods of a lease. For operating leases, the statement of operations presentation and expense recognition is similar to that of operating leases under ASC 840 with single lease cost recognized on a straight-line basis. The standard is effective for the Company beginning January 1, 2022, with early adoption permitted, using a modified retrospective approach. While the Company continues to evaluate the provisions of ASC 842 to determine how it will be impacted, the primary effect of adopting the new standard will be to record a right-of-use asset and a lease liability on the balance sheet for all leases with a term of greater than twelve months regardless of their classification. The adoption of ASC 842 is not expected to have a material impact on the Company's results of operations or cash flows.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60" w:firstLine="478"/>
        <w:spacing w:after="0" w:line="275" w:lineRule="auto"/>
        <w:rPr>
          <w:sz w:val="20"/>
          <w:szCs w:val="20"/>
          <w:color w:val="auto"/>
        </w:rPr>
      </w:pPr>
      <w:r>
        <w:rPr>
          <w:rFonts w:ascii="Arial" w:cs="Arial" w:eastAsia="Arial" w:hAnsi="Arial"/>
          <w:sz w:val="17"/>
          <w:szCs w:val="17"/>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measured on a recurring basis. The guidance requires fair value measurements be classified and disclosed in one of the following three categories:</w:t>
      </w:r>
    </w:p>
    <w:p>
      <w:pPr>
        <w:spacing w:after="0" w:line="129" w:lineRule="exact"/>
        <w:rPr>
          <w:sz w:val="20"/>
          <w:szCs w:val="20"/>
          <w:color w:val="auto"/>
        </w:rPr>
      </w:pPr>
    </w:p>
    <w:p>
      <w:pPr>
        <w:ind w:left="960" w:hanging="480"/>
        <w:spacing w:after="0"/>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40" w:lineRule="exact"/>
        <w:rPr>
          <w:rFonts w:ascii="Arial" w:cs="Arial" w:eastAsia="Arial" w:hAnsi="Arial"/>
          <w:sz w:val="16"/>
          <w:szCs w:val="16"/>
          <w:color w:val="auto"/>
        </w:rPr>
      </w:pPr>
    </w:p>
    <w:p>
      <w:pPr>
        <w:ind w:left="960" w:right="20" w:hanging="480"/>
        <w:spacing w:after="0" w:line="27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 or liabilities.</w:t>
      </w:r>
    </w:p>
    <w:p>
      <w:pPr>
        <w:spacing w:after="0" w:line="62" w:lineRule="exact"/>
        <w:rPr>
          <w:rFonts w:ascii="Arial" w:cs="Arial" w:eastAsia="Arial" w:hAnsi="Arial"/>
          <w:sz w:val="18"/>
          <w:szCs w:val="18"/>
          <w:color w:val="auto"/>
        </w:rPr>
      </w:pPr>
    </w:p>
    <w:p>
      <w:pPr>
        <w:ind w:left="960" w:right="900" w:hanging="480"/>
        <w:spacing w:after="0" w:line="27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fair value hierarchy table presents information about the Company’s assets and liabilities measured at fair value on a recurring basis: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20" w:type="dxa"/>
            <w:vAlign w:val="bottom"/>
            <w:gridSpan w:val="11"/>
          </w:tcPr>
          <w:p>
            <w:pPr>
              <w:jc w:val="center"/>
              <w:ind w:right="280"/>
              <w:spacing w:after="0"/>
              <w:rPr>
                <w:sz w:val="20"/>
                <w:szCs w:val="20"/>
                <w:color w:val="auto"/>
              </w:rPr>
            </w:pPr>
            <w:r>
              <w:rPr>
                <w:rFonts w:ascii="Arial" w:cs="Arial" w:eastAsia="Arial" w:hAnsi="Arial"/>
                <w:sz w:val="14"/>
                <w:szCs w:val="14"/>
                <w:b w:val="1"/>
                <w:bCs w:val="1"/>
                <w:color w:val="auto"/>
                <w:w w:val="93"/>
              </w:rPr>
              <w:t>Fair value measurement at reporting date using</w:t>
            </w: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90"/>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left="125"/>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40" w:type="dxa"/>
            <w:vAlign w:val="bottom"/>
          </w:tcPr>
          <w:p>
            <w:pPr>
              <w:spacing w:after="0"/>
              <w:rPr>
                <w:sz w:val="12"/>
                <w:szCs w:val="12"/>
                <w:color w:val="auto"/>
              </w:rPr>
            </w:pPr>
          </w:p>
        </w:tc>
        <w:tc>
          <w:tcPr>
            <w:tcW w:w="1140" w:type="dxa"/>
            <w:vAlign w:val="bottom"/>
            <w:gridSpan w:val="2"/>
          </w:tcPr>
          <w:p>
            <w:pPr>
              <w:jc w:val="center"/>
              <w:ind w:left="105"/>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2"/>
                <w:szCs w:val="12"/>
                <w:color w:val="auto"/>
              </w:rPr>
            </w:pPr>
          </w:p>
        </w:tc>
        <w:tc>
          <w:tcPr>
            <w:tcW w:w="1140" w:type="dxa"/>
            <w:vAlign w:val="bottom"/>
            <w:gridSpan w:val="2"/>
          </w:tcPr>
          <w:p>
            <w:pPr>
              <w:jc w:val="center"/>
              <w:ind w:left="125"/>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2"/>
                <w:szCs w:val="12"/>
                <w:color w:val="auto"/>
              </w:rPr>
            </w:pPr>
          </w:p>
        </w:tc>
        <w:tc>
          <w:tcPr>
            <w:tcW w:w="1140" w:type="dxa"/>
            <w:vAlign w:val="bottom"/>
            <w:gridSpan w:val="2"/>
          </w:tcPr>
          <w:p>
            <w:pPr>
              <w:jc w:val="center"/>
              <w:ind w:left="125"/>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140" w:type="dxa"/>
            <w:vAlign w:val="bottom"/>
            <w:gridSpan w:val="2"/>
          </w:tcPr>
          <w:p>
            <w:pPr>
              <w:jc w:val="center"/>
              <w:ind w:left="125"/>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(Money Market Funds)</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217,072</w:t>
            </w:r>
          </w:p>
        </w:tc>
        <w:tc>
          <w:tcPr>
            <w:tcW w:w="130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18,779</w:t>
            </w:r>
          </w:p>
        </w:tc>
        <w:tc>
          <w:tcPr>
            <w:tcW w:w="130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Cash equivalents (Money Market Funds)</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42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tcPr>
          <w:p>
            <w:pPr>
              <w:ind w:left="480"/>
              <w:spacing w:after="0"/>
              <w:rPr>
                <w:sz w:val="20"/>
                <w:szCs w:val="20"/>
                <w:color w:val="auto"/>
              </w:rPr>
            </w:pPr>
            <w:r>
              <w:rPr>
                <w:rFonts w:ascii="Arial" w:cs="Arial" w:eastAsia="Arial" w:hAnsi="Arial"/>
                <w:sz w:val="18"/>
                <w:szCs w:val="18"/>
                <w:color w:val="auto"/>
              </w:rPr>
              <w:t>Property and equipment consisted of the following:</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56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Computers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1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Depreciation and amortization expense was $0.5 million and $0.4 million for the years ended December 31, 2020 and 2019, respectively.</w:t>
      </w:r>
    </w:p>
    <w:p>
      <w:pPr>
        <w:spacing w:after="0" w:line="237" w:lineRule="exact"/>
        <w:rPr>
          <w:sz w:val="20"/>
          <w:szCs w:val="20"/>
          <w:color w:val="auto"/>
        </w:rPr>
      </w:pPr>
    </w:p>
    <w:p>
      <w:pPr>
        <w:ind w:right="220" w:firstLine="478"/>
        <w:spacing w:after="0" w:line="263" w:lineRule="auto"/>
        <w:rPr>
          <w:sz w:val="20"/>
          <w:szCs w:val="20"/>
          <w:color w:val="auto"/>
        </w:rPr>
      </w:pPr>
      <w:r>
        <w:rPr>
          <w:rFonts w:ascii="Arial" w:cs="Arial" w:eastAsia="Arial" w:hAnsi="Arial"/>
          <w:sz w:val="18"/>
          <w:szCs w:val="18"/>
          <w:color w:val="auto"/>
        </w:rPr>
        <w:t>In September 2019, the Company signed a 12-month capital lease for $0.4 million of lab equipment with an effective interest rate of 9.67%. At December 31, 2020, the Company had $0.1 million of accumulated amortization related to the capital lease. At December 31, 2020, the Company has no further lease payments under the capital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80" w:right="9460" w:hanging="472"/>
        <w:spacing w:after="0" w:line="453" w:lineRule="auto"/>
        <w:tabs>
          <w:tab w:leader="none" w:pos="182"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The Company leases office and laboratory space in Wilmington, Delaware under two separate noncancelable leases, which expire in December 2022 and March 2021, respectively. The Company has an option to renew both leases for additional 1-year and 6-months periods, respectively. The leases are classified as operating leases and the Company recognizes rent expense on a straight-line basis over the lease terms. The Company recognized rent expense of $1.2 million and $0.9 million during the years ended December 31, 2020 and 2019, respectively, related to these leases.</w:t>
      </w:r>
    </w:p>
    <w:p>
      <w:pPr>
        <w:spacing w:after="0" w:line="157" w:lineRule="exact"/>
        <w:rPr>
          <w:sz w:val="20"/>
          <w:szCs w:val="20"/>
          <w:color w:val="auto"/>
        </w:rPr>
      </w:pPr>
    </w:p>
    <w:p>
      <w:pPr>
        <w:ind w:right="180" w:firstLine="478"/>
        <w:spacing w:after="0" w:line="277" w:lineRule="auto"/>
        <w:rPr>
          <w:sz w:val="20"/>
          <w:szCs w:val="20"/>
          <w:color w:val="auto"/>
        </w:rPr>
      </w:pPr>
      <w:r>
        <w:rPr>
          <w:rFonts w:ascii="Arial" w:cs="Arial" w:eastAsia="Arial" w:hAnsi="Arial"/>
          <w:sz w:val="18"/>
          <w:szCs w:val="18"/>
          <w:color w:val="auto"/>
        </w:rPr>
        <w:t>The future minimum lease payments under the Company’s operating lease agreements as of December 31, 2020 are $1.4 million for both 2021 and for 2022, with no commitments thereafter.</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480" w:firstLine="478"/>
        <w:spacing w:after="0" w:line="277"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117" w:lineRule="exact"/>
        <w:rPr>
          <w:sz w:val="20"/>
          <w:szCs w:val="20"/>
          <w:color w:val="auto"/>
        </w:rPr>
      </w:pPr>
    </w:p>
    <w:p>
      <w:pPr>
        <w:ind w:right="220" w:firstLine="478"/>
        <w:spacing w:after="0" w:line="221" w:lineRule="exact"/>
        <w:rPr>
          <w:sz w:val="20"/>
          <w:szCs w:val="20"/>
          <w:color w:val="auto"/>
        </w:rPr>
      </w:pPr>
      <w:r>
        <w:rPr>
          <w:rFonts w:ascii="Arial" w:cs="Arial" w:eastAsia="Arial" w:hAnsi="Arial"/>
          <w:sz w:val="16"/>
          <w:szCs w:val="16"/>
          <w:color w:val="auto"/>
        </w:rPr>
        <w:t>The Company sponsors a 401(k) defined</w:t>
      </w:r>
      <w:r>
        <w:rPr>
          <w:rFonts w:ascii="MS PGothic" w:cs="MS PGothic" w:eastAsia="MS PGothic" w:hAnsi="MS PGothic"/>
          <w:sz w:val="16"/>
          <w:szCs w:val="16"/>
          <w:color w:val="auto"/>
        </w:rPr>
        <w:t>‑</w:t>
      </w:r>
      <w:r>
        <w:rPr>
          <w:rFonts w:ascii="Arial" w:cs="Arial" w:eastAsia="Arial" w:hAnsi="Arial"/>
          <w:sz w:val="16"/>
          <w:szCs w:val="16"/>
          <w:color w:val="auto"/>
        </w:rPr>
        <w:t>contribution plan covering all employees. Participants are permitted to contribute up to 100% of their eligible annual pretax compensation up to an established federal limit on aggregate participant contributions. The Company provides a safe harbor match with a maximum amount of 4% of the participant’s compensation. The Company has not yet made any matching contributions since inception.</w:t>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117" w:lineRule="exact"/>
        <w:rPr>
          <w:sz w:val="20"/>
          <w:szCs w:val="20"/>
          <w:color w:val="auto"/>
        </w:rPr>
      </w:pPr>
    </w:p>
    <w:p>
      <w:pPr>
        <w:ind w:right="520" w:firstLine="478"/>
        <w:spacing w:after="0" w:line="277" w:lineRule="auto"/>
        <w:rPr>
          <w:sz w:val="20"/>
          <w:szCs w:val="20"/>
          <w:color w:val="auto"/>
        </w:rPr>
      </w:pPr>
      <w:r>
        <w:rPr>
          <w:rFonts w:ascii="Arial" w:cs="Arial" w:eastAsia="Arial" w:hAnsi="Arial"/>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74" w:lineRule="exact"/>
        <w:rPr>
          <w:sz w:val="20"/>
          <w:szCs w:val="20"/>
          <w:color w:val="auto"/>
        </w:rPr>
      </w:pPr>
    </w:p>
    <w:p>
      <w:pPr>
        <w:ind w:left="480" w:right="7320" w:hanging="472"/>
        <w:spacing w:after="0" w:line="407" w:lineRule="auto"/>
        <w:tabs>
          <w:tab w:leader="none" w:pos="18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Stock and Common Stock </w:t>
      </w:r>
      <w:r>
        <w:rPr>
          <w:rFonts w:ascii="Arial" w:cs="Arial" w:eastAsia="Arial" w:hAnsi="Arial"/>
          <w:sz w:val="18"/>
          <w:szCs w:val="18"/>
          <w:b w:val="1"/>
          <w:bCs w:val="1"/>
          <w:i w:val="1"/>
          <w:iCs w:val="1"/>
          <w:color w:val="auto"/>
        </w:rPr>
        <w:t>Preferred Stock Financings</w:t>
      </w:r>
    </w:p>
    <w:p>
      <w:pPr>
        <w:spacing w:after="0" w:line="58" w:lineRule="exact"/>
        <w:rPr>
          <w:sz w:val="20"/>
          <w:szCs w:val="20"/>
          <w:color w:val="auto"/>
        </w:rPr>
      </w:pPr>
    </w:p>
    <w:p>
      <w:pPr>
        <w:ind w:right="440" w:firstLine="478"/>
        <w:spacing w:after="0" w:line="277" w:lineRule="auto"/>
        <w:rPr>
          <w:sz w:val="20"/>
          <w:szCs w:val="20"/>
          <w:color w:val="auto"/>
        </w:rPr>
      </w:pPr>
      <w:r>
        <w:rPr>
          <w:rFonts w:ascii="Arial" w:cs="Arial" w:eastAsia="Arial" w:hAnsi="Arial"/>
          <w:sz w:val="18"/>
          <w:szCs w:val="18"/>
          <w:color w:val="auto"/>
        </w:rPr>
        <w:t>In May 2019, the Company issued an aggregate of 7,628,846 shares of Series B convertible preferred stock (“Series B”) to existing investors at $3.9325 per share for aggregate net proceeds of $29.8 million.</w:t>
      </w:r>
    </w:p>
    <w:p>
      <w:pPr>
        <w:spacing w:after="0" w:line="170"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Pursuant to the Series B Stock Purchase Agreement, the Series B investors could elect to purchase an aggregate of 7,628,846 additional shares of the Company’s Series B at a fixed purchase price of $3.9325 per share (the “Series B Future Tranche Right”). The Company determined that the Series B Future Tranche Right did not meet the definition of a freestanding financial instrument as it was not legally detachable. The Series B Future Tranche Right was also evaluated as an embedded derivative and the Company determined it did not meet the definition of a derivative instrument for which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bifurcation would be required. In March 2020, the Company’s Series B investors exercised their Future Tranche Right and purchased 7,628,846 shares of Series B for net proceeds of approximately $29.9 million.</w:t>
      </w:r>
    </w:p>
    <w:p>
      <w:pPr>
        <w:spacing w:after="0" w:line="62" w:lineRule="exact"/>
        <w:rPr>
          <w:sz w:val="20"/>
          <w:szCs w:val="20"/>
          <w:color w:val="auto"/>
        </w:rPr>
      </w:pPr>
    </w:p>
    <w:p>
      <w:pPr>
        <w:ind w:right="60" w:firstLine="478"/>
        <w:spacing w:after="0" w:line="277" w:lineRule="auto"/>
        <w:rPr>
          <w:sz w:val="20"/>
          <w:szCs w:val="20"/>
          <w:color w:val="auto"/>
        </w:rPr>
      </w:pPr>
      <w:r>
        <w:rPr>
          <w:rFonts w:ascii="Arial" w:cs="Arial" w:eastAsia="Arial" w:hAnsi="Arial"/>
          <w:sz w:val="18"/>
          <w:szCs w:val="18"/>
          <w:color w:val="auto"/>
        </w:rPr>
        <w:t>In August 2020, the Company’s existing Convertible Preferred Stock investors as well as a new investor purchased 3,443,612 shares of Series C at a price of $14.5197 per share for net proceeds of approximately $49.8 million.</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478"/>
        <w:spacing w:after="0" w:line="255" w:lineRule="auto"/>
        <w:rPr>
          <w:sz w:val="20"/>
          <w:szCs w:val="20"/>
          <w:color w:val="auto"/>
        </w:rPr>
      </w:pPr>
      <w:r>
        <w:rPr>
          <w:rFonts w:ascii="Arial" w:cs="Arial" w:eastAsia="Arial" w:hAnsi="Arial"/>
          <w:sz w:val="18"/>
          <w:szCs w:val="18"/>
          <w:color w:val="auto"/>
        </w:rPr>
        <w:t>In September 2020, the Company completed its IPO in which the Company sold 9,573,750 shares of its common stock at a public offering price of $19.00 per share. The Company received net proceeds of $166.6 million after deducting underwriting discounts, commissions, and other offering expenses paid by the Company. In addition, immediately prior to the closing of the IPO on September 29, 2020, (i) all of the Company’s outstanding shares of convertible preferred stock converted into an aggregate of 30,437,423 shares of common stock (of which, 11,110,371 shares are non-voting common stock) and (ii) the Company filed an amended and restated certificate of incorporation to, among other things, increase the number of authorized shares of common stock to 500,000,000.</w:t>
      </w:r>
    </w:p>
    <w:p>
      <w:pPr>
        <w:spacing w:after="0" w:line="30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 w:firstLine="478"/>
        <w:spacing w:after="0" w:line="269" w:lineRule="auto"/>
        <w:rPr>
          <w:sz w:val="20"/>
          <w:szCs w:val="20"/>
          <w:color w:val="auto"/>
        </w:rPr>
      </w:pPr>
      <w:r>
        <w:rPr>
          <w:rFonts w:ascii="Arial" w:cs="Arial" w:eastAsia="Arial" w:hAnsi="Arial"/>
          <w:sz w:val="17"/>
          <w:szCs w:val="17"/>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firstLine="478"/>
        <w:spacing w:after="0" w:line="285" w:lineRule="auto"/>
        <w:rPr>
          <w:sz w:val="20"/>
          <w:szCs w:val="20"/>
          <w:color w:val="auto"/>
        </w:rPr>
      </w:pPr>
      <w:r>
        <w:rPr>
          <w:rFonts w:ascii="Arial" w:cs="Arial" w:eastAsia="Arial" w:hAnsi="Arial"/>
          <w:sz w:val="16"/>
          <w:szCs w:val="16"/>
          <w:color w:val="auto"/>
        </w:rPr>
        <w:t>The Company has two equity incentive plans: the 2016 Equity Incentive Plan, as amended, and the 2020 Equity Incentive Plan. New awards can only be granted under the 2020 Equity Incentive Plan (the “Plan”). The total number of shares initially authorized under the Plan was 4,680,000. Of this amount, 4,485,907 shares were available for future grants as of December 31, 2020.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As such, on January 1, 2021, 2,185,283 shares were added to the Plan. The Plan provides for the granting of common stock, incentive stock options, nonqualified stock options, restricted stock awards,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 In September 2020, the Company also adopted the 2020 Employee Stock Purchase Plan (the “ESPP”), which includes 520,000 shares of common stock reserved for future issuance. No shares have been issued from the ESPP as of December 31, 2020. The number of shares of the Company’s common stock that may be issued pursuant to rights granted under the ESPP shall automatically increase on January 1st of each year, commencing on January 1, 2021 and continuing for ten years, in an amount equal to one percent of the total number of shares of the Company’s common stock outstanding on December 31st of the preceding calendar year, subject to the discretion of the board of directors or compensation committee to determine a lesser number of shares shall be added for such year. As such, on January 1, 2021, 437,056 shares were added to the ESPP.</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right="100" w:firstLine="478"/>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left="456"/>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40" w:type="dxa"/>
            <w:vAlign w:val="bottom"/>
            <w:tcBorders>
              <w:bottom w:val="single" w:sz="8" w:color="CFF0FC"/>
            </w:tcBorders>
            <w:gridSpan w:val="2"/>
            <w:vMerge w:val="continue"/>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480"/>
              <w:spacing w:after="0"/>
              <w:rPr>
                <w:sz w:val="20"/>
                <w:szCs w:val="20"/>
                <w:color w:val="auto"/>
              </w:rPr>
            </w:pPr>
            <w:r>
              <w:rPr>
                <w:rFonts w:ascii="Arial" w:cs="Arial" w:eastAsia="Arial" w:hAnsi="Arial"/>
                <w:sz w:val="18"/>
                <w:szCs w:val="18"/>
                <w:b w:val="1"/>
                <w:bCs w:val="1"/>
                <w:i w:val="1"/>
                <w:iCs w:val="1"/>
                <w:color w:val="auto"/>
              </w:rPr>
              <w:t>Stock Options</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9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gridSpan w:val="2"/>
          </w:tcPr>
          <w:p>
            <w:pPr>
              <w:ind w:left="480"/>
              <w:spacing w:after="0"/>
              <w:rPr>
                <w:sz w:val="20"/>
                <w:szCs w:val="20"/>
                <w:color w:val="auto"/>
              </w:rPr>
            </w:pPr>
            <w:r>
              <w:rPr>
                <w:rFonts w:ascii="Arial" w:cs="Arial" w:eastAsia="Arial" w:hAnsi="Arial"/>
                <w:sz w:val="18"/>
                <w:szCs w:val="18"/>
                <w:color w:val="auto"/>
                <w:w w:val="93"/>
              </w:rPr>
              <w:t>The following table summarizes stock option activity for the Plan in the years indicated:</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term (years)</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2019</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588,961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1,703,692</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(19,669)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(3,242)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2,269,742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tcPr>
          <w:p>
            <w:pPr>
              <w:ind w:left="260"/>
              <w:spacing w:after="0"/>
              <w:rPr>
                <w:sz w:val="20"/>
                <w:szCs w:val="20"/>
                <w:color w:val="auto"/>
              </w:rPr>
            </w:pPr>
            <w:r>
              <w:rPr>
                <w:rFonts w:ascii="Arial" w:cs="Arial" w:eastAsia="Arial" w:hAnsi="Arial"/>
                <w:sz w:val="18"/>
                <w:szCs w:val="18"/>
                <w:color w:val="auto"/>
              </w:rPr>
              <w:t>Granted</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4,785,630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(100,545)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(115,736)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6,839,091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951,669</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0" w:firstLine="478"/>
        <w:spacing w:after="0" w:line="277" w:lineRule="auto"/>
        <w:rPr>
          <w:sz w:val="20"/>
          <w:szCs w:val="20"/>
          <w:color w:val="auto"/>
        </w:rPr>
      </w:pPr>
      <w:r>
        <w:rPr>
          <w:rFonts w:ascii="Arial" w:cs="Arial" w:eastAsia="Arial" w:hAnsi="Arial"/>
          <w:sz w:val="18"/>
          <w:szCs w:val="18"/>
          <w:color w:val="auto"/>
        </w:rPr>
        <w:t>At December 31, 2020, the aggregate intrinsic value of outstanding options and exercisable options was $431.5 million and $66.3 million, respectively.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2020 under the Plan: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1460" w:type="dxa"/>
            <w:vAlign w:val="bottom"/>
          </w:tcPr>
          <w:p>
            <w:pPr>
              <w:jc w:val="right"/>
              <w:ind w:right="255"/>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Pr>
          <w:p>
            <w:pPr>
              <w:jc w:val="right"/>
              <w:ind w:right="317"/>
              <w:spacing w:after="0"/>
              <w:rPr>
                <w:sz w:val="20"/>
                <w:szCs w:val="20"/>
                <w:color w:val="auto"/>
              </w:rPr>
            </w:pPr>
            <w:r>
              <w:rPr>
                <w:rFonts w:ascii="Arial" w:cs="Arial" w:eastAsia="Arial" w:hAnsi="Arial"/>
                <w:sz w:val="14"/>
                <w:szCs w:val="14"/>
                <w:b w:val="1"/>
                <w:bCs w:val="1"/>
                <w:color w:val="auto"/>
              </w:rPr>
              <w:t>Exercisable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$0.31</w:t>
            </w:r>
          </w:p>
        </w:tc>
        <w:tc>
          <w:tcPr>
            <w:tcW w:w="23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$1.66</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555,852</w:t>
            </w:r>
          </w:p>
        </w:tc>
        <w:tc>
          <w:tcPr>
            <w:tcW w:w="2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327,859</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$1.67</w:t>
            </w:r>
          </w:p>
        </w:tc>
        <w:tc>
          <w:tcPr>
            <w:tcW w:w="2300" w:type="dxa"/>
            <w:vAlign w:val="bottom"/>
          </w:tcPr>
          <w:p>
            <w:pPr>
              <w:ind w:left="20"/>
              <w:spacing w:after="0"/>
              <w:rPr>
                <w:sz w:val="20"/>
                <w:szCs w:val="20"/>
                <w:color w:val="auto"/>
              </w:rPr>
            </w:pPr>
            <w:r>
              <w:rPr>
                <w:rFonts w:ascii="Arial" w:cs="Arial" w:eastAsia="Arial" w:hAnsi="Arial"/>
                <w:sz w:val="18"/>
                <w:szCs w:val="18"/>
                <w:color w:val="auto"/>
              </w:rPr>
              <w:t>- $7.37</w:t>
            </w:r>
          </w:p>
        </w:tc>
        <w:tc>
          <w:tcPr>
            <w:tcW w:w="1460" w:type="dxa"/>
            <w:vAlign w:val="bottom"/>
          </w:tcPr>
          <w:p>
            <w:pPr>
              <w:jc w:val="right"/>
              <w:spacing w:after="0"/>
              <w:rPr>
                <w:sz w:val="20"/>
                <w:szCs w:val="20"/>
                <w:color w:val="auto"/>
              </w:rPr>
            </w:pPr>
            <w:r>
              <w:rPr>
                <w:rFonts w:ascii="Arial" w:cs="Arial" w:eastAsia="Arial" w:hAnsi="Arial"/>
                <w:sz w:val="18"/>
                <w:szCs w:val="18"/>
                <w:color w:val="auto"/>
              </w:rPr>
              <w:t>2,954,883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606,757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$7.38</w:t>
            </w: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$15.93</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3,129,940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$15.94 - $69.92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198,416</w:t>
            </w:r>
          </w:p>
        </w:tc>
        <w:tc>
          <w:tcPr>
            <w:tcW w:w="17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57.25</w:t>
            </w:r>
          </w:p>
        </w:tc>
        <w:tc>
          <w:tcPr>
            <w:tcW w:w="2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CFF0FC"/>
            </w:tcBorders>
            <w:shd w:val="clear" w:color="auto" w:fill="CFF0FC"/>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6,839,091</w:t>
            </w:r>
          </w:p>
        </w:tc>
        <w:tc>
          <w:tcPr>
            <w:tcW w:w="2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951,669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The weighted-average grant date fair value of options granted was $10.12 and $1.41 per share for the years ended December 31, 2020 and 2019, respectively. The aggregate intrinsic value of options exercised was $0.4 million and for the year ended December 31, 2020. The Company recorded stock-based compensation expense of $ 4.8 million and $0.4 million for the years ended December 31, 2020 and 2019, respectively, related to stock options. As of December 31, 2020, the total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unrecognized compensation expense related to unvested stock option awards was $45.8 million, which the Company expects to recognize over a weighted-average period of 3.54 years.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57"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Year Ended</w:t>
      </w:r>
    </w:p>
    <w:p>
      <w:pPr>
        <w:jc w:val="center"/>
        <w:ind w:left="74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76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115.17%</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91.60%</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r>
      <w:tr>
        <w:trPr>
          <w:trHeight w:val="229"/>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3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right="220" w:firstLine="478"/>
        <w:spacing w:after="0" w:line="286" w:lineRule="auto"/>
        <w:rPr>
          <w:sz w:val="20"/>
          <w:szCs w:val="20"/>
          <w:color w:val="auto"/>
        </w:rPr>
      </w:pPr>
      <w:r>
        <w:rPr>
          <w:rFonts w:ascii="Arial" w:cs="Arial" w:eastAsia="Arial" w:hAnsi="Arial"/>
          <w:sz w:val="17"/>
          <w:szCs w:val="17"/>
          <w:color w:val="auto"/>
        </w:rPr>
        <w:t>The Company issues restricted stock awards (“RSA”) to employees that generally vest over a four-year period with 25% of awards vesting after 1 year and then monthly thereafter. Any unvested shares will be forfeited upon termination of services. The fair value of an RSA is equal to the fair market value price of the Company’s common stock on the date of grant. RSA expense is amortized straight-line over the vesting period.</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January 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856,438</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778,141</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(299,230)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balance at 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1,335,349</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432,301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(552,883)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1,214,767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478"/>
        <w:spacing w:after="0" w:line="263" w:lineRule="auto"/>
        <w:rPr>
          <w:sz w:val="20"/>
          <w:szCs w:val="20"/>
          <w:color w:val="auto"/>
        </w:rPr>
      </w:pPr>
      <w:r>
        <w:rPr>
          <w:rFonts w:ascii="Arial" w:cs="Arial" w:eastAsia="Arial" w:hAnsi="Arial"/>
          <w:sz w:val="18"/>
          <w:szCs w:val="18"/>
          <w:color w:val="auto"/>
        </w:rPr>
        <w:t>The Company recorded stock-based compensation expense of $0.8 million and $0.4 million for the years ended December 31, 2020 and 2019, respectively, related to RSAs. As of December 31, 2020, the total unrecognized expense related to all RSAs was $2.2 million, which the Company expects to recognize over a weighted-average period of 2.71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FF0FC"/>
            </w:tcBorders>
            <w:vMerge w:val="continue"/>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8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28,283</w:t>
            </w:r>
          </w:p>
        </w:tc>
        <w:tc>
          <w:tcPr>
            <w:tcW w:w="300" w:type="dxa"/>
            <w:vAlign w:val="bottom"/>
          </w:tcPr>
          <w:p>
            <w:pPr>
              <w:spacing w:after="0"/>
              <w:rPr>
                <w:sz w:val="19"/>
                <w:szCs w:val="19"/>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2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25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(32,899)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(15,409)</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asset</w:t>
            </w:r>
          </w:p>
        </w:tc>
        <w:tc>
          <w:tcPr>
            <w:tcW w:w="25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25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78"/>
        <w:spacing w:after="0" w:line="257" w:lineRule="auto"/>
        <w:rPr>
          <w:sz w:val="20"/>
          <w:szCs w:val="20"/>
          <w:color w:val="auto"/>
        </w:rPr>
      </w:pPr>
      <w:r>
        <w:rPr>
          <w:rFonts w:ascii="Arial" w:cs="Arial" w:eastAsia="Arial" w:hAnsi="Arial"/>
          <w:sz w:val="18"/>
          <w:szCs w:val="18"/>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2020 and 2019. The valuation allowance increased by $17.5 million and $9.2 million during the years ended December 31, 2020 and 2019, respectively.</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420" w:type="dxa"/>
            <w:vAlign w:val="bottom"/>
            <w:gridSpan w:val="3"/>
          </w:tcPr>
          <w:p>
            <w:pPr>
              <w:jc w:val="center"/>
              <w:ind w:left="1035"/>
              <w:spacing w:after="0"/>
              <w:rPr>
                <w:sz w:val="20"/>
                <w:szCs w:val="20"/>
                <w:color w:val="auto"/>
              </w:rPr>
            </w:pPr>
            <w:r>
              <w:rPr>
                <w:rFonts w:ascii="Arial" w:cs="Arial" w:eastAsia="Arial" w:hAnsi="Arial"/>
                <w:sz w:val="14"/>
                <w:szCs w:val="14"/>
                <w:b w:val="1"/>
                <w:bCs w:val="1"/>
                <w:color w:val="auto"/>
                <w:w w:val="92"/>
              </w:rPr>
              <w:t>Year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7460" w:type="dxa"/>
            <w:vAlign w:val="bottom"/>
          </w:tcPr>
          <w:p>
            <w:pPr>
              <w:spacing w:after="0"/>
              <w:rPr>
                <w:sz w:val="14"/>
                <w:szCs w:val="14"/>
                <w:color w:val="auto"/>
              </w:rPr>
            </w:pPr>
          </w:p>
        </w:tc>
        <w:tc>
          <w:tcPr>
            <w:tcW w:w="2420" w:type="dxa"/>
            <w:vAlign w:val="bottom"/>
            <w:tcBorders>
              <w:bottom w:val="single" w:sz="8" w:color="auto"/>
            </w:tcBorders>
            <w:gridSpan w:val="3"/>
          </w:tcPr>
          <w:p>
            <w:pPr>
              <w:jc w:val="center"/>
              <w:ind w:left="1015"/>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7460" w:type="dxa"/>
            <w:vAlign w:val="bottom"/>
            <w:tcBorders>
              <w:bottom w:val="single" w:sz="8" w:color="CFF0FC"/>
            </w:tcBorders>
          </w:tcPr>
          <w:p>
            <w:pPr>
              <w:spacing w:after="0"/>
              <w:rPr>
                <w:sz w:val="13"/>
                <w:szCs w:val="13"/>
                <w:color w:val="auto"/>
              </w:rPr>
            </w:pPr>
          </w:p>
        </w:tc>
        <w:tc>
          <w:tcPr>
            <w:tcW w:w="1860" w:type="dxa"/>
            <w:vAlign w:val="bottom"/>
            <w:tcBorders>
              <w:bottom w:val="single" w:sz="8" w:color="auto"/>
            </w:tcBorders>
          </w:tcPr>
          <w:p>
            <w:pPr>
              <w:jc w:val="right"/>
              <w:ind w:right="81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Federal tax benefit at statutory rate</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860" w:type="dxa"/>
            <w:vAlign w:val="bottom"/>
          </w:tcPr>
          <w:p>
            <w:pPr>
              <w:jc w:val="right"/>
              <w:ind w:right="75"/>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Return to provision</w:t>
            </w:r>
          </w:p>
        </w:tc>
        <w:tc>
          <w:tcPr>
            <w:tcW w:w="242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w:t>
            </w: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Permanent differences</w:t>
            </w:r>
          </w:p>
        </w:tc>
        <w:tc>
          <w:tcPr>
            <w:tcW w:w="1860" w:type="dxa"/>
            <w:vAlign w:val="bottom"/>
          </w:tcPr>
          <w:p>
            <w:pPr>
              <w:jc w:val="right"/>
              <w:ind w:right="155"/>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r>
      <w:tr>
        <w:trPr>
          <w:trHeight w:val="230"/>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valuation allowance</w:t>
            </w:r>
          </w:p>
        </w:tc>
        <w:tc>
          <w:tcPr>
            <w:tcW w:w="18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30.7</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carryforwards of federal, state and local net operating losses (“NOL”) and research tax credits: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NOL carryforwards - Federal</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101,471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NOL carryforwards - 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101,471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tax credits - Federal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Research tax credits - State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40" w:firstLine="478"/>
        <w:spacing w:after="0" w:line="277" w:lineRule="auto"/>
        <w:rPr>
          <w:sz w:val="20"/>
          <w:szCs w:val="20"/>
          <w:color w:val="auto"/>
        </w:rPr>
      </w:pPr>
      <w:r>
        <w:rPr>
          <w:rFonts w:ascii="Arial" w:cs="Arial" w:eastAsia="Arial" w:hAnsi="Arial"/>
          <w:sz w:val="18"/>
          <w:szCs w:val="18"/>
          <w:color w:val="auto"/>
        </w:rPr>
        <w:t>The NOL carryforwards begin expiring in 2036 for federal and Delaware state income tax purposes, however; all federal and Delaware state NOL carryforwards generated subsequent to January 1, 2018, are able to be carried forward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center"/>
        <w:ind w:right="-7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indefinitely. As of December 31, 2020, the Company also had federal and Delaware research and development tax credit carryforwards of $4.7 million and $43,000, respectively that will begin to expire in 2036, unless previously utilized.</w:t>
      </w:r>
    </w:p>
    <w:p>
      <w:pPr>
        <w:spacing w:after="0" w:line="170" w:lineRule="exact"/>
        <w:rPr>
          <w:sz w:val="20"/>
          <w:szCs w:val="20"/>
          <w:color w:val="auto"/>
        </w:rPr>
      </w:pPr>
    </w:p>
    <w:p>
      <w:pPr>
        <w:ind w:right="20" w:firstLine="478"/>
        <w:spacing w:after="0" w:line="272" w:lineRule="auto"/>
        <w:rPr>
          <w:sz w:val="20"/>
          <w:szCs w:val="20"/>
          <w:color w:val="auto"/>
        </w:rPr>
      </w:pPr>
      <w:r>
        <w:rPr>
          <w:rFonts w:ascii="Arial" w:cs="Arial" w:eastAsia="Arial" w:hAnsi="Arial"/>
          <w:sz w:val="17"/>
          <w:szCs w:val="17"/>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Delaware state NOLs may also be limited.</w:t>
      </w:r>
    </w:p>
    <w:p>
      <w:pPr>
        <w:spacing w:after="0" w:line="177" w:lineRule="exact"/>
        <w:rPr>
          <w:sz w:val="20"/>
          <w:szCs w:val="20"/>
          <w:color w:val="auto"/>
        </w:rPr>
      </w:pPr>
    </w:p>
    <w:p>
      <w:pPr>
        <w:ind w:firstLine="478"/>
        <w:spacing w:after="0" w:line="311" w:lineRule="auto"/>
        <w:rPr>
          <w:sz w:val="20"/>
          <w:szCs w:val="20"/>
          <w:color w:val="auto"/>
        </w:rPr>
      </w:pPr>
      <w:r>
        <w:rPr>
          <w:rFonts w:ascii="Arial" w:cs="Arial" w:eastAsia="Arial" w:hAnsi="Arial"/>
          <w:sz w:val="16"/>
          <w:szCs w:val="16"/>
          <w:color w:val="auto"/>
        </w:rPr>
        <w:t>As of December 31, 2020, the Company had no accrued interest or penalties related to uncertain tax positions and no amounts have been recognized in the Company’s statement of operations. Due to NOL and tax credit carry forwards that remain unutilized, income tax returns for tax years from 2016, 2017, 2018 and 2019 remain subject to examination by the taxing jurisdictions. The NOL carryforwards remain subject to review until utilized.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ind w:right="60" w:firstLine="478"/>
        <w:spacing w:after="0" w:line="308" w:lineRule="auto"/>
        <w:rPr>
          <w:sz w:val="20"/>
          <w:szCs w:val="20"/>
          <w:color w:val="auto"/>
        </w:rPr>
      </w:pPr>
      <w:r>
        <w:rPr>
          <w:rFonts w:ascii="Arial" w:cs="Arial" w:eastAsia="Arial" w:hAnsi="Arial"/>
          <w:sz w:val="17"/>
          <w:szCs w:val="17"/>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121"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(Our principal executive officer) and our Chief Financial Officer (Our principal accounting officer), we evaluated the effectiveness of the design and operation of our disclosure controls and procedures (as defined in Rules 13a-15(e) and 15d-15(e) under the Exchange Act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management’s evaluation (with the participation of our Chief Executive Officer and our Chief Financial Officer), as of the end of the period covered by this report, our Chief Executive Officer and our Chief Financial Officer have concluded that our disclosure controls and procedures were effective at the reasonable assurance level.</w:t>
      </w:r>
    </w:p>
    <w:p>
      <w:pPr>
        <w:spacing w:after="0" w:line="78" w:lineRule="exact"/>
        <w:rPr>
          <w:sz w:val="20"/>
          <w:szCs w:val="20"/>
          <w:color w:val="auto"/>
        </w:rPr>
      </w:pPr>
    </w:p>
    <w:p>
      <w:pPr>
        <w:ind w:right="40" w:firstLine="374"/>
        <w:spacing w:after="0" w:line="217" w:lineRule="exact"/>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This Annual Report on Form 10-K does not include a report of management’s assessment regarding internal control over financial reporting or an attestation report of the of the Company’s registered public accounting firm due to a transition period established by rules of the SEC for newly public companies. We will be required, under Section 404 of the Sarbanes-Oxley Act of 2002, as amended, or the Sarbanes-Oxley Act, to furnish a report by management on, among other things, the effectiveness of our internal control over financial reporting beginning with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ending December 31, 2021.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210"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In accordance with the provisions of the Sarbanes-Oxley Act, neither we nor our independent registered public accounting firm has performed an evaluation of our internal control over financial reporting during any period included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320" w:firstLine="374"/>
        <w:spacing w:after="0" w:line="220" w:lineRule="exact"/>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w:t>
      </w:r>
      <w:r>
        <w:rPr>
          <w:rFonts w:ascii="MS PGothic" w:cs="MS PGothic" w:eastAsia="MS PGothic" w:hAnsi="MS PGothic"/>
          <w:sz w:val="18"/>
          <w:szCs w:val="18"/>
          <w:color w:val="auto"/>
        </w:rPr>
        <w:t>‑</w:t>
      </w:r>
      <w:r>
        <w:rPr>
          <w:rFonts w:ascii="Arial" w:cs="Arial" w:eastAsia="Arial" w:hAnsi="Arial"/>
          <w:sz w:val="18"/>
          <w:szCs w:val="18"/>
          <w:color w:val="auto"/>
        </w:rPr>
        <w:t>15(d) and 15d</w:t>
      </w:r>
      <w:r>
        <w:rPr>
          <w:rFonts w:ascii="MS PGothic" w:cs="MS PGothic" w:eastAsia="MS PGothic" w:hAnsi="MS PGothic"/>
          <w:sz w:val="18"/>
          <w:szCs w:val="18"/>
          <w:color w:val="auto"/>
        </w:rPr>
        <w:t>‑</w:t>
      </w:r>
      <w:r>
        <w:rPr>
          <w:rFonts w:ascii="Arial" w:cs="Arial" w:eastAsia="Arial" w:hAnsi="Arial"/>
          <w:sz w:val="18"/>
          <w:szCs w:val="18"/>
          <w:color w:val="auto"/>
        </w:rPr>
        <w:t>15(d) of the Exchange Act that occurred during the quarter ended December 31, 2020 that have materially affected, or are reasonably likely to materially affect, our internal controls over financial reporting.</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1" w:name="page142"/>
    <w:bookmarkEnd w:id="141"/>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37"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37"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1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840" w:hanging="373"/>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52" w:lineRule="exact"/>
        <w:rPr>
          <w:sz w:val="20"/>
          <w:szCs w:val="20"/>
          <w:color w:val="auto"/>
        </w:rPr>
      </w:pPr>
    </w:p>
    <w:p>
      <w:pPr>
        <w:ind w:right="620" w:firstLine="464"/>
        <w:spacing w:after="0" w:line="277" w:lineRule="auto"/>
        <w:rPr>
          <w:sz w:val="20"/>
          <w:szCs w:val="20"/>
          <w:color w:val="auto"/>
        </w:rPr>
      </w:pPr>
      <w:r>
        <w:rPr>
          <w:rFonts w:ascii="Arial" w:cs="Arial" w:eastAsia="Arial" w:hAnsi="Arial"/>
          <w:sz w:val="18"/>
          <w:szCs w:val="18"/>
          <w:color w:val="auto"/>
        </w:rPr>
        <w:t>The financial statements required by Item 15(a) are filed as part of this Annual Report on Form 10-K under Item 8 “Financial Statements and Supplementary Data.”</w:t>
      </w:r>
    </w:p>
    <w:p>
      <w:pPr>
        <w:spacing w:after="0" w:line="170" w:lineRule="exact"/>
        <w:rPr>
          <w:sz w:val="20"/>
          <w:szCs w:val="20"/>
          <w:color w:val="auto"/>
        </w:rPr>
      </w:pPr>
    </w:p>
    <w:p>
      <w:pPr>
        <w:ind w:left="720" w:hanging="248"/>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400" w:firstLine="464"/>
        <w:spacing w:after="0" w:line="277" w:lineRule="auto"/>
        <w:rPr>
          <w:sz w:val="20"/>
          <w:szCs w:val="20"/>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170" w:lineRule="exact"/>
        <w:rPr>
          <w:sz w:val="20"/>
          <w:szCs w:val="20"/>
          <w:color w:val="auto"/>
        </w:rPr>
      </w:pPr>
    </w:p>
    <w:p>
      <w:pPr>
        <w:ind w:left="720" w:hanging="248"/>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Incorporated by Reference</w:t>
            </w:r>
          </w:p>
        </w:tc>
        <w:tc>
          <w:tcPr>
            <w:tcW w:w="1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8"/>
          </w:tcPr>
          <w:p>
            <w:pPr>
              <w:ind w:left="640"/>
              <w:spacing w:after="0" w:line="142" w:lineRule="exact"/>
              <w:rPr>
                <w:sz w:val="20"/>
                <w:szCs w:val="20"/>
                <w:color w:val="auto"/>
              </w:rPr>
            </w:pPr>
            <w:r>
              <w:rPr>
                <w:rFonts w:ascii="Arial" w:cs="Arial" w:eastAsia="Arial" w:hAnsi="Arial"/>
                <w:sz w:val="14"/>
                <w:szCs w:val="14"/>
                <w:b w:val="1"/>
                <w:bCs w:val="1"/>
                <w:color w:val="auto"/>
              </w:rPr>
              <w:t>Exhibit Title</w:t>
            </w:r>
          </w:p>
        </w:tc>
        <w:tc>
          <w:tcPr>
            <w:tcW w:w="118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w w:val="97"/>
              </w:rPr>
              <w:t>Form</w:t>
            </w:r>
          </w:p>
        </w:tc>
        <w:tc>
          <w:tcPr>
            <w:tcW w:w="1560" w:type="dxa"/>
            <w:vAlign w:val="bottom"/>
            <w:tcBorders>
              <w:bottom w:val="single" w:sz="8" w:color="auto"/>
            </w:tcBorders>
          </w:tcPr>
          <w:p>
            <w:pPr>
              <w:ind w:left="580"/>
              <w:spacing w:after="0" w:line="142" w:lineRule="exact"/>
              <w:rPr>
                <w:sz w:val="20"/>
                <w:szCs w:val="20"/>
                <w:color w:val="auto"/>
              </w:rPr>
            </w:pPr>
            <w:r>
              <w:rPr>
                <w:rFonts w:ascii="Arial" w:cs="Arial" w:eastAsia="Arial" w:hAnsi="Arial"/>
                <w:sz w:val="14"/>
                <w:szCs w:val="14"/>
                <w:color w:val="auto"/>
              </w:rPr>
              <w:t>File No.</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Exhibit</w:t>
            </w:r>
          </w:p>
        </w:tc>
        <w:tc>
          <w:tcPr>
            <w:tcW w:w="180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w w:val="98"/>
              </w:rPr>
              <w:t>Filing 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3.1</w:t>
            </w:r>
          </w:p>
        </w:tc>
        <w:tc>
          <w:tcPr>
            <w:tcW w:w="120" w:type="dxa"/>
            <w:vAlign w:val="bottom"/>
          </w:tcPr>
          <w:p>
            <w:pPr>
              <w:spacing w:after="0"/>
              <w:rPr>
                <w:sz w:val="24"/>
                <w:szCs w:val="24"/>
                <w:color w:val="auto"/>
              </w:rPr>
            </w:pPr>
          </w:p>
        </w:tc>
        <w:tc>
          <w:tcPr>
            <w:tcW w:w="3520" w:type="dxa"/>
            <w:vAlign w:val="bottom"/>
            <w:gridSpan w:val="9"/>
          </w:tcPr>
          <w:p>
            <w:pPr>
              <w:spacing w:after="0"/>
              <w:rPr>
                <w:rFonts w:ascii="Arial" w:cs="Arial" w:eastAsia="Arial" w:hAnsi="Arial"/>
                <w:sz w:val="14"/>
                <w:szCs w:val="14"/>
                <w:color w:val="0000EE"/>
              </w:rPr>
            </w:pPr>
            <w:hyperlink r:id="rId200">
              <w:r>
                <w:rPr>
                  <w:rFonts w:ascii="Arial" w:cs="Arial" w:eastAsia="Arial" w:hAnsi="Arial"/>
                  <w:sz w:val="14"/>
                  <w:szCs w:val="14"/>
                  <w:color w:val="0000EE"/>
                </w:rPr>
                <w:t>Restated Certificate of Incorporation of Prelude</w:t>
              </w:r>
            </w:hyperlink>
          </w:p>
        </w:tc>
        <w:tc>
          <w:tcPr>
            <w:tcW w:w="1180" w:type="dxa"/>
            <w:vAlign w:val="bottom"/>
          </w:tcPr>
          <w:p>
            <w:pPr>
              <w:jc w:val="center"/>
              <w:ind w:right="28"/>
              <w:spacing w:after="0"/>
              <w:rPr>
                <w:sz w:val="20"/>
                <w:szCs w:val="20"/>
                <w:color w:val="auto"/>
              </w:rPr>
            </w:pPr>
            <w:r>
              <w:rPr>
                <w:rFonts w:ascii="Arial" w:cs="Arial" w:eastAsia="Arial" w:hAnsi="Arial"/>
                <w:sz w:val="14"/>
                <w:szCs w:val="14"/>
                <w:color w:val="auto"/>
                <w:w w:val="89"/>
              </w:rPr>
              <w:t>10-Q</w:t>
            </w: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001-39527</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2920" w:type="dxa"/>
            <w:vAlign w:val="bottom"/>
            <w:gridSpan w:val="2"/>
          </w:tcPr>
          <w:p>
            <w:pPr>
              <w:jc w:val="center"/>
              <w:ind w:right="1148"/>
              <w:spacing w:after="0"/>
              <w:rPr>
                <w:sz w:val="20"/>
                <w:szCs w:val="20"/>
                <w:color w:val="auto"/>
              </w:rPr>
            </w:pPr>
            <w:r>
              <w:rPr>
                <w:rFonts w:ascii="Arial" w:cs="Arial" w:eastAsia="Arial" w:hAnsi="Arial"/>
                <w:sz w:val="14"/>
                <w:szCs w:val="14"/>
                <w:color w:val="auto"/>
                <w:w w:val="92"/>
              </w:rPr>
              <w:t>November 10, 2020</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tcBorders>
              <w:top w:val="single" w:sz="8" w:color="0000EE"/>
            </w:tcBorders>
            <w:gridSpan w:val="4"/>
          </w:tcPr>
          <w:p>
            <w:pPr>
              <w:spacing w:after="0" w:line="129" w:lineRule="exact"/>
              <w:rPr>
                <w:rFonts w:ascii="Arial" w:cs="Arial" w:eastAsia="Arial" w:hAnsi="Arial"/>
                <w:sz w:val="14"/>
                <w:szCs w:val="14"/>
                <w:color w:val="0000EE"/>
              </w:rPr>
            </w:pPr>
            <w:hyperlink r:id="rId200">
              <w:r>
                <w:rPr>
                  <w:rFonts w:ascii="Arial" w:cs="Arial" w:eastAsia="Arial" w:hAnsi="Arial"/>
                  <w:sz w:val="14"/>
                  <w:szCs w:val="14"/>
                  <w:color w:val="0000EE"/>
                </w:rPr>
                <w:t>Therapeutics Incorporated</w:t>
              </w:r>
            </w:hyperlink>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w w:val="89"/>
              </w:rPr>
              <w:t>10-Q</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2"/>
              </w:rPr>
              <w:t>001-39527</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p>
        </w:tc>
        <w:tc>
          <w:tcPr>
            <w:tcW w:w="2920" w:type="dxa"/>
            <w:vAlign w:val="bottom"/>
            <w:gridSpan w:val="2"/>
            <w:vMerge w:val="restart"/>
          </w:tcPr>
          <w:p>
            <w:pPr>
              <w:jc w:val="center"/>
              <w:ind w:right="1148"/>
              <w:spacing w:after="0"/>
              <w:rPr>
                <w:sz w:val="20"/>
                <w:szCs w:val="20"/>
                <w:color w:val="auto"/>
              </w:rPr>
            </w:pPr>
            <w:r>
              <w:rPr>
                <w:rFonts w:ascii="Arial" w:cs="Arial" w:eastAsia="Arial" w:hAnsi="Arial"/>
                <w:sz w:val="14"/>
                <w:szCs w:val="14"/>
                <w:color w:val="auto"/>
                <w:w w:val="92"/>
              </w:rPr>
              <w:t>November 10, 2020</w:t>
            </w:r>
          </w:p>
        </w:tc>
        <w:tc>
          <w:tcPr>
            <w:tcW w:w="0" w:type="dxa"/>
            <w:vAlign w:val="bottom"/>
          </w:tcPr>
          <w:p>
            <w:pPr>
              <w:spacing w:after="0" w:line="20" w:lineRule="exact"/>
              <w:rPr>
                <w:sz w:val="1"/>
                <w:szCs w:val="1"/>
                <w:color w:val="auto"/>
              </w:rPr>
            </w:pPr>
          </w:p>
        </w:tc>
      </w:tr>
      <w:tr>
        <w:trPr>
          <w:trHeight w:val="332"/>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3.2</w:t>
            </w:r>
          </w:p>
        </w:tc>
        <w:tc>
          <w:tcPr>
            <w:tcW w:w="120" w:type="dxa"/>
            <w:vAlign w:val="bottom"/>
          </w:tcPr>
          <w:p>
            <w:pPr>
              <w:spacing w:after="0"/>
              <w:rPr>
                <w:sz w:val="24"/>
                <w:szCs w:val="24"/>
                <w:color w:val="auto"/>
              </w:rPr>
            </w:pPr>
          </w:p>
        </w:tc>
        <w:tc>
          <w:tcPr>
            <w:tcW w:w="3520" w:type="dxa"/>
            <w:vAlign w:val="bottom"/>
            <w:gridSpan w:val="9"/>
          </w:tcPr>
          <w:p>
            <w:pPr>
              <w:spacing w:after="0"/>
              <w:rPr>
                <w:rFonts w:ascii="Arial" w:cs="Arial" w:eastAsia="Arial" w:hAnsi="Arial"/>
                <w:sz w:val="14"/>
                <w:szCs w:val="14"/>
                <w:u w:val="single" w:color="auto"/>
                <w:color w:val="0000EE"/>
              </w:rPr>
            </w:pPr>
            <w:hyperlink r:id="rId201">
              <w:r>
                <w:rPr>
                  <w:rFonts w:ascii="Arial" w:cs="Arial" w:eastAsia="Arial" w:hAnsi="Arial"/>
                  <w:sz w:val="14"/>
                  <w:szCs w:val="14"/>
                  <w:u w:val="single" w:color="auto"/>
                  <w:color w:val="0000EE"/>
                </w:rPr>
                <w:t>Restated Bylaws of Prelude Therapeutics Incorporated</w:t>
              </w:r>
            </w:hyperlink>
          </w:p>
        </w:tc>
        <w:tc>
          <w:tcPr>
            <w:tcW w:w="118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4.1</w:t>
            </w:r>
          </w:p>
        </w:tc>
        <w:tc>
          <w:tcPr>
            <w:tcW w:w="120" w:type="dxa"/>
            <w:vAlign w:val="bottom"/>
          </w:tcPr>
          <w:p>
            <w:pPr>
              <w:spacing w:after="0"/>
              <w:rPr>
                <w:sz w:val="24"/>
                <w:szCs w:val="24"/>
                <w:color w:val="auto"/>
              </w:rPr>
            </w:pPr>
          </w:p>
        </w:tc>
        <w:tc>
          <w:tcPr>
            <w:tcW w:w="3520" w:type="dxa"/>
            <w:vAlign w:val="bottom"/>
            <w:gridSpan w:val="9"/>
          </w:tcPr>
          <w:p>
            <w:pPr>
              <w:spacing w:after="0"/>
              <w:rPr>
                <w:rFonts w:ascii="Arial" w:cs="Arial" w:eastAsia="Arial" w:hAnsi="Arial"/>
                <w:sz w:val="14"/>
                <w:szCs w:val="14"/>
                <w:u w:val="single" w:color="auto"/>
                <w:color w:val="0000EE"/>
              </w:rPr>
            </w:pPr>
            <w:hyperlink r:id="rId202">
              <w:r>
                <w:rPr>
                  <w:rFonts w:ascii="Arial" w:cs="Arial" w:eastAsia="Arial" w:hAnsi="Arial"/>
                  <w:sz w:val="14"/>
                  <w:szCs w:val="14"/>
                  <w:u w:val="single" w:color="auto"/>
                  <w:color w:val="0000EE"/>
                </w:rPr>
                <w:t>Form of Common Stock Certificate</w:t>
              </w:r>
            </w:hyperlink>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2920" w:type="dxa"/>
            <w:vAlign w:val="bottom"/>
            <w:gridSpan w:val="2"/>
          </w:tcPr>
          <w:p>
            <w:pPr>
              <w:jc w:val="center"/>
              <w:ind w:right="1148"/>
              <w:spacing w:after="0"/>
              <w:rPr>
                <w:sz w:val="20"/>
                <w:szCs w:val="20"/>
                <w:color w:val="auto"/>
              </w:rPr>
            </w:pPr>
            <w:r>
              <w:rPr>
                <w:rFonts w:ascii="Arial" w:cs="Arial" w:eastAsia="Arial" w:hAnsi="Arial"/>
                <w:sz w:val="14"/>
                <w:szCs w:val="14"/>
                <w:color w:val="auto"/>
                <w:w w:val="89"/>
              </w:rPr>
              <w:t>September 16, 2020</w:t>
            </w:r>
          </w:p>
        </w:tc>
        <w:tc>
          <w:tcPr>
            <w:tcW w:w="0" w:type="dxa"/>
            <w:vAlign w:val="bottom"/>
          </w:tcPr>
          <w:p>
            <w:pPr>
              <w:spacing w:after="0"/>
              <w:rPr>
                <w:sz w:val="1"/>
                <w:szCs w:val="1"/>
                <w:color w:val="auto"/>
              </w:rPr>
            </w:pPr>
          </w:p>
        </w:tc>
      </w:tr>
      <w:tr>
        <w:trPr>
          <w:trHeight w:val="296"/>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4.2</w:t>
            </w:r>
          </w:p>
        </w:tc>
        <w:tc>
          <w:tcPr>
            <w:tcW w:w="120" w:type="dxa"/>
            <w:vAlign w:val="bottom"/>
          </w:tcPr>
          <w:p>
            <w:pPr>
              <w:spacing w:after="0"/>
              <w:rPr>
                <w:sz w:val="24"/>
                <w:szCs w:val="24"/>
                <w:color w:val="auto"/>
              </w:rPr>
            </w:pPr>
          </w:p>
        </w:tc>
        <w:tc>
          <w:tcPr>
            <w:tcW w:w="3520" w:type="dxa"/>
            <w:vAlign w:val="bottom"/>
            <w:gridSpan w:val="9"/>
          </w:tcPr>
          <w:p>
            <w:pPr>
              <w:spacing w:after="0"/>
              <w:rPr>
                <w:rFonts w:ascii="Arial" w:cs="Arial" w:eastAsia="Arial" w:hAnsi="Arial"/>
                <w:sz w:val="14"/>
                <w:szCs w:val="14"/>
                <w:color w:val="0000EE"/>
                <w:w w:val="94"/>
              </w:rPr>
            </w:pPr>
            <w:hyperlink r:id="rId203">
              <w:r>
                <w:rPr>
                  <w:rFonts w:ascii="Arial" w:cs="Arial" w:eastAsia="Arial" w:hAnsi="Arial"/>
                  <w:sz w:val="14"/>
                  <w:szCs w:val="14"/>
                  <w:color w:val="0000EE"/>
                  <w:w w:val="94"/>
                </w:rPr>
                <w:t>Amended and Restated Investors’ Rights Agreement, dated</w:t>
              </w:r>
            </w:hyperlink>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2920" w:type="dxa"/>
            <w:vAlign w:val="bottom"/>
            <w:gridSpan w:val="2"/>
          </w:tcPr>
          <w:p>
            <w:pPr>
              <w:jc w:val="center"/>
              <w:ind w:right="1148"/>
              <w:spacing w:after="0"/>
              <w:rPr>
                <w:sz w:val="20"/>
                <w:szCs w:val="20"/>
                <w:color w:val="auto"/>
              </w:rPr>
            </w:pPr>
            <w:r>
              <w:rPr>
                <w:rFonts w:ascii="Arial" w:cs="Arial" w:eastAsia="Arial" w:hAnsi="Arial"/>
                <w:sz w:val="14"/>
                <w:szCs w:val="14"/>
                <w:color w:val="auto"/>
                <w:w w:val="89"/>
              </w:rPr>
              <w:t>September 16, 2020</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r:id="rId203">
              <w:r>
                <w:rPr>
                  <w:rFonts w:ascii="Arial" w:cs="Arial" w:eastAsia="Arial" w:hAnsi="Arial"/>
                  <w:sz w:val="14"/>
                  <w:szCs w:val="14"/>
                  <w:color w:val="0000EE"/>
                </w:rPr>
                <w:t>August 21, 2020, by and among Prelude Therapeutics</w:t>
              </w:r>
            </w:hyperlink>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r:id="rId203">
              <w:r>
                <w:rPr>
                  <w:rFonts w:ascii="Arial" w:cs="Arial" w:eastAsia="Arial" w:hAnsi="Arial"/>
                  <w:sz w:val="14"/>
                  <w:szCs w:val="14"/>
                  <w:color w:val="0000EE"/>
                </w:rPr>
                <w:t>Incorporated and certain of its stockholders</w:t>
              </w:r>
            </w:hyperlink>
          </w:p>
        </w:tc>
        <w:tc>
          <w:tcPr>
            <w:tcW w:w="10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S-1</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333-251874</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4.3</w:t>
            </w:r>
          </w:p>
        </w:tc>
        <w:tc>
          <w:tcPr>
            <w:tcW w:w="2920" w:type="dxa"/>
            <w:vAlign w:val="bottom"/>
            <w:gridSpan w:val="2"/>
            <w:vMerge w:val="restart"/>
          </w:tcPr>
          <w:p>
            <w:pPr>
              <w:jc w:val="center"/>
              <w:ind w:right="1148"/>
              <w:spacing w:after="0"/>
              <w:rPr>
                <w:sz w:val="20"/>
                <w:szCs w:val="20"/>
                <w:color w:val="auto"/>
              </w:rPr>
            </w:pPr>
            <w:r>
              <w:rPr>
                <w:rFonts w:ascii="Arial" w:cs="Arial" w:eastAsia="Arial" w:hAnsi="Arial"/>
                <w:sz w:val="14"/>
                <w:szCs w:val="14"/>
                <w:color w:val="auto"/>
                <w:w w:val="89"/>
              </w:rPr>
              <w:t>January 4, 2021</w:t>
            </w: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4.3</w:t>
            </w:r>
          </w:p>
        </w:tc>
        <w:tc>
          <w:tcPr>
            <w:tcW w:w="120" w:type="dxa"/>
            <w:vAlign w:val="bottom"/>
          </w:tcPr>
          <w:p>
            <w:pPr>
              <w:spacing w:after="0"/>
              <w:rPr>
                <w:sz w:val="24"/>
                <w:szCs w:val="24"/>
                <w:color w:val="auto"/>
              </w:rPr>
            </w:pPr>
          </w:p>
        </w:tc>
        <w:tc>
          <w:tcPr>
            <w:tcW w:w="3520" w:type="dxa"/>
            <w:vAlign w:val="bottom"/>
            <w:gridSpan w:val="9"/>
          </w:tcPr>
          <w:p>
            <w:pPr>
              <w:spacing w:after="0"/>
              <w:rPr>
                <w:rFonts w:ascii="Arial" w:cs="Arial" w:eastAsia="Arial" w:hAnsi="Arial"/>
                <w:sz w:val="14"/>
                <w:szCs w:val="14"/>
                <w:color w:val="0000EE"/>
              </w:rPr>
            </w:pPr>
            <w:hyperlink r:id="rId204">
              <w:r>
                <w:rPr>
                  <w:rFonts w:ascii="Arial" w:cs="Arial" w:eastAsia="Arial" w:hAnsi="Arial"/>
                  <w:sz w:val="14"/>
                  <w:szCs w:val="14"/>
                  <w:color w:val="0000EE"/>
                </w:rPr>
                <w:t>Form of Registration Rights Agreement, by and among</w:t>
              </w:r>
            </w:hyperlink>
          </w:p>
        </w:tc>
        <w:tc>
          <w:tcPr>
            <w:tcW w:w="118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tcBorders>
              <w:top w:val="single" w:sz="8" w:color="0000EE"/>
            </w:tcBorders>
            <w:gridSpan w:val="7"/>
          </w:tcPr>
          <w:p>
            <w:pPr>
              <w:spacing w:after="0" w:line="129" w:lineRule="exact"/>
              <w:rPr>
                <w:rFonts w:ascii="Arial" w:cs="Arial" w:eastAsia="Arial" w:hAnsi="Arial"/>
                <w:sz w:val="14"/>
                <w:szCs w:val="14"/>
                <w:color w:val="0000EE"/>
                <w:w w:val="98"/>
              </w:rPr>
            </w:pPr>
            <w:hyperlink r:id="rId204">
              <w:r>
                <w:rPr>
                  <w:rFonts w:ascii="Arial" w:cs="Arial" w:eastAsia="Arial" w:hAnsi="Arial"/>
                  <w:sz w:val="14"/>
                  <w:szCs w:val="14"/>
                  <w:color w:val="0000EE"/>
                  <w:w w:val="98"/>
                </w:rPr>
                <w:t>Prelude Therapeutics Incorporated and certain of its</w:t>
              </w:r>
            </w:hyperlink>
          </w:p>
        </w:tc>
        <w:tc>
          <w:tcPr>
            <w:tcW w:w="34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9"/>
              </w:rPr>
            </w:pPr>
            <w:hyperlink r:id="rId204">
              <w:r>
                <w:rPr>
                  <w:rFonts w:ascii="Arial" w:cs="Arial" w:eastAsia="Arial" w:hAnsi="Arial"/>
                  <w:sz w:val="14"/>
                  <w:szCs w:val="14"/>
                  <w:color w:val="0000EE"/>
                  <w:w w:val="89"/>
                </w:rPr>
                <w:t>stockholders</w:t>
              </w:r>
            </w:hyperlink>
          </w:p>
        </w:tc>
        <w:tc>
          <w:tcPr>
            <w:tcW w:w="2260" w:type="dxa"/>
            <w:vAlign w:val="bottom"/>
            <w:tcBorders>
              <w:top w:val="single" w:sz="8" w:color="0000EE"/>
            </w:tcBorders>
            <w:gridSpan w:val="4"/>
          </w:tcPr>
          <w:p>
            <w:pPr>
              <w:spacing w:after="0"/>
              <w:rPr>
                <w:sz w:val="11"/>
                <w:szCs w:val="11"/>
                <w:color w:val="auto"/>
              </w:rPr>
            </w:pPr>
          </w:p>
        </w:tc>
        <w:tc>
          <w:tcPr>
            <w:tcW w:w="540" w:type="dxa"/>
            <w:vAlign w:val="bottom"/>
            <w:gridSpan w:val="4"/>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ectPr>
          <w:pgSz w:w="11900" w:h="16838" w:orient="portrait"/>
          <w:cols w:equalWidth="0" w:num="1">
            <w:col w:w="11260"/>
          </w:cols>
          <w:pgMar w:left="320" w:top="337" w:right="319" w:bottom="1440" w:gutter="0" w:footer="0" w:header="0"/>
        </w:sect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4.4</w:t>
            </w:r>
          </w:p>
        </w:tc>
        <w:tc>
          <w:tcPr>
            <w:tcW w:w="3520" w:type="dxa"/>
            <w:vAlign w:val="bottom"/>
            <w:gridSpan w:val="15"/>
          </w:tcPr>
          <w:p>
            <w:pPr>
              <w:spacing w:after="0"/>
              <w:rPr>
                <w:rFonts w:ascii="Arial" w:cs="Arial" w:eastAsia="Arial" w:hAnsi="Arial"/>
                <w:sz w:val="14"/>
                <w:szCs w:val="14"/>
                <w:color w:val="0000EE"/>
              </w:rPr>
            </w:pPr>
            <w:hyperlink w:anchor="page146">
              <w:r>
                <w:rPr>
                  <w:rFonts w:ascii="Arial" w:cs="Arial" w:eastAsia="Arial" w:hAnsi="Arial"/>
                  <w:sz w:val="14"/>
                  <w:szCs w:val="14"/>
                  <w:color w:val="0000EE"/>
                </w:rPr>
                <w:t>Description of Voting Common Stock Registered Under</w:t>
              </w:r>
            </w:hyperlink>
          </w:p>
        </w:tc>
      </w:tr>
      <w:tr>
        <w:trPr>
          <w:trHeight w:val="129"/>
        </w:trPr>
        <w:tc>
          <w:tcPr>
            <w:tcW w:w="840" w:type="dxa"/>
            <w:vAlign w:val="bottom"/>
          </w:tcPr>
          <w:p>
            <w:pPr>
              <w:spacing w:after="0"/>
              <w:rPr>
                <w:sz w:val="11"/>
                <w:szCs w:val="11"/>
                <w:color w:val="auto"/>
              </w:rPr>
            </w:pPr>
          </w:p>
        </w:tc>
        <w:tc>
          <w:tcPr>
            <w:tcW w:w="3220" w:type="dxa"/>
            <w:vAlign w:val="bottom"/>
            <w:tcBorders>
              <w:top w:val="single" w:sz="8" w:color="0000EE"/>
            </w:tcBorders>
            <w:gridSpan w:val="8"/>
          </w:tcPr>
          <w:p>
            <w:pPr>
              <w:spacing w:after="0" w:line="129" w:lineRule="exact"/>
              <w:rPr>
                <w:rFonts w:ascii="Arial" w:cs="Arial" w:eastAsia="Arial" w:hAnsi="Arial"/>
                <w:sz w:val="14"/>
                <w:szCs w:val="14"/>
                <w:color w:val="0000EE"/>
                <w:w w:val="95"/>
              </w:rPr>
            </w:pPr>
            <w:hyperlink w:anchor="page146">
              <w:r>
                <w:rPr>
                  <w:rFonts w:ascii="Arial" w:cs="Arial" w:eastAsia="Arial" w:hAnsi="Arial"/>
                  <w:sz w:val="14"/>
                  <w:szCs w:val="14"/>
                  <w:color w:val="0000EE"/>
                  <w:w w:val="95"/>
                </w:rPr>
                <w:t>Section 12 of the Securities Exchange Act of 1943,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840" w:type="dxa"/>
            <w:vAlign w:val="bottom"/>
          </w:tcPr>
          <w:p>
            <w:pPr>
              <w:spacing w:after="0"/>
              <w:rPr>
                <w:sz w:val="11"/>
                <w:szCs w:val="11"/>
                <w:color w:val="auto"/>
              </w:rPr>
            </w:pPr>
          </w:p>
        </w:tc>
        <w:tc>
          <w:tcPr>
            <w:tcW w:w="52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85"/>
              </w:rPr>
            </w:pPr>
            <w:hyperlink w:anchor="page146">
              <w:r>
                <w:rPr>
                  <w:rFonts w:ascii="Arial" w:cs="Arial" w:eastAsia="Arial" w:hAnsi="Arial"/>
                  <w:sz w:val="14"/>
                  <w:szCs w:val="14"/>
                  <w:color w:val="0000EE"/>
                  <w:w w:val="85"/>
                </w:rPr>
                <w:t>amended</w:t>
              </w:r>
            </w:hyperlink>
          </w:p>
        </w:tc>
        <w:tc>
          <w:tcPr>
            <w:tcW w:w="2580" w:type="dxa"/>
            <w:vAlign w:val="bottom"/>
            <w:tcBorders>
              <w:top w:val="single" w:sz="8" w:color="0000EE"/>
            </w:tcBorders>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10.1</w:t>
            </w:r>
          </w:p>
        </w:tc>
        <w:tc>
          <w:tcPr>
            <w:tcW w:w="3520" w:type="dxa"/>
            <w:vAlign w:val="bottom"/>
            <w:gridSpan w:val="15"/>
          </w:tcPr>
          <w:p>
            <w:pPr>
              <w:spacing w:after="0"/>
              <w:rPr>
                <w:rFonts w:ascii="Arial" w:cs="Arial" w:eastAsia="Arial" w:hAnsi="Arial"/>
                <w:sz w:val="14"/>
                <w:szCs w:val="14"/>
                <w:color w:val="0000EE"/>
              </w:rPr>
            </w:pPr>
            <w:hyperlink r:id="rId205">
              <w:r>
                <w:rPr>
                  <w:rFonts w:ascii="Arial" w:cs="Arial" w:eastAsia="Arial" w:hAnsi="Arial"/>
                  <w:sz w:val="14"/>
                  <w:szCs w:val="14"/>
                  <w:color w:val="0000EE"/>
                </w:rPr>
                <w:t>Form of Indemnification Agreement with directors and</w:t>
              </w:r>
            </w:hyperlink>
          </w:p>
        </w:tc>
      </w:tr>
      <w:tr>
        <w:trPr>
          <w:trHeight w:val="129"/>
        </w:trPr>
        <w:tc>
          <w:tcPr>
            <w:tcW w:w="840" w:type="dxa"/>
            <w:vAlign w:val="bottom"/>
          </w:tcPr>
          <w:p>
            <w:pPr>
              <w:spacing w:after="0"/>
              <w:rPr>
                <w:sz w:val="11"/>
                <w:szCs w:val="11"/>
                <w:color w:val="auto"/>
              </w:rPr>
            </w:pPr>
          </w:p>
        </w:tc>
        <w:tc>
          <w:tcPr>
            <w:tcW w:w="316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r:id="rId205">
              <w:r>
                <w:rPr>
                  <w:rFonts w:ascii="Arial" w:cs="Arial" w:eastAsia="Arial" w:hAnsi="Arial"/>
                  <w:sz w:val="14"/>
                  <w:szCs w:val="14"/>
                  <w:color w:val="0000EE"/>
                </w:rPr>
                <w:t>officers</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10.2</w:t>
            </w:r>
          </w:p>
        </w:tc>
        <w:tc>
          <w:tcPr>
            <w:tcW w:w="3520" w:type="dxa"/>
            <w:vAlign w:val="bottom"/>
            <w:gridSpan w:val="15"/>
          </w:tcPr>
          <w:p>
            <w:pPr>
              <w:spacing w:after="0"/>
              <w:rPr>
                <w:rFonts w:ascii="Arial" w:cs="Arial" w:eastAsia="Arial" w:hAnsi="Arial"/>
                <w:sz w:val="14"/>
                <w:szCs w:val="14"/>
                <w:color w:val="0000EE"/>
                <w:w w:val="93"/>
              </w:rPr>
            </w:pPr>
            <w:hyperlink r:id="rId206">
              <w:r>
                <w:rPr>
                  <w:rFonts w:ascii="Arial" w:cs="Arial" w:eastAsia="Arial" w:hAnsi="Arial"/>
                  <w:sz w:val="14"/>
                  <w:szCs w:val="14"/>
                  <w:color w:val="0000EE"/>
                  <w:w w:val="93"/>
                </w:rPr>
                <w:t>2016 Stock Incentive Plan, as amended, and forms of award</w:t>
              </w:r>
            </w:hyperlink>
          </w:p>
        </w:tc>
      </w:tr>
      <w:tr>
        <w:trPr>
          <w:trHeight w:val="129"/>
        </w:trPr>
        <w:tc>
          <w:tcPr>
            <w:tcW w:w="840" w:type="dxa"/>
            <w:vAlign w:val="bottom"/>
          </w:tcPr>
          <w:p>
            <w:pPr>
              <w:spacing w:after="0"/>
              <w:rPr>
                <w:sz w:val="11"/>
                <w:szCs w:val="11"/>
                <w:color w:val="auto"/>
              </w:rPr>
            </w:pPr>
          </w:p>
        </w:tc>
        <w:tc>
          <w:tcPr>
            <w:tcW w:w="346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r:id="rId206">
              <w:r>
                <w:rPr>
                  <w:rFonts w:ascii="Arial" w:cs="Arial" w:eastAsia="Arial" w:hAnsi="Arial"/>
                  <w:sz w:val="14"/>
                  <w:szCs w:val="14"/>
                  <w:color w:val="0000EE"/>
                </w:rPr>
                <w:t>agreements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840" w:type="dxa"/>
            <w:vAlign w:val="bottom"/>
          </w:tcPr>
          <w:p>
            <w:pPr>
              <w:spacing w:after="0"/>
              <w:rPr>
                <w:sz w:val="20"/>
                <w:szCs w:val="20"/>
                <w:color w:val="auto"/>
              </w:rPr>
            </w:pPr>
            <w:r>
              <w:rPr>
                <w:rFonts w:ascii="Arial" w:cs="Arial" w:eastAsia="Arial" w:hAnsi="Arial"/>
                <w:sz w:val="14"/>
                <w:szCs w:val="14"/>
                <w:color w:val="auto"/>
              </w:rPr>
              <w:t>10.3</w:t>
            </w:r>
          </w:p>
        </w:tc>
        <w:tc>
          <w:tcPr>
            <w:tcW w:w="3520" w:type="dxa"/>
            <w:vAlign w:val="bottom"/>
            <w:gridSpan w:val="15"/>
          </w:tcPr>
          <w:p>
            <w:pPr>
              <w:spacing w:after="0"/>
              <w:rPr>
                <w:rFonts w:ascii="Arial" w:cs="Arial" w:eastAsia="Arial" w:hAnsi="Arial"/>
                <w:sz w:val="14"/>
                <w:szCs w:val="14"/>
                <w:u w:val="single" w:color="auto"/>
                <w:color w:val="0000EE"/>
                <w:w w:val="95"/>
              </w:rPr>
            </w:pPr>
            <w:hyperlink r:id="rId207">
              <w:r>
                <w:rPr>
                  <w:rFonts w:ascii="Arial" w:cs="Arial" w:eastAsia="Arial" w:hAnsi="Arial"/>
                  <w:sz w:val="14"/>
                  <w:szCs w:val="14"/>
                  <w:u w:val="single" w:color="auto"/>
                  <w:color w:val="0000EE"/>
                  <w:w w:val="95"/>
                </w:rPr>
                <w:t>2020 Equity Incentive Plan and forms of award agreements</w:t>
              </w:r>
            </w:hyperlink>
          </w:p>
        </w:tc>
      </w:tr>
      <w:tr>
        <w:trPr>
          <w:trHeight w:val="295"/>
        </w:trPr>
        <w:tc>
          <w:tcPr>
            <w:tcW w:w="840" w:type="dxa"/>
            <w:vAlign w:val="bottom"/>
          </w:tcPr>
          <w:p>
            <w:pPr>
              <w:spacing w:after="0"/>
              <w:rPr>
                <w:sz w:val="20"/>
                <w:szCs w:val="20"/>
                <w:color w:val="auto"/>
              </w:rPr>
            </w:pPr>
            <w:r>
              <w:rPr>
                <w:rFonts w:ascii="Arial" w:cs="Arial" w:eastAsia="Arial" w:hAnsi="Arial"/>
                <w:sz w:val="14"/>
                <w:szCs w:val="14"/>
                <w:color w:val="auto"/>
              </w:rPr>
              <w:t>10.4</w:t>
            </w:r>
          </w:p>
        </w:tc>
        <w:tc>
          <w:tcPr>
            <w:tcW w:w="3520" w:type="dxa"/>
            <w:vAlign w:val="bottom"/>
            <w:gridSpan w:val="15"/>
          </w:tcPr>
          <w:p>
            <w:pPr>
              <w:spacing w:after="0"/>
              <w:rPr>
                <w:rFonts w:ascii="Arial" w:cs="Arial" w:eastAsia="Arial" w:hAnsi="Arial"/>
                <w:sz w:val="14"/>
                <w:szCs w:val="14"/>
                <w:color w:val="0000EE"/>
                <w:w w:val="98"/>
              </w:rPr>
            </w:pPr>
            <w:hyperlink r:id="rId208">
              <w:r>
                <w:rPr>
                  <w:rFonts w:ascii="Arial" w:cs="Arial" w:eastAsia="Arial" w:hAnsi="Arial"/>
                  <w:sz w:val="14"/>
                  <w:szCs w:val="14"/>
                  <w:color w:val="0000EE"/>
                  <w:w w:val="98"/>
                </w:rPr>
                <w:t>2020 Employee Stock Purchase Plan and forms of award</w:t>
              </w:r>
            </w:hyperlink>
          </w:p>
        </w:tc>
      </w:tr>
      <w:tr>
        <w:trPr>
          <w:trHeight w:val="128"/>
        </w:trPr>
        <w:tc>
          <w:tcPr>
            <w:tcW w:w="840" w:type="dxa"/>
            <w:vAlign w:val="bottom"/>
          </w:tcPr>
          <w:p>
            <w:pPr>
              <w:spacing w:after="0"/>
              <w:rPr>
                <w:sz w:val="11"/>
                <w:szCs w:val="11"/>
                <w:color w:val="auto"/>
              </w:rPr>
            </w:pPr>
          </w:p>
        </w:tc>
        <w:tc>
          <w:tcPr>
            <w:tcW w:w="326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r:id="rId208">
              <w:r>
                <w:rPr>
                  <w:rFonts w:ascii="Arial" w:cs="Arial" w:eastAsia="Arial" w:hAnsi="Arial"/>
                  <w:sz w:val="14"/>
                  <w:szCs w:val="14"/>
                  <w:color w:val="0000EE"/>
                </w:rPr>
                <w:t>agreements</w:t>
              </w:r>
            </w:hyperlink>
          </w:p>
        </w:tc>
        <w:tc>
          <w:tcPr>
            <w:tcW w:w="1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10.5</w:t>
            </w:r>
          </w:p>
        </w:tc>
        <w:tc>
          <w:tcPr>
            <w:tcW w:w="3520" w:type="dxa"/>
            <w:vAlign w:val="bottom"/>
            <w:gridSpan w:val="15"/>
          </w:tcPr>
          <w:p>
            <w:pPr>
              <w:spacing w:after="0"/>
              <w:rPr>
                <w:rFonts w:ascii="Arial" w:cs="Arial" w:eastAsia="Arial" w:hAnsi="Arial"/>
                <w:sz w:val="14"/>
                <w:szCs w:val="14"/>
                <w:color w:val="0000EE"/>
                <w:w w:val="93"/>
              </w:rPr>
            </w:pPr>
            <w:hyperlink r:id="rId209">
              <w:r>
                <w:rPr>
                  <w:rFonts w:ascii="Arial" w:cs="Arial" w:eastAsia="Arial" w:hAnsi="Arial"/>
                  <w:sz w:val="14"/>
                  <w:szCs w:val="14"/>
                  <w:color w:val="0000EE"/>
                  <w:w w:val="93"/>
                </w:rPr>
                <w:t>Second Amended and Restated Entrepreneur Client License</w:t>
              </w:r>
            </w:hyperlink>
          </w:p>
        </w:tc>
      </w:tr>
      <w:tr>
        <w:trPr>
          <w:trHeight w:val="128"/>
        </w:trPr>
        <w:tc>
          <w:tcPr>
            <w:tcW w:w="840" w:type="dxa"/>
            <w:vAlign w:val="bottom"/>
          </w:tcPr>
          <w:p>
            <w:pPr>
              <w:spacing w:after="0"/>
              <w:rPr>
                <w:sz w:val="11"/>
                <w:szCs w:val="11"/>
                <w:color w:val="auto"/>
              </w:rPr>
            </w:pPr>
          </w:p>
        </w:tc>
        <w:tc>
          <w:tcPr>
            <w:tcW w:w="312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1"/>
              </w:rPr>
            </w:pPr>
            <w:hyperlink r:id="rId209">
              <w:r>
                <w:rPr>
                  <w:rFonts w:ascii="Arial" w:cs="Arial" w:eastAsia="Arial" w:hAnsi="Arial"/>
                  <w:sz w:val="14"/>
                  <w:szCs w:val="14"/>
                  <w:color w:val="0000EE"/>
                  <w:w w:val="91"/>
                </w:rPr>
                <w:t>Agreement, dated November 1, 2020, by and between</w:t>
              </w:r>
            </w:hyperlink>
          </w:p>
        </w:tc>
        <w:tc>
          <w:tcPr>
            <w:tcW w:w="320" w:type="dxa"/>
            <w:vAlign w:val="bottom"/>
            <w:tcBorders>
              <w:top w:val="single" w:sz="8" w:color="0000EE"/>
            </w:tcBorders>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840" w:type="dxa"/>
            <w:vAlign w:val="bottom"/>
          </w:tcPr>
          <w:p>
            <w:pPr>
              <w:spacing w:after="0"/>
              <w:rPr>
                <w:sz w:val="11"/>
                <w:szCs w:val="11"/>
                <w:color w:val="auto"/>
              </w:rPr>
            </w:pPr>
          </w:p>
        </w:tc>
        <w:tc>
          <w:tcPr>
            <w:tcW w:w="3520" w:type="dxa"/>
            <w:vAlign w:val="bottom"/>
            <w:gridSpan w:val="15"/>
          </w:tcPr>
          <w:p>
            <w:pPr>
              <w:spacing w:after="0" w:line="129" w:lineRule="exact"/>
              <w:rPr>
                <w:rFonts w:ascii="Arial" w:cs="Arial" w:eastAsia="Arial" w:hAnsi="Arial"/>
                <w:sz w:val="14"/>
                <w:szCs w:val="14"/>
                <w:color w:val="0000EE"/>
                <w:w w:val="93"/>
              </w:rPr>
            </w:pPr>
            <w:hyperlink r:id="rId209">
              <w:r>
                <w:rPr>
                  <w:rFonts w:ascii="Arial" w:cs="Arial" w:eastAsia="Arial" w:hAnsi="Arial"/>
                  <w:sz w:val="14"/>
                  <w:szCs w:val="14"/>
                  <w:color w:val="0000EE"/>
                  <w:w w:val="93"/>
                </w:rPr>
                <w:t>Prelude Therapeutics Incorporated and Delaware Innovation</w:t>
              </w:r>
            </w:hyperlink>
          </w:p>
        </w:tc>
      </w:tr>
      <w:tr>
        <w:trPr>
          <w:trHeight w:val="129"/>
        </w:trPr>
        <w:tc>
          <w:tcPr>
            <w:tcW w:w="840" w:type="dxa"/>
            <w:vAlign w:val="bottom"/>
          </w:tcPr>
          <w:p>
            <w:pPr>
              <w:spacing w:after="0"/>
              <w:rPr>
                <w:sz w:val="11"/>
                <w:szCs w:val="11"/>
                <w:color w:val="auto"/>
              </w:rPr>
            </w:pPr>
          </w:p>
        </w:tc>
        <w:tc>
          <w:tcPr>
            <w:tcW w:w="348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r:id="rId209">
              <w:r>
                <w:rPr>
                  <w:rFonts w:ascii="Arial" w:cs="Arial" w:eastAsia="Arial" w:hAnsi="Arial"/>
                  <w:sz w:val="14"/>
                  <w:szCs w:val="14"/>
                  <w:color w:val="0000EE"/>
                </w:rPr>
                <w:t>Space,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10.6</w:t>
            </w:r>
          </w:p>
        </w:tc>
        <w:tc>
          <w:tcPr>
            <w:tcW w:w="3520" w:type="dxa"/>
            <w:vAlign w:val="bottom"/>
            <w:gridSpan w:val="15"/>
          </w:tcPr>
          <w:p>
            <w:pPr>
              <w:spacing w:after="0"/>
              <w:rPr>
                <w:rFonts w:ascii="Arial" w:cs="Arial" w:eastAsia="Arial" w:hAnsi="Arial"/>
                <w:sz w:val="14"/>
                <w:szCs w:val="14"/>
                <w:color w:val="0000EE"/>
              </w:rPr>
            </w:pPr>
            <w:hyperlink r:id="rId210">
              <w:r>
                <w:rPr>
                  <w:rFonts w:ascii="Arial" w:cs="Arial" w:eastAsia="Arial" w:hAnsi="Arial"/>
                  <w:sz w:val="14"/>
                  <w:szCs w:val="14"/>
                  <w:color w:val="0000EE"/>
                </w:rPr>
                <w:t>Executive Employment Agreement, dated December 30,</w:t>
              </w:r>
            </w:hyperlink>
          </w:p>
        </w:tc>
      </w:tr>
      <w:tr>
        <w:trPr>
          <w:trHeight w:val="20"/>
        </w:trPr>
        <w:tc>
          <w:tcPr>
            <w:tcW w:w="84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520" w:type="dxa"/>
            <w:vAlign w:val="bottom"/>
            <w:gridSpan w:val="15"/>
          </w:tcPr>
          <w:p>
            <w:pPr>
              <w:spacing w:after="0" w:line="129" w:lineRule="exact"/>
              <w:rPr>
                <w:rFonts w:ascii="Arial" w:cs="Arial" w:eastAsia="Arial" w:hAnsi="Arial"/>
                <w:sz w:val="14"/>
                <w:szCs w:val="14"/>
                <w:color w:val="0000EE"/>
                <w:w w:val="91"/>
              </w:rPr>
            </w:pPr>
            <w:hyperlink r:id="rId210">
              <w:r>
                <w:rPr>
                  <w:rFonts w:ascii="Arial" w:cs="Arial" w:eastAsia="Arial" w:hAnsi="Arial"/>
                  <w:sz w:val="14"/>
                  <w:szCs w:val="14"/>
                  <w:color w:val="0000EE"/>
                  <w:w w:val="91"/>
                </w:rPr>
                <w:t>2020, by and between the Prelude Therapeutics Incorporated</w:t>
              </w:r>
            </w:hyperlink>
          </w:p>
        </w:tc>
      </w:tr>
      <w:tr>
        <w:trPr>
          <w:trHeight w:val="128"/>
        </w:trPr>
        <w:tc>
          <w:tcPr>
            <w:tcW w:w="840" w:type="dxa"/>
            <w:vAlign w:val="bottom"/>
          </w:tcPr>
          <w:p>
            <w:pPr>
              <w:spacing w:after="0"/>
              <w:rPr>
                <w:sz w:val="11"/>
                <w:szCs w:val="11"/>
                <w:color w:val="auto"/>
              </w:rPr>
            </w:pPr>
          </w:p>
        </w:tc>
        <w:tc>
          <w:tcPr>
            <w:tcW w:w="350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r:id="rId210">
              <w:r>
                <w:rPr>
                  <w:rFonts w:ascii="Arial" w:cs="Arial" w:eastAsia="Arial" w:hAnsi="Arial"/>
                  <w:sz w:val="14"/>
                  <w:szCs w:val="14"/>
                  <w:color w:val="0000EE"/>
                </w:rPr>
                <w:t>and Krishna Vaddi</w:t>
              </w:r>
            </w:hyperlink>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60" w:type="dxa"/>
            <w:vAlign w:val="bottom"/>
            <w:gridSpan w:val="11"/>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10.7</w:t>
            </w:r>
          </w:p>
        </w:tc>
        <w:tc>
          <w:tcPr>
            <w:tcW w:w="3520" w:type="dxa"/>
            <w:vAlign w:val="bottom"/>
            <w:gridSpan w:val="15"/>
          </w:tcPr>
          <w:p>
            <w:pPr>
              <w:spacing w:after="0"/>
              <w:rPr>
                <w:rFonts w:ascii="Arial" w:cs="Arial" w:eastAsia="Arial" w:hAnsi="Arial"/>
                <w:sz w:val="14"/>
                <w:szCs w:val="14"/>
                <w:color w:val="0000EE"/>
              </w:rPr>
            </w:pPr>
            <w:hyperlink r:id="rId211">
              <w:r>
                <w:rPr>
                  <w:rFonts w:ascii="Arial" w:cs="Arial" w:eastAsia="Arial" w:hAnsi="Arial"/>
                  <w:sz w:val="14"/>
                  <w:szCs w:val="14"/>
                  <w:color w:val="0000EE"/>
                </w:rPr>
                <w:t>Executive Employment Agreement, dated December 19,</w:t>
              </w:r>
            </w:hyperlink>
          </w:p>
        </w:tc>
      </w:tr>
      <w:tr>
        <w:trPr>
          <w:trHeight w:val="20"/>
        </w:trPr>
        <w:tc>
          <w:tcPr>
            <w:tcW w:w="840" w:type="dxa"/>
            <w:vAlign w:val="bottom"/>
          </w:tcPr>
          <w:p>
            <w:pPr>
              <w:spacing w:after="0" w:line="20" w:lineRule="exact"/>
              <w:rPr>
                <w:sz w:val="1"/>
                <w:szCs w:val="1"/>
                <w:color w:val="auto"/>
              </w:rPr>
            </w:pPr>
          </w:p>
        </w:tc>
        <w:tc>
          <w:tcPr>
            <w:tcW w:w="3240" w:type="dxa"/>
            <w:vAlign w:val="bottom"/>
            <w:gridSpan w:val="9"/>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3520" w:type="dxa"/>
            <w:vAlign w:val="bottom"/>
            <w:gridSpan w:val="15"/>
          </w:tcPr>
          <w:p>
            <w:pPr>
              <w:spacing w:after="0"/>
              <w:rPr>
                <w:rFonts w:ascii="Arial" w:cs="Arial" w:eastAsia="Arial" w:hAnsi="Arial"/>
                <w:sz w:val="14"/>
                <w:szCs w:val="14"/>
                <w:u w:val="single" w:color="auto"/>
                <w:color w:val="0000EE"/>
                <w:w w:val="94"/>
              </w:rPr>
            </w:pPr>
            <w:hyperlink r:id="rId211">
              <w:r>
                <w:rPr>
                  <w:rFonts w:ascii="Arial" w:cs="Arial" w:eastAsia="Arial" w:hAnsi="Arial"/>
                  <w:sz w:val="14"/>
                  <w:szCs w:val="14"/>
                  <w:u w:val="single" w:color="auto"/>
                  <w:color w:val="0000EE"/>
                  <w:w w:val="94"/>
                </w:rPr>
                <w:t>2020, by and between the Registrant and Deborah Morosini</w:t>
              </w:r>
            </w:hyperlink>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X</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Pr>
          <w:p>
            <w:pPr>
              <w:jc w:val="center"/>
              <w:ind w:right="388"/>
              <w:spacing w:after="0"/>
              <w:rPr>
                <w:sz w:val="20"/>
                <w:szCs w:val="20"/>
                <w:color w:val="auto"/>
              </w:rPr>
            </w:pPr>
            <w:r>
              <w:rPr>
                <w:rFonts w:ascii="Arial" w:cs="Arial" w:eastAsia="Arial" w:hAnsi="Arial"/>
                <w:sz w:val="14"/>
                <w:szCs w:val="14"/>
                <w:color w:val="auto"/>
                <w:w w:val="91"/>
              </w:rPr>
              <w:t>S-1</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10.1</w:t>
            </w:r>
          </w:p>
        </w:tc>
        <w:tc>
          <w:tcPr>
            <w:tcW w:w="1520" w:type="dxa"/>
            <w:vAlign w:val="bottom"/>
          </w:tcPr>
          <w:p>
            <w:pPr>
              <w:jc w:val="center"/>
              <w:ind w:left="288"/>
              <w:spacing w:after="0"/>
              <w:rPr>
                <w:sz w:val="20"/>
                <w:szCs w:val="20"/>
                <w:color w:val="auto"/>
              </w:rPr>
            </w:pPr>
            <w:r>
              <w:rPr>
                <w:rFonts w:ascii="Arial" w:cs="Arial" w:eastAsia="Arial" w:hAnsi="Arial"/>
                <w:sz w:val="14"/>
                <w:szCs w:val="14"/>
                <w:color w:val="auto"/>
                <w:w w:val="90"/>
              </w:rPr>
              <w:t>September 4, 2020</w:t>
            </w:r>
          </w:p>
        </w:tc>
      </w:tr>
      <w:tr>
        <w:trPr>
          <w:trHeight w:val="472"/>
        </w:trPr>
        <w:tc>
          <w:tcPr>
            <w:tcW w:w="820" w:type="dxa"/>
            <w:vAlign w:val="bottom"/>
          </w:tcPr>
          <w:p>
            <w:pPr>
              <w:jc w:val="center"/>
              <w:ind w:right="388"/>
              <w:spacing w:after="0"/>
              <w:rPr>
                <w:sz w:val="20"/>
                <w:szCs w:val="20"/>
                <w:color w:val="auto"/>
              </w:rPr>
            </w:pPr>
            <w:r>
              <w:rPr>
                <w:rFonts w:ascii="Arial" w:cs="Arial" w:eastAsia="Arial" w:hAnsi="Arial"/>
                <w:sz w:val="14"/>
                <w:szCs w:val="14"/>
                <w:color w:val="auto"/>
                <w:w w:val="91"/>
              </w:rPr>
              <w:t>S-1</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10.2</w:t>
            </w:r>
          </w:p>
        </w:tc>
        <w:tc>
          <w:tcPr>
            <w:tcW w:w="1520" w:type="dxa"/>
            <w:vAlign w:val="bottom"/>
          </w:tcPr>
          <w:p>
            <w:pPr>
              <w:jc w:val="center"/>
              <w:ind w:left="288"/>
              <w:spacing w:after="0"/>
              <w:rPr>
                <w:sz w:val="20"/>
                <w:szCs w:val="20"/>
                <w:color w:val="auto"/>
              </w:rPr>
            </w:pPr>
            <w:r>
              <w:rPr>
                <w:rFonts w:ascii="Arial" w:cs="Arial" w:eastAsia="Arial" w:hAnsi="Arial"/>
                <w:sz w:val="14"/>
                <w:szCs w:val="14"/>
                <w:color w:val="auto"/>
                <w:w w:val="90"/>
              </w:rPr>
              <w:t>September 4, 2020</w:t>
            </w:r>
          </w:p>
        </w:tc>
      </w:tr>
      <w:tr>
        <w:trPr>
          <w:trHeight w:val="473"/>
        </w:trPr>
        <w:tc>
          <w:tcPr>
            <w:tcW w:w="820" w:type="dxa"/>
            <w:vAlign w:val="bottom"/>
          </w:tcPr>
          <w:p>
            <w:pPr>
              <w:jc w:val="center"/>
              <w:ind w:right="388"/>
              <w:spacing w:after="0"/>
              <w:rPr>
                <w:sz w:val="20"/>
                <w:szCs w:val="20"/>
                <w:color w:val="auto"/>
              </w:rPr>
            </w:pPr>
            <w:r>
              <w:rPr>
                <w:rFonts w:ascii="Arial" w:cs="Arial" w:eastAsia="Arial" w:hAnsi="Arial"/>
                <w:sz w:val="14"/>
                <w:szCs w:val="14"/>
                <w:color w:val="auto"/>
              </w:rPr>
              <w:t>S-1/A</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10.3</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89"/>
              </w:rPr>
              <w:t>September 21, 2020</w:t>
            </w:r>
          </w:p>
        </w:tc>
      </w:tr>
      <w:tr>
        <w:trPr>
          <w:trHeight w:val="324"/>
        </w:trPr>
        <w:tc>
          <w:tcPr>
            <w:tcW w:w="820" w:type="dxa"/>
            <w:vAlign w:val="bottom"/>
          </w:tcPr>
          <w:p>
            <w:pPr>
              <w:jc w:val="center"/>
              <w:ind w:right="388"/>
              <w:spacing w:after="0"/>
              <w:rPr>
                <w:sz w:val="20"/>
                <w:szCs w:val="20"/>
                <w:color w:val="auto"/>
              </w:rPr>
            </w:pPr>
            <w:r>
              <w:rPr>
                <w:rFonts w:ascii="Arial" w:cs="Arial" w:eastAsia="Arial" w:hAnsi="Arial"/>
                <w:sz w:val="14"/>
                <w:szCs w:val="14"/>
                <w:color w:val="auto"/>
              </w:rPr>
              <w:t>S-1/A</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10.4</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89"/>
              </w:rPr>
              <w:t>September 21, 2020</w:t>
            </w:r>
          </w:p>
        </w:tc>
      </w:tr>
      <w:tr>
        <w:trPr>
          <w:trHeight w:val="473"/>
        </w:trPr>
        <w:tc>
          <w:tcPr>
            <w:tcW w:w="820" w:type="dxa"/>
            <w:vAlign w:val="bottom"/>
          </w:tcPr>
          <w:p>
            <w:pPr>
              <w:jc w:val="center"/>
              <w:ind w:right="368"/>
              <w:spacing w:after="0"/>
              <w:rPr>
                <w:sz w:val="20"/>
                <w:szCs w:val="20"/>
                <w:color w:val="auto"/>
              </w:rPr>
            </w:pPr>
            <w:r>
              <w:rPr>
                <w:rFonts w:ascii="Arial" w:cs="Arial" w:eastAsia="Arial" w:hAnsi="Arial"/>
                <w:sz w:val="14"/>
                <w:szCs w:val="14"/>
                <w:color w:val="auto"/>
              </w:rPr>
              <w:t>8-K</w:t>
            </w:r>
          </w:p>
        </w:tc>
        <w:tc>
          <w:tcPr>
            <w:tcW w:w="1620" w:type="dxa"/>
            <w:vAlign w:val="bottom"/>
          </w:tcPr>
          <w:p>
            <w:pPr>
              <w:jc w:val="center"/>
              <w:spacing w:after="0"/>
              <w:rPr>
                <w:sz w:val="20"/>
                <w:szCs w:val="20"/>
                <w:color w:val="auto"/>
              </w:rPr>
            </w:pPr>
            <w:r>
              <w:rPr>
                <w:rFonts w:ascii="Arial" w:cs="Arial" w:eastAsia="Arial" w:hAnsi="Arial"/>
                <w:sz w:val="14"/>
                <w:szCs w:val="14"/>
                <w:color w:val="auto"/>
                <w:w w:val="92"/>
              </w:rPr>
              <w:t>001-39527</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10.1</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92"/>
              </w:rPr>
              <w:t>November 4, 2020</w:t>
            </w:r>
          </w:p>
        </w:tc>
      </w:tr>
      <w:tr>
        <w:trPr>
          <w:trHeight w:val="770"/>
        </w:trPr>
        <w:tc>
          <w:tcPr>
            <w:tcW w:w="820" w:type="dxa"/>
            <w:vAlign w:val="bottom"/>
          </w:tcPr>
          <w:p>
            <w:pPr>
              <w:jc w:val="center"/>
              <w:ind w:right="388"/>
              <w:spacing w:after="0"/>
              <w:rPr>
                <w:sz w:val="20"/>
                <w:szCs w:val="20"/>
                <w:color w:val="auto"/>
              </w:rPr>
            </w:pPr>
            <w:r>
              <w:rPr>
                <w:rFonts w:ascii="Arial" w:cs="Arial" w:eastAsia="Arial" w:hAnsi="Arial"/>
                <w:sz w:val="14"/>
                <w:szCs w:val="14"/>
                <w:color w:val="auto"/>
                <w:w w:val="91"/>
              </w:rPr>
              <w:t>S-1</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333-251874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10.6</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89"/>
              </w:rPr>
              <w:t>January 4, 2021</w:t>
            </w:r>
          </w:p>
        </w:tc>
      </w:tr>
      <w:tr>
        <w:trPr>
          <w:trHeight w:val="621"/>
        </w:trPr>
        <w:tc>
          <w:tcPr>
            <w:tcW w:w="820" w:type="dxa"/>
            <w:vAlign w:val="bottom"/>
          </w:tcPr>
          <w:p>
            <w:pPr>
              <w:jc w:val="center"/>
              <w:ind w:right="388"/>
              <w:spacing w:after="0"/>
              <w:rPr>
                <w:sz w:val="20"/>
                <w:szCs w:val="20"/>
                <w:color w:val="auto"/>
              </w:rPr>
            </w:pPr>
            <w:r>
              <w:rPr>
                <w:rFonts w:ascii="Arial" w:cs="Arial" w:eastAsia="Arial" w:hAnsi="Arial"/>
                <w:sz w:val="14"/>
                <w:szCs w:val="14"/>
                <w:color w:val="auto"/>
                <w:w w:val="91"/>
              </w:rPr>
              <w:t>S-1</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333-251874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10.7</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89"/>
              </w:rPr>
              <w:t>January 4, 2021</w:t>
            </w:r>
          </w:p>
        </w:tc>
      </w:tr>
    </w:tbl>
    <w:p>
      <w:pPr>
        <w:spacing w:after="0" w:line="348" w:lineRule="exact"/>
        <w:rPr>
          <w:sz w:val="20"/>
          <w:szCs w:val="20"/>
          <w:color w:val="auto"/>
        </w:rPr>
      </w:pPr>
    </w:p>
    <w:p>
      <w:pPr>
        <w:sectPr>
          <w:pgSz w:w="11900" w:h="16838" w:orient="portrait"/>
          <w:cols w:equalWidth="0" w:num="2">
            <w:col w:w="4340" w:space="380"/>
            <w:col w:w="6540"/>
          </w:cols>
          <w:pgMar w:left="320" w:top="337"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43" w:name="page144"/>
    <w:bookmarkEnd w:id="143"/>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3520" w:type="dxa"/>
            <w:vAlign w:val="bottom"/>
            <w:gridSpan w:val="16"/>
            <w:vMerge w:val="restart"/>
          </w:tcPr>
          <w:p>
            <w:pPr>
              <w:ind w:left="13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6"/>
        </w:trPr>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352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40" w:type="dxa"/>
            <w:vAlign w:val="bottom"/>
          </w:tcPr>
          <w:p>
            <w:pPr>
              <w:spacing w:after="0"/>
              <w:rPr>
                <w:sz w:val="20"/>
                <w:szCs w:val="20"/>
                <w:color w:val="auto"/>
              </w:rPr>
            </w:pPr>
            <w:r>
              <w:rPr>
                <w:rFonts w:ascii="Arial" w:cs="Arial" w:eastAsia="Arial" w:hAnsi="Arial"/>
                <w:sz w:val="14"/>
                <w:szCs w:val="14"/>
                <w:color w:val="auto"/>
              </w:rPr>
              <w:t>10.8</w:t>
            </w:r>
          </w:p>
        </w:tc>
        <w:tc>
          <w:tcPr>
            <w:tcW w:w="3520" w:type="dxa"/>
            <w:vAlign w:val="bottom"/>
            <w:gridSpan w:val="16"/>
          </w:tcPr>
          <w:p>
            <w:pPr>
              <w:spacing w:after="0"/>
              <w:rPr>
                <w:rFonts w:ascii="Arial" w:cs="Arial" w:eastAsia="Arial" w:hAnsi="Arial"/>
                <w:sz w:val="14"/>
                <w:szCs w:val="14"/>
                <w:color w:val="0000EE"/>
              </w:rPr>
            </w:pPr>
            <w:hyperlink r:id="rId213">
              <w:r>
                <w:rPr>
                  <w:rFonts w:ascii="Arial" w:cs="Arial" w:eastAsia="Arial" w:hAnsi="Arial"/>
                  <w:sz w:val="14"/>
                  <w:szCs w:val="14"/>
                  <w:color w:val="0000EE"/>
                </w:rPr>
                <w:t>Executive Employment Agreement, dated December 19,</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3520" w:type="dxa"/>
            <w:vAlign w:val="bottom"/>
            <w:gridSpan w:val="16"/>
          </w:tcPr>
          <w:p>
            <w:pPr>
              <w:spacing w:after="0"/>
              <w:rPr>
                <w:rFonts w:ascii="Arial" w:cs="Arial" w:eastAsia="Arial" w:hAnsi="Arial"/>
                <w:sz w:val="14"/>
                <w:szCs w:val="14"/>
                <w:u w:val="single" w:color="auto"/>
                <w:color w:val="0000EE"/>
                <w:w w:val="93"/>
              </w:rPr>
            </w:pPr>
            <w:hyperlink r:id="rId213">
              <w:r>
                <w:rPr>
                  <w:rFonts w:ascii="Arial" w:cs="Arial" w:eastAsia="Arial" w:hAnsi="Arial"/>
                  <w:sz w:val="14"/>
                  <w:szCs w:val="14"/>
                  <w:u w:val="single" w:color="auto"/>
                  <w:color w:val="0000EE"/>
                  <w:w w:val="93"/>
                </w:rPr>
                <w:t>2020, by and between the Registrant and Christopher Pierce</w:t>
              </w:r>
            </w:hyperlink>
          </w:p>
        </w:tc>
        <w:tc>
          <w:tcPr>
            <w:tcW w:w="0" w:type="dxa"/>
            <w:vAlign w:val="bottom"/>
          </w:tcPr>
          <w:p>
            <w:pPr>
              <w:spacing w:after="0"/>
              <w:rPr>
                <w:sz w:val="1"/>
                <w:szCs w:val="1"/>
                <w:color w:val="auto"/>
              </w:rPr>
            </w:pPr>
          </w:p>
        </w:tc>
      </w:tr>
      <w:tr>
        <w:trPr>
          <w:trHeight w:val="285"/>
        </w:trPr>
        <w:tc>
          <w:tcPr>
            <w:tcW w:w="840" w:type="dxa"/>
            <w:vAlign w:val="bottom"/>
          </w:tcPr>
          <w:p>
            <w:pPr>
              <w:spacing w:after="0"/>
              <w:rPr>
                <w:sz w:val="20"/>
                <w:szCs w:val="20"/>
                <w:color w:val="auto"/>
              </w:rPr>
            </w:pPr>
            <w:r>
              <w:rPr>
                <w:rFonts w:ascii="Arial" w:cs="Arial" w:eastAsia="Arial" w:hAnsi="Arial"/>
                <w:sz w:val="14"/>
                <w:szCs w:val="14"/>
                <w:color w:val="auto"/>
              </w:rPr>
              <w:t>21.1</w:t>
            </w:r>
          </w:p>
        </w:tc>
        <w:tc>
          <w:tcPr>
            <w:tcW w:w="3520" w:type="dxa"/>
            <w:vAlign w:val="bottom"/>
            <w:gridSpan w:val="16"/>
          </w:tcPr>
          <w:p>
            <w:pPr>
              <w:spacing w:after="0"/>
              <w:rPr>
                <w:rFonts w:ascii="Arial" w:cs="Arial" w:eastAsia="Arial" w:hAnsi="Arial"/>
                <w:sz w:val="14"/>
                <w:szCs w:val="14"/>
                <w:color w:val="0000EE"/>
              </w:rPr>
            </w:pPr>
            <w:hyperlink r:id="rId214">
              <w:r>
                <w:rPr>
                  <w:rFonts w:ascii="Arial" w:cs="Arial" w:eastAsia="Arial" w:hAnsi="Arial"/>
                  <w:sz w:val="14"/>
                  <w:szCs w:val="14"/>
                  <w:u w:val="single" w:color="auto"/>
                  <w:color w:val="0000EE"/>
                </w:rPr>
                <w:t>Subsidiaries of Prelude Therapeutics Incorporated</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154"/>
        </w:trPr>
        <w:tc>
          <w:tcPr>
            <w:tcW w:w="840" w:type="dxa"/>
            <w:vAlign w:val="bottom"/>
          </w:tcPr>
          <w:p>
            <w:pPr>
              <w:spacing w:after="0" w:line="154" w:lineRule="exact"/>
              <w:rPr>
                <w:sz w:val="20"/>
                <w:szCs w:val="20"/>
                <w:color w:val="auto"/>
              </w:rPr>
            </w:pPr>
            <w:r>
              <w:rPr>
                <w:rFonts w:ascii="Arial" w:cs="Arial" w:eastAsia="Arial" w:hAnsi="Arial"/>
                <w:sz w:val="14"/>
                <w:szCs w:val="14"/>
                <w:color w:val="auto"/>
              </w:rPr>
              <w:t>23.1</w:t>
            </w:r>
          </w:p>
        </w:tc>
        <w:tc>
          <w:tcPr>
            <w:tcW w:w="3520" w:type="dxa"/>
            <w:vAlign w:val="bottom"/>
            <w:gridSpan w:val="16"/>
          </w:tcPr>
          <w:p>
            <w:pPr>
              <w:spacing w:after="0" w:line="154" w:lineRule="exact"/>
              <w:rPr>
                <w:rFonts w:ascii="Arial" w:cs="Arial" w:eastAsia="Arial" w:hAnsi="Arial"/>
                <w:sz w:val="14"/>
                <w:szCs w:val="14"/>
                <w:color w:val="0000EE"/>
                <w:w w:val="93"/>
              </w:rPr>
            </w:pPr>
            <w:hyperlink w:anchor="page152">
              <w:r>
                <w:rPr>
                  <w:rFonts w:ascii="Arial" w:cs="Arial" w:eastAsia="Arial" w:hAnsi="Arial"/>
                  <w:sz w:val="14"/>
                  <w:szCs w:val="14"/>
                  <w:color w:val="0000EE"/>
                  <w:w w:val="93"/>
                </w:rPr>
                <w:t>Consent of Ernst and Young LLP, an independent registered</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140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4"/>
              </w:rPr>
            </w:pPr>
            <w:hyperlink w:anchor="page152">
              <w:r>
                <w:rPr>
                  <w:rFonts w:ascii="Arial" w:cs="Arial" w:eastAsia="Arial" w:hAnsi="Arial"/>
                  <w:sz w:val="14"/>
                  <w:szCs w:val="14"/>
                  <w:color w:val="0000EE"/>
                  <w:w w:val="94"/>
                </w:rPr>
                <w:t>public accounting firms.</w:t>
              </w:r>
            </w:hyperlink>
          </w:p>
        </w:tc>
        <w:tc>
          <w:tcPr>
            <w:tcW w:w="2060" w:type="dxa"/>
            <w:vAlign w:val="bottom"/>
            <w:tcBorders>
              <w:top w:val="single" w:sz="8" w:color="0000EE"/>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31.1*</w:t>
            </w:r>
          </w:p>
        </w:tc>
        <w:tc>
          <w:tcPr>
            <w:tcW w:w="3520" w:type="dxa"/>
            <w:vAlign w:val="bottom"/>
            <w:gridSpan w:val="16"/>
          </w:tcPr>
          <w:p>
            <w:pPr>
              <w:spacing w:after="0"/>
              <w:rPr>
                <w:rFonts w:ascii="Arial" w:cs="Arial" w:eastAsia="Arial" w:hAnsi="Arial"/>
                <w:sz w:val="14"/>
                <w:szCs w:val="14"/>
                <w:color w:val="0000EE"/>
              </w:rPr>
            </w:pPr>
            <w:hyperlink w:anchor="page153">
              <w:r>
                <w:rPr>
                  <w:rFonts w:ascii="Arial" w:cs="Arial" w:eastAsia="Arial" w:hAnsi="Arial"/>
                  <w:sz w:val="14"/>
                  <w:szCs w:val="14"/>
                  <w:color w:val="0000EE"/>
                </w:rPr>
                <w:t>Certification of Principal Executive Officer Pursuant to</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96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1"/>
              </w:rPr>
            </w:pPr>
            <w:hyperlink w:anchor="page153">
              <w:r>
                <w:rPr>
                  <w:rFonts w:ascii="Arial" w:cs="Arial" w:eastAsia="Arial" w:hAnsi="Arial"/>
                  <w:sz w:val="14"/>
                  <w:szCs w:val="14"/>
                  <w:color w:val="0000EE"/>
                  <w:w w:val="91"/>
                </w:rPr>
                <w:t>Rules 13a-14(a) and 15d-14(a) under the Securities</w:t>
              </w:r>
            </w:hyperlink>
          </w:p>
        </w:tc>
        <w:tc>
          <w:tcPr>
            <w:tcW w:w="28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520" w:type="dxa"/>
            <w:vAlign w:val="bottom"/>
            <w:gridSpan w:val="16"/>
          </w:tcPr>
          <w:p>
            <w:pPr>
              <w:spacing w:after="0" w:line="129" w:lineRule="exact"/>
              <w:rPr>
                <w:rFonts w:ascii="Arial" w:cs="Arial" w:eastAsia="Arial" w:hAnsi="Arial"/>
                <w:sz w:val="14"/>
                <w:szCs w:val="14"/>
                <w:color w:val="0000EE"/>
                <w:w w:val="94"/>
              </w:rPr>
            </w:pPr>
            <w:hyperlink w:anchor="page153">
              <w:r>
                <w:rPr>
                  <w:rFonts w:ascii="Arial" w:cs="Arial" w:eastAsia="Arial" w:hAnsi="Arial"/>
                  <w:sz w:val="14"/>
                  <w:szCs w:val="14"/>
                  <w:color w:val="0000EE"/>
                  <w:w w:val="94"/>
                </w:rPr>
                <w:t>Exchange Act of 1934, as Adopted Pursuant to Section 302</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04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92"/>
              </w:rPr>
            </w:pPr>
            <w:hyperlink w:anchor="page153">
              <w:r>
                <w:rPr>
                  <w:rFonts w:ascii="Arial" w:cs="Arial" w:eastAsia="Arial" w:hAnsi="Arial"/>
                  <w:sz w:val="14"/>
                  <w:szCs w:val="14"/>
                  <w:color w:val="0000EE"/>
                  <w:w w:val="92"/>
                </w:rPr>
                <w:t>of the Sarbanes-Oxley Act of 2002.</w:t>
              </w:r>
            </w:hyperlink>
          </w:p>
        </w:tc>
        <w:tc>
          <w:tcPr>
            <w:tcW w:w="1380" w:type="dxa"/>
            <w:vAlign w:val="bottom"/>
            <w:tcBorders>
              <w:top w:val="single" w:sz="8" w:color="0000EE"/>
            </w:tcBorders>
            <w:gridSpan w:val="6"/>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31.2*</w:t>
            </w:r>
          </w:p>
        </w:tc>
        <w:tc>
          <w:tcPr>
            <w:tcW w:w="3520" w:type="dxa"/>
            <w:vAlign w:val="bottom"/>
            <w:gridSpan w:val="16"/>
          </w:tcPr>
          <w:p>
            <w:pPr>
              <w:spacing w:after="0"/>
              <w:rPr>
                <w:rFonts w:ascii="Arial" w:cs="Arial" w:eastAsia="Arial" w:hAnsi="Arial"/>
                <w:sz w:val="14"/>
                <w:szCs w:val="14"/>
                <w:color w:val="0000EE"/>
                <w:w w:val="95"/>
              </w:rPr>
            </w:pPr>
            <w:hyperlink w:anchor="page154">
              <w:r>
                <w:rPr>
                  <w:rFonts w:ascii="Arial" w:cs="Arial" w:eastAsia="Arial" w:hAnsi="Arial"/>
                  <w:sz w:val="14"/>
                  <w:szCs w:val="14"/>
                  <w:color w:val="0000EE"/>
                  <w:w w:val="95"/>
                </w:rPr>
                <w:t>Certification of Principal Financial Officer Pursuant to Rules</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500" w:type="dxa"/>
            <w:vAlign w:val="bottom"/>
            <w:tcBorders>
              <w:top w:val="single" w:sz="8" w:color="0000EE"/>
            </w:tcBorders>
            <w:gridSpan w:val="15"/>
          </w:tcPr>
          <w:p>
            <w:pPr>
              <w:spacing w:after="0" w:line="129" w:lineRule="exact"/>
              <w:rPr>
                <w:rFonts w:ascii="Arial" w:cs="Arial" w:eastAsia="Arial" w:hAnsi="Arial"/>
                <w:sz w:val="14"/>
                <w:szCs w:val="14"/>
                <w:color w:val="0000EE"/>
                <w:w w:val="93"/>
              </w:rPr>
            </w:pPr>
            <w:hyperlink w:anchor="page154">
              <w:r>
                <w:rPr>
                  <w:rFonts w:ascii="Arial" w:cs="Arial" w:eastAsia="Arial" w:hAnsi="Arial"/>
                  <w:sz w:val="14"/>
                  <w:szCs w:val="14"/>
                  <w:color w:val="0000EE"/>
                  <w:w w:val="93"/>
                </w:rPr>
                <w:t>13a-14(a) and 15d-14(a) under the Securities Exchange Act</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154">
              <w:r>
                <w:rPr>
                  <w:rFonts w:ascii="Arial" w:cs="Arial" w:eastAsia="Arial" w:hAnsi="Arial"/>
                  <w:sz w:val="14"/>
                  <w:szCs w:val="14"/>
                  <w:color w:val="0000EE"/>
                </w:rPr>
                <w:t>of 1934, as Adopted Pursuant to Section 302 of the</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94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154">
              <w:r>
                <w:rPr>
                  <w:rFonts w:ascii="Arial" w:cs="Arial" w:eastAsia="Arial" w:hAnsi="Arial"/>
                  <w:sz w:val="14"/>
                  <w:szCs w:val="14"/>
                  <w:color w:val="0000EE"/>
                </w:rPr>
                <w:t>Sarbanes-Oxley Act of 2002.</w:t>
              </w:r>
            </w:hyperlink>
          </w:p>
        </w:tc>
        <w:tc>
          <w:tcPr>
            <w:tcW w:w="38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32.1*</w:t>
            </w:r>
          </w:p>
        </w:tc>
        <w:tc>
          <w:tcPr>
            <w:tcW w:w="3520" w:type="dxa"/>
            <w:vAlign w:val="bottom"/>
            <w:gridSpan w:val="16"/>
          </w:tcPr>
          <w:p>
            <w:pPr>
              <w:spacing w:after="0"/>
              <w:rPr>
                <w:rFonts w:ascii="Arial" w:cs="Arial" w:eastAsia="Arial" w:hAnsi="Arial"/>
                <w:sz w:val="14"/>
                <w:szCs w:val="14"/>
                <w:color w:val="0000EE"/>
                <w:w w:val="99"/>
              </w:rPr>
            </w:pPr>
            <w:hyperlink w:anchor="page155">
              <w:r>
                <w:rPr>
                  <w:rFonts w:ascii="Arial" w:cs="Arial" w:eastAsia="Arial" w:hAnsi="Arial"/>
                  <w:sz w:val="14"/>
                  <w:szCs w:val="14"/>
                  <w:color w:val="0000EE"/>
                  <w:w w:val="99"/>
                </w:rPr>
                <w:t>Certification of Principal Executive Officer Pursuant to 18</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360" w:type="dxa"/>
            <w:vAlign w:val="bottom"/>
            <w:tcBorders>
              <w:top w:val="single" w:sz="8" w:color="0000EE"/>
            </w:tcBorders>
            <w:gridSpan w:val="10"/>
          </w:tcPr>
          <w:p>
            <w:pPr>
              <w:spacing w:after="0" w:line="129" w:lineRule="exact"/>
              <w:rPr>
                <w:rFonts w:ascii="Arial" w:cs="Arial" w:eastAsia="Arial" w:hAnsi="Arial"/>
                <w:sz w:val="14"/>
                <w:szCs w:val="14"/>
                <w:color w:val="0000EE"/>
                <w:w w:val="93"/>
              </w:rPr>
            </w:pPr>
            <w:hyperlink w:anchor="page155">
              <w:r>
                <w:rPr>
                  <w:rFonts w:ascii="Arial" w:cs="Arial" w:eastAsia="Arial" w:hAnsi="Arial"/>
                  <w:sz w:val="14"/>
                  <w:szCs w:val="14"/>
                  <w:color w:val="0000EE"/>
                  <w:w w:val="93"/>
                </w:rPr>
                <w:t>U.S.C. Section 1350, as Adopted Pursuant to Section 906</w:t>
              </w:r>
            </w:hyperlink>
          </w:p>
        </w:tc>
        <w:tc>
          <w:tcPr>
            <w:tcW w:w="160" w:type="dxa"/>
            <w:vAlign w:val="bottom"/>
            <w:gridSpan w:val="6"/>
          </w:tcPr>
          <w:p>
            <w:pPr>
              <w:jc w:val="right"/>
              <w:ind w:right="60"/>
              <w:spacing w:after="0" w:line="129" w:lineRule="exact"/>
              <w:rPr>
                <w:rFonts w:ascii="Arial" w:cs="Arial" w:eastAsia="Arial" w:hAnsi="Arial"/>
                <w:sz w:val="13"/>
                <w:szCs w:val="13"/>
                <w:color w:val="0000EE"/>
                <w:w w:val="73"/>
              </w:rPr>
            </w:pPr>
            <w:hyperlink w:anchor="page155">
              <w:r>
                <w:rPr>
                  <w:rFonts w:ascii="Arial" w:cs="Arial" w:eastAsia="Arial" w:hAnsi="Arial"/>
                  <w:sz w:val="13"/>
                  <w:szCs w:val="13"/>
                  <w:color w:val="0000EE"/>
                  <w:w w:val="73"/>
                </w:rPr>
                <w:t>of</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190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2"/>
              </w:rPr>
            </w:pPr>
            <w:hyperlink w:anchor="page155">
              <w:r>
                <w:rPr>
                  <w:rFonts w:ascii="Arial" w:cs="Arial" w:eastAsia="Arial" w:hAnsi="Arial"/>
                  <w:sz w:val="14"/>
                  <w:szCs w:val="14"/>
                  <w:color w:val="0000EE"/>
                  <w:w w:val="92"/>
                </w:rPr>
                <w:t>the Sarbanes-Oxley Act of 2002.</w:t>
              </w:r>
            </w:hyperlink>
          </w:p>
        </w:tc>
        <w:tc>
          <w:tcPr>
            <w:tcW w:w="1580" w:type="dxa"/>
            <w:vAlign w:val="bottom"/>
            <w:tcBorders>
              <w:top w:val="single" w:sz="8" w:color="0000EE"/>
            </w:tcBorders>
            <w:gridSpan w:val="10"/>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32.2*</w:t>
            </w:r>
          </w:p>
        </w:tc>
        <w:tc>
          <w:tcPr>
            <w:tcW w:w="3520" w:type="dxa"/>
            <w:vAlign w:val="bottom"/>
            <w:gridSpan w:val="16"/>
          </w:tcPr>
          <w:p>
            <w:pPr>
              <w:spacing w:after="0"/>
              <w:rPr>
                <w:rFonts w:ascii="Arial" w:cs="Arial" w:eastAsia="Arial" w:hAnsi="Arial"/>
                <w:sz w:val="14"/>
                <w:szCs w:val="14"/>
                <w:color w:val="0000EE"/>
              </w:rPr>
            </w:pPr>
            <w:hyperlink w:anchor="page156">
              <w:r>
                <w:rPr>
                  <w:rFonts w:ascii="Arial" w:cs="Arial" w:eastAsia="Arial" w:hAnsi="Arial"/>
                  <w:sz w:val="14"/>
                  <w:szCs w:val="14"/>
                  <w:color w:val="0000EE"/>
                </w:rPr>
                <w:t>Certification of Principal Financial Officer Pursuant to 18</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320" w:type="dxa"/>
            <w:vAlign w:val="bottom"/>
            <w:tcBorders>
              <w:top w:val="single" w:sz="8" w:color="0000EE"/>
            </w:tcBorders>
            <w:gridSpan w:val="9"/>
          </w:tcPr>
          <w:p>
            <w:pPr>
              <w:spacing w:after="0" w:line="129" w:lineRule="exact"/>
              <w:rPr>
                <w:rFonts w:ascii="Arial" w:cs="Arial" w:eastAsia="Arial" w:hAnsi="Arial"/>
                <w:sz w:val="14"/>
                <w:szCs w:val="14"/>
                <w:color w:val="0000EE"/>
                <w:w w:val="91"/>
              </w:rPr>
            </w:pPr>
            <w:hyperlink w:anchor="page156">
              <w:r>
                <w:rPr>
                  <w:rFonts w:ascii="Arial" w:cs="Arial" w:eastAsia="Arial" w:hAnsi="Arial"/>
                  <w:sz w:val="14"/>
                  <w:szCs w:val="14"/>
                  <w:color w:val="0000EE"/>
                  <w:w w:val="91"/>
                </w:rPr>
                <w:t>U.S.C. Section 1350, as Adopted Pursuant to Section 906</w:t>
              </w:r>
            </w:hyperlink>
          </w:p>
        </w:tc>
        <w:tc>
          <w:tcPr>
            <w:tcW w:w="200" w:type="dxa"/>
            <w:vAlign w:val="bottom"/>
            <w:gridSpan w:val="7"/>
          </w:tcPr>
          <w:p>
            <w:pPr>
              <w:jc w:val="right"/>
              <w:ind w:right="60"/>
              <w:spacing w:after="0" w:line="129" w:lineRule="exact"/>
              <w:rPr>
                <w:rFonts w:ascii="Arial" w:cs="Arial" w:eastAsia="Arial" w:hAnsi="Arial"/>
                <w:sz w:val="14"/>
                <w:szCs w:val="14"/>
                <w:color w:val="0000EE"/>
              </w:rPr>
            </w:pPr>
            <w:hyperlink w:anchor="page156">
              <w:r>
                <w:rPr>
                  <w:rFonts w:ascii="Arial" w:cs="Arial" w:eastAsia="Arial" w:hAnsi="Arial"/>
                  <w:sz w:val="14"/>
                  <w:szCs w:val="14"/>
                  <w:color w:val="0000EE"/>
                </w:rPr>
                <w:t>of</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8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156">
              <w:r>
                <w:rPr>
                  <w:rFonts w:ascii="Arial" w:cs="Arial" w:eastAsia="Arial" w:hAnsi="Arial"/>
                  <w:sz w:val="14"/>
                  <w:szCs w:val="14"/>
                  <w:color w:val="0000EE"/>
                </w:rPr>
                <w:t>the Sarbanes-Oxley Act of 2002.</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840" w:type="dxa"/>
            <w:vAlign w:val="bottom"/>
          </w:tcPr>
          <w:p>
            <w:pPr>
              <w:spacing w:after="0"/>
              <w:rPr>
                <w:sz w:val="20"/>
                <w:szCs w:val="20"/>
                <w:color w:val="auto"/>
              </w:rPr>
            </w:pPr>
            <w:r>
              <w:rPr>
                <w:rFonts w:ascii="Arial" w:cs="Arial" w:eastAsia="Arial" w:hAnsi="Arial"/>
                <w:sz w:val="14"/>
                <w:szCs w:val="14"/>
                <w:color w:val="auto"/>
              </w:rPr>
              <w:t>101.INS</w:t>
            </w:r>
          </w:p>
        </w:tc>
        <w:tc>
          <w:tcPr>
            <w:tcW w:w="1880" w:type="dxa"/>
            <w:vAlign w:val="bottom"/>
            <w:tcBorders>
              <w:top w:val="single" w:sz="8" w:color="0000EE"/>
            </w:tcBorders>
            <w:gridSpan w:val="3"/>
          </w:tcPr>
          <w:p>
            <w:pPr>
              <w:spacing w:after="0"/>
              <w:rPr>
                <w:sz w:val="20"/>
                <w:szCs w:val="20"/>
                <w:color w:val="auto"/>
              </w:rPr>
            </w:pPr>
            <w:r>
              <w:rPr>
                <w:rFonts w:ascii="Arial" w:cs="Arial" w:eastAsia="Arial" w:hAnsi="Arial"/>
                <w:sz w:val="14"/>
                <w:szCs w:val="14"/>
                <w:color w:val="auto"/>
              </w:rPr>
              <w:t>XBRL Instance Document</w:t>
            </w:r>
          </w:p>
        </w:tc>
        <w:tc>
          <w:tcPr>
            <w:tcW w:w="1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3520" w:type="dxa"/>
            <w:vAlign w:val="bottom"/>
            <w:gridSpan w:val="16"/>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101.CAL</w:t>
            </w:r>
          </w:p>
        </w:tc>
        <w:tc>
          <w:tcPr>
            <w:tcW w:w="3520" w:type="dxa"/>
            <w:vAlign w:val="bottom"/>
            <w:gridSpan w:val="16"/>
          </w:tcPr>
          <w:p>
            <w:pPr>
              <w:spacing w:after="0"/>
              <w:rPr>
                <w:sz w:val="20"/>
                <w:szCs w:val="20"/>
                <w:color w:val="auto"/>
              </w:rPr>
            </w:pPr>
            <w:r>
              <w:rPr>
                <w:rFonts w:ascii="Arial" w:cs="Arial" w:eastAsia="Arial" w:hAnsi="Arial"/>
                <w:sz w:val="14"/>
                <w:szCs w:val="14"/>
                <w:color w:val="auto"/>
              </w:rPr>
              <w:t>XBRL Taxonomy Extension Calculation Linkbase</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52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3520" w:type="dxa"/>
            <w:vAlign w:val="bottom"/>
            <w:gridSpan w:val="16"/>
          </w:tcPr>
          <w:p>
            <w:pPr>
              <w:spacing w:after="0"/>
              <w:rPr>
                <w:sz w:val="20"/>
                <w:szCs w:val="20"/>
                <w:color w:val="auto"/>
              </w:rPr>
            </w:pPr>
            <w:r>
              <w:rPr>
                <w:rFonts w:ascii="Arial" w:cs="Arial" w:eastAsia="Arial" w:hAnsi="Arial"/>
                <w:sz w:val="14"/>
                <w:szCs w:val="14"/>
                <w:color w:val="auto"/>
                <w:w w:val="96"/>
              </w:rPr>
              <w:t>XBRL Taxonomy Extension Definition Linkbase Document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101.LAB</w:t>
            </w:r>
          </w:p>
        </w:tc>
        <w:tc>
          <w:tcPr>
            <w:tcW w:w="3520" w:type="dxa"/>
            <w:vAlign w:val="bottom"/>
            <w:gridSpan w:val="16"/>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3520" w:type="dxa"/>
            <w:vAlign w:val="bottom"/>
            <w:gridSpan w:val="16"/>
          </w:tcPr>
          <w:p>
            <w:pPr>
              <w:spacing w:after="0"/>
              <w:rPr>
                <w:sz w:val="20"/>
                <w:szCs w:val="20"/>
                <w:color w:val="auto"/>
              </w:rPr>
            </w:pPr>
            <w:r>
              <w:rPr>
                <w:rFonts w:ascii="Arial" w:cs="Arial" w:eastAsia="Arial" w:hAnsi="Arial"/>
                <w:sz w:val="14"/>
                <w:szCs w:val="14"/>
                <w:color w:val="auto"/>
              </w:rPr>
              <w:t>XBRL Taxonomy Extension Presentation Linkbase</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52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9512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4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7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2"/>
            <w:vMerge w:val="continue"/>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color w:val="auto"/>
                <w:w w:val="97"/>
              </w:rPr>
              <w:t>Form</w:t>
            </w:r>
          </w:p>
        </w:tc>
        <w:tc>
          <w:tcPr>
            <w:tcW w:w="158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5"/>
              </w:rPr>
              <w:t>File No.</w:t>
            </w: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Exhibit</w:t>
            </w:r>
          </w:p>
        </w:tc>
        <w:tc>
          <w:tcPr>
            <w:tcW w:w="178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color w:val="auto"/>
                <w:w w:val="98"/>
              </w:rPr>
              <w:t>Filing 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1160" w:type="dxa"/>
            <w:vAlign w:val="bottom"/>
          </w:tcPr>
          <w:p>
            <w:pPr>
              <w:jc w:val="center"/>
              <w:ind w:right="8"/>
              <w:spacing w:after="0"/>
              <w:rPr>
                <w:sz w:val="20"/>
                <w:szCs w:val="20"/>
                <w:color w:val="auto"/>
              </w:rPr>
            </w:pPr>
            <w:r>
              <w:rPr>
                <w:rFonts w:ascii="Arial" w:cs="Arial" w:eastAsia="Arial" w:hAnsi="Arial"/>
                <w:sz w:val="14"/>
                <w:szCs w:val="14"/>
                <w:color w:val="auto"/>
                <w:w w:val="91"/>
              </w:rPr>
              <w:t>S-1</w:t>
            </w:r>
          </w:p>
        </w:tc>
        <w:tc>
          <w:tcPr>
            <w:tcW w:w="1580" w:type="dxa"/>
            <w:vAlign w:val="bottom"/>
          </w:tcPr>
          <w:p>
            <w:pPr>
              <w:jc w:val="center"/>
              <w:ind w:left="8"/>
              <w:spacing w:after="0"/>
              <w:rPr>
                <w:sz w:val="20"/>
                <w:szCs w:val="20"/>
                <w:color w:val="auto"/>
              </w:rPr>
            </w:pPr>
            <w:r>
              <w:rPr>
                <w:rFonts w:ascii="Arial" w:cs="Arial" w:eastAsia="Arial" w:hAnsi="Arial"/>
                <w:sz w:val="14"/>
                <w:szCs w:val="14"/>
                <w:color w:val="auto"/>
                <w:w w:val="93"/>
              </w:rPr>
              <w:t>333-251874</w:t>
            </w:r>
          </w:p>
        </w:tc>
        <w:tc>
          <w:tcPr>
            <w:tcW w:w="1260" w:type="dxa"/>
            <w:vAlign w:val="bottom"/>
          </w:tcPr>
          <w:p>
            <w:pPr>
              <w:jc w:val="center"/>
              <w:spacing w:after="0"/>
              <w:rPr>
                <w:sz w:val="20"/>
                <w:szCs w:val="20"/>
                <w:color w:val="auto"/>
              </w:rPr>
            </w:pPr>
            <w:r>
              <w:rPr>
                <w:rFonts w:ascii="Arial" w:cs="Arial" w:eastAsia="Arial" w:hAnsi="Arial"/>
                <w:sz w:val="14"/>
                <w:szCs w:val="14"/>
                <w:color w:val="auto"/>
                <w:w w:val="87"/>
              </w:rPr>
              <w:t>10.8</w:t>
            </w:r>
          </w:p>
        </w:tc>
        <w:tc>
          <w:tcPr>
            <w:tcW w:w="2900" w:type="dxa"/>
            <w:vAlign w:val="bottom"/>
            <w:gridSpan w:val="2"/>
          </w:tcPr>
          <w:p>
            <w:pPr>
              <w:jc w:val="center"/>
              <w:ind w:right="1168"/>
              <w:spacing w:after="0"/>
              <w:rPr>
                <w:sz w:val="20"/>
                <w:szCs w:val="20"/>
                <w:color w:val="auto"/>
              </w:rPr>
            </w:pPr>
            <w:r>
              <w:rPr>
                <w:rFonts w:ascii="Arial" w:cs="Arial" w:eastAsia="Arial" w:hAnsi="Arial"/>
                <w:sz w:val="14"/>
                <w:szCs w:val="14"/>
                <w:color w:val="auto"/>
                <w:w w:val="89"/>
              </w:rPr>
              <w:t>January 4, 2021</w:t>
            </w:r>
          </w:p>
        </w:tc>
        <w:tc>
          <w:tcPr>
            <w:tcW w:w="0" w:type="dxa"/>
            <w:vAlign w:val="bottom"/>
          </w:tcPr>
          <w:p>
            <w:pPr>
              <w:spacing w:after="0"/>
              <w:rPr>
                <w:sz w:val="1"/>
                <w:szCs w:val="1"/>
                <w:color w:val="auto"/>
              </w:rPr>
            </w:pPr>
          </w:p>
        </w:tc>
      </w:tr>
      <w:tr>
        <w:trPr>
          <w:trHeight w:val="464"/>
        </w:trPr>
        <w:tc>
          <w:tcPr>
            <w:tcW w:w="1160" w:type="dxa"/>
            <w:vAlign w:val="bottom"/>
          </w:tcPr>
          <w:p>
            <w:pPr>
              <w:jc w:val="center"/>
              <w:ind w:right="8"/>
              <w:spacing w:after="0"/>
              <w:rPr>
                <w:sz w:val="20"/>
                <w:szCs w:val="20"/>
                <w:color w:val="auto"/>
              </w:rPr>
            </w:pPr>
            <w:r>
              <w:rPr>
                <w:rFonts w:ascii="Arial" w:cs="Arial" w:eastAsia="Arial" w:hAnsi="Arial"/>
                <w:sz w:val="14"/>
                <w:szCs w:val="14"/>
                <w:color w:val="auto"/>
                <w:w w:val="91"/>
              </w:rPr>
              <w:t>S-1</w:t>
            </w:r>
          </w:p>
        </w:tc>
        <w:tc>
          <w:tcPr>
            <w:tcW w:w="1580" w:type="dxa"/>
            <w:vAlign w:val="bottom"/>
          </w:tcPr>
          <w:p>
            <w:pPr>
              <w:jc w:val="center"/>
              <w:ind w:left="8"/>
              <w:spacing w:after="0"/>
              <w:rPr>
                <w:sz w:val="20"/>
                <w:szCs w:val="20"/>
                <w:color w:val="auto"/>
              </w:rPr>
            </w:pPr>
            <w:r>
              <w:rPr>
                <w:rFonts w:ascii="Arial" w:cs="Arial" w:eastAsia="Arial" w:hAnsi="Arial"/>
                <w:sz w:val="14"/>
                <w:szCs w:val="14"/>
                <w:color w:val="auto"/>
                <w:w w:val="93"/>
              </w:rPr>
              <w:t>333-248628</w:t>
            </w:r>
          </w:p>
        </w:tc>
        <w:tc>
          <w:tcPr>
            <w:tcW w:w="1260" w:type="dxa"/>
            <w:vAlign w:val="bottom"/>
          </w:tcPr>
          <w:p>
            <w:pPr>
              <w:jc w:val="center"/>
              <w:spacing w:after="0"/>
              <w:rPr>
                <w:sz w:val="20"/>
                <w:szCs w:val="20"/>
                <w:color w:val="auto"/>
              </w:rPr>
            </w:pPr>
            <w:r>
              <w:rPr>
                <w:rFonts w:ascii="Arial" w:cs="Arial" w:eastAsia="Arial" w:hAnsi="Arial"/>
                <w:sz w:val="14"/>
                <w:szCs w:val="14"/>
                <w:color w:val="auto"/>
                <w:w w:val="87"/>
              </w:rPr>
              <w:t>21.1</w:t>
            </w:r>
          </w:p>
        </w:tc>
        <w:tc>
          <w:tcPr>
            <w:tcW w:w="2900" w:type="dxa"/>
            <w:vAlign w:val="bottom"/>
            <w:gridSpan w:val="2"/>
          </w:tcPr>
          <w:p>
            <w:pPr>
              <w:jc w:val="center"/>
              <w:ind w:right="1188"/>
              <w:spacing w:after="0"/>
              <w:rPr>
                <w:sz w:val="20"/>
                <w:szCs w:val="20"/>
                <w:color w:val="auto"/>
              </w:rPr>
            </w:pPr>
            <w:r>
              <w:rPr>
                <w:rFonts w:ascii="Arial" w:cs="Arial" w:eastAsia="Arial" w:hAnsi="Arial"/>
                <w:sz w:val="14"/>
                <w:szCs w:val="14"/>
                <w:color w:val="auto"/>
                <w:w w:val="90"/>
              </w:rPr>
              <w:t>September 4, 2020</w:t>
            </w:r>
          </w:p>
        </w:tc>
        <w:tc>
          <w:tcPr>
            <w:tcW w:w="0" w:type="dxa"/>
            <w:vAlign w:val="bottom"/>
          </w:tcPr>
          <w:p>
            <w:pPr>
              <w:spacing w:after="0"/>
              <w:rPr>
                <w:sz w:val="1"/>
                <w:szCs w:val="1"/>
                <w:color w:val="auto"/>
              </w:rPr>
            </w:pPr>
          </w:p>
        </w:tc>
      </w:tr>
    </w:tbl>
    <w:p>
      <w:pPr>
        <w:jc w:val="right"/>
        <w:ind w:right="500"/>
        <w:spacing w:after="0"/>
        <w:rPr>
          <w:sz w:val="20"/>
          <w:szCs w:val="20"/>
          <w:color w:val="auto"/>
        </w:rPr>
      </w:pPr>
      <w:r>
        <w:rPr>
          <w:rFonts w:ascii="Arial" w:cs="Arial" w:eastAsia="Arial" w:hAnsi="Arial"/>
          <w:sz w:val="14"/>
          <w:szCs w:val="14"/>
          <w:color w:val="auto"/>
        </w:rPr>
        <w:t>X</w:t>
      </w:r>
    </w:p>
    <w:p>
      <w:pPr>
        <w:spacing w:after="0" w:line="300"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83185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4340" w:space="20"/>
            <w:col w:w="6900"/>
          </w:cols>
          <w:pgMar w:left="320" w:top="320" w:right="319" w:bottom="1440" w:gutter="0" w:footer="0" w:header="0"/>
        </w:sectPr>
      </w:pPr>
    </w:p>
    <w:bookmarkStart w:id="144" w:name="page145"/>
    <w:bookmarkEnd w:id="14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7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PRELUDE THERAPEUTICS INCORPORATED</w:t>
      </w:r>
    </w:p>
    <w:p>
      <w:pPr>
        <w:sectPr>
          <w:pgSz w:w="11900" w:h="16838" w:orient="portrait"/>
          <w:cols w:equalWidth="0" w:num="1">
            <w:col w:w="11100"/>
          </w:cols>
          <w:pgMar w:left="320" w:top="337"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2021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920"/>
        <w:spacing w:after="0"/>
        <w:rPr>
          <w:sz w:val="20"/>
          <w:szCs w:val="20"/>
          <w:color w:val="auto"/>
        </w:rPr>
      </w:pPr>
      <w:r>
        <w:rPr>
          <w:rFonts w:ascii="Arial" w:cs="Arial" w:eastAsia="Arial" w:hAnsi="Arial"/>
          <w:sz w:val="16"/>
          <w:szCs w:val="16"/>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29210</wp:posOffset>
            </wp:positionV>
            <wp:extent cx="34118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4860" w:space="720"/>
            <w:col w:w="1620" w:space="720"/>
            <w:col w:w="3180"/>
          </w:cols>
          <w:pgMar w:left="320" w:top="337" w:right="479" w:bottom="1440" w:gutter="0" w:footer="0" w:header="0"/>
          <w:type w:val="continuous"/>
        </w:sectPr>
      </w:pPr>
    </w:p>
    <w:p>
      <w:pPr>
        <w:jc w:val="center"/>
        <w:ind w:left="5820"/>
        <w:spacing w:after="0"/>
        <w:rPr>
          <w:sz w:val="20"/>
          <w:szCs w:val="20"/>
          <w:color w:val="auto"/>
        </w:rPr>
      </w:pPr>
      <w:r>
        <w:rPr>
          <w:rFonts w:ascii="Arial" w:cs="Arial" w:eastAsia="Arial" w:hAnsi="Arial"/>
          <w:sz w:val="18"/>
          <w:szCs w:val="18"/>
          <w:color w:val="auto"/>
        </w:rPr>
        <w:t>Krishna Vaddi, Ph.D</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Chief Executive Officer</w:t>
      </w:r>
    </w:p>
    <w:p>
      <w:pPr>
        <w:spacing w:after="0" w:line="251" w:lineRule="exact"/>
        <w:rPr>
          <w:sz w:val="20"/>
          <w:szCs w:val="20"/>
          <w:color w:val="auto"/>
        </w:rPr>
      </w:pPr>
    </w:p>
    <w:p>
      <w:pPr>
        <w:ind w:right="140" w:firstLine="47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214370" cy="38061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321437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jc w:val="center"/>
              <w:ind w:left="372"/>
              <w:spacing w:after="0"/>
              <w:rPr>
                <w:sz w:val="20"/>
                <w:szCs w:val="20"/>
                <w:color w:val="auto"/>
              </w:rPr>
            </w:pPr>
            <w:r>
              <w:rPr>
                <w:rFonts w:ascii="Arial" w:cs="Arial" w:eastAsia="Arial" w:hAnsi="Arial"/>
                <w:sz w:val="14"/>
                <w:szCs w:val="14"/>
                <w:b w:val="1"/>
                <w:bCs w:val="1"/>
                <w:color w:val="auto"/>
                <w:w w:val="98"/>
              </w:rPr>
              <w:t>Date</w:t>
            </w: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c>
          <w:tcPr>
            <w:tcW w:w="41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16, 2021</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Krishna Vaddi, Ph.D.</w:t>
            </w: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600" w:type="dxa"/>
            <w:vAlign w:val="bottom"/>
          </w:tcPr>
          <w:p>
            <w:pPr>
              <w:spacing w:after="0"/>
              <w:rPr>
                <w:sz w:val="19"/>
                <w:szCs w:val="19"/>
                <w:color w:val="auto"/>
              </w:rPr>
            </w:pPr>
          </w:p>
        </w:tc>
      </w:tr>
      <w:tr>
        <w:trPr>
          <w:trHeight w:val="64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Piper</w:t>
            </w: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16, 2021</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Brian Piper, M.B.A.</w:t>
            </w: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1600" w:type="dxa"/>
            <w:vAlign w:val="bottom"/>
          </w:tcPr>
          <w:p>
            <w:pPr>
              <w:spacing w:after="0"/>
              <w:rPr>
                <w:sz w:val="19"/>
                <w:szCs w:val="19"/>
                <w:color w:val="auto"/>
              </w:rPr>
            </w:pPr>
          </w:p>
        </w:tc>
      </w:tr>
      <w:tr>
        <w:trPr>
          <w:trHeight w:val="64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Paul A. Friedman</w:t>
            </w: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Chairman and 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16, 2021</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Paul A. Friedman, M.D.</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Julian Baker</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16, 2021</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Julian Baker</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Bonita</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16, 2021</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David Bonita, M.D.</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Mardi C. Dier</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16, 2021</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highlight w:val="white"/>
                <w:w w:val="94"/>
              </w:rPr>
              <w:t>Mardi C. Dier</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64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highlight w:val="white"/>
                <w:w w:val="90"/>
              </w:rPr>
              <w:t>/s/ Victor Sandor</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16, 2021</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highlight w:val="white"/>
                <w:w w:val="94"/>
              </w:rPr>
              <w:t>Victor Sandor, M.D.C.M.</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-3514725</wp:posOffset>
            </wp:positionV>
            <wp:extent cx="3917315" cy="3651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391731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337" w:right="47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December 31, 2020, Prelude Therapeutics Incorporated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t>
      </w:r>
      <w:r>
        <w:rPr>
          <w:rFonts w:ascii="Arial" w:cs="Arial" w:eastAsia="Arial" w:hAnsi="Arial"/>
          <w:sz w:val="17"/>
          <w:szCs w:val="17"/>
          <w:b w:val="1"/>
          <w:bCs w:val="1"/>
          <w:i w:val="1"/>
          <w:iCs w:val="1"/>
          <w:color w:val="auto"/>
        </w:rPr>
        <w:t>we</w:t>
      </w:r>
      <w:r>
        <w:rPr>
          <w:rFonts w:ascii="Arial" w:cs="Arial" w:eastAsia="Arial" w:hAnsi="Arial"/>
          <w:sz w:val="17"/>
          <w:szCs w:val="17"/>
          <w:color w:val="auto"/>
        </w:rPr>
        <w:t>” or “</w:t>
      </w:r>
      <w:r>
        <w:rPr>
          <w:rFonts w:ascii="Arial" w:cs="Arial" w:eastAsia="Arial" w:hAnsi="Arial"/>
          <w:sz w:val="17"/>
          <w:szCs w:val="17"/>
          <w:b w:val="1"/>
          <w:bCs w:val="1"/>
          <w:i w:val="1"/>
          <w:iCs w:val="1"/>
          <w:color w:val="auto"/>
        </w:rPr>
        <w:t>our</w:t>
      </w:r>
      <w:r>
        <w:rPr>
          <w:rFonts w:ascii="Arial" w:cs="Arial" w:eastAsia="Arial" w:hAnsi="Arial"/>
          <w:sz w:val="17"/>
          <w:szCs w:val="17"/>
          <w:color w:val="auto"/>
        </w:rPr>
        <w:t>”) had one class of securities registered under Section 12 of the Securities Exchange Act of 1934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our common stock, $0.0001 par value per share. Our non-voting common stock are not registered under Section 12 of the Exchange Act. The following summary describes the material terms of our capital stock. The description of capital stock is qualified by reference to our certificate of incorporation, our bylaws and our investors rights agreement (the “</w:t>
      </w:r>
      <w:r>
        <w:rPr>
          <w:rFonts w:ascii="Arial" w:cs="Arial" w:eastAsia="Arial" w:hAnsi="Arial"/>
          <w:sz w:val="17"/>
          <w:szCs w:val="17"/>
          <w:b w:val="1"/>
          <w:bCs w:val="1"/>
          <w:i w:val="1"/>
          <w:iCs w:val="1"/>
          <w:color w:val="auto"/>
        </w:rPr>
        <w:t>IRA</w:t>
      </w:r>
      <w:r>
        <w:rPr>
          <w:rFonts w:ascii="Arial" w:cs="Arial" w:eastAsia="Arial" w:hAnsi="Arial"/>
          <w:sz w:val="17"/>
          <w:szCs w:val="17"/>
          <w:color w:val="auto"/>
        </w:rPr>
        <w:t>”), our registration rights agreement (the “</w:t>
      </w:r>
      <w:r>
        <w:rPr>
          <w:rFonts w:ascii="Arial" w:cs="Arial" w:eastAsia="Arial" w:hAnsi="Arial"/>
          <w:sz w:val="17"/>
          <w:szCs w:val="17"/>
          <w:b w:val="1"/>
          <w:bCs w:val="1"/>
          <w:i w:val="1"/>
          <w:iCs w:val="1"/>
          <w:color w:val="auto"/>
        </w:rPr>
        <w:t>Post-IPO RRA</w:t>
      </w:r>
      <w:r>
        <w:rPr>
          <w:rFonts w:ascii="Arial" w:cs="Arial" w:eastAsia="Arial" w:hAnsi="Arial"/>
          <w:sz w:val="17"/>
          <w:szCs w:val="17"/>
          <w:color w:val="auto"/>
        </w:rPr>
        <w:t>”) with certain of our stockholders (the “</w:t>
      </w:r>
      <w:r>
        <w:rPr>
          <w:rFonts w:ascii="Arial" w:cs="Arial" w:eastAsia="Arial" w:hAnsi="Arial"/>
          <w:sz w:val="17"/>
          <w:szCs w:val="17"/>
          <w:b w:val="1"/>
          <w:bCs w:val="1"/>
          <w:i w:val="1"/>
          <w:iCs w:val="1"/>
          <w:color w:val="auto"/>
        </w:rPr>
        <w:t>RRA Investors</w:t>
      </w:r>
      <w:r>
        <w:rPr>
          <w:rFonts w:ascii="Arial" w:cs="Arial" w:eastAsia="Arial" w:hAnsi="Arial"/>
          <w:sz w:val="17"/>
          <w:szCs w:val="17"/>
          <w:color w:val="auto"/>
        </w:rPr>
        <w:t>”) which are included as exhibits to our most recent Annual Report on Form 10-K and to the applicable provisions of the Delaware General Corporation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Non-Voting Common Stock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Holders of our common stock have no conversion rights, while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restated certificate of incorporation. However, this ownership limitation may be increased (not to exceed 19.99%) or decreased to any other percentage designated by such holder of non-voting common stock upon 61 days’ notice to us.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and our non-voting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Except as otherwise expressly provided in our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established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Neither our common stock nor our non-voting common stock is entitled to preemptive rights, and neither is subject to conversion, redemption or sinking fund provisions.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our non-voting common stock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ind w:right="40"/>
        <w:spacing w:after="0" w:line="277" w:lineRule="auto"/>
        <w:rPr>
          <w:sz w:val="20"/>
          <w:szCs w:val="20"/>
          <w:color w:val="auto"/>
        </w:rPr>
      </w:pPr>
      <w:r>
        <w:rPr>
          <w:rFonts w:ascii="Arial" w:cs="Arial" w:eastAsia="Arial" w:hAnsi="Arial"/>
          <w:sz w:val="18"/>
          <w:szCs w:val="18"/>
          <w:color w:val="auto"/>
        </w:rPr>
        <w:t>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holders of shares of our common stock and non-voting common stock are entitled to rights with respect to the registration of these shares (or, in the case of the non-voting common stock, the shares of common stock into which such shares are convertible) under the Securities Act as described below. We refer to these shares collectively as registrable securities. These rights are provided under the terms of the IRA between us and the holders of these shares, which was entered into in connection with our redeemable convertible preferred stock financings prior to our IPO and under the terms of the Post-IPO RRA between us and the RRA Investors.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Beginning from March 23, 2021, if the holders of not less than 50%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net of selling expenses, is at least $5.0 million. The stockholders may only require us to effect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 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(i) first, among holders of our preferred stock, in proportion to the amount of common stock issued or issuable upon conversion of the preferred stock owned by each such holder to be included in such offering, and (ii) second, among all other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7" w:name="page148"/>
    <w:bookmarkEnd w:id="147"/>
    <w:p>
      <w:pPr>
        <w:spacing w:after="0" w:line="293" w:lineRule="auto"/>
        <w:rPr>
          <w:sz w:val="20"/>
          <w:szCs w:val="20"/>
          <w:color w:val="auto"/>
        </w:rPr>
      </w:pPr>
      <w:r>
        <w:rPr>
          <w:rFonts w:ascii="Arial" w:cs="Arial" w:eastAsia="Arial" w:hAnsi="Arial"/>
          <w:sz w:val="16"/>
          <w:szCs w:val="16"/>
          <w:color w:val="auto"/>
        </w:rPr>
        <w:t>of our registrable securities, in proportion to the amount of other registrable securities owned by each such holder. However, (i) the number of shares issued or issuable upon conversion of the preferred stock, to be registered by the holders of our preferred stock, cannot be reduced unless all other securities (other than as offered by us) are first excluded entirely, and (ii) the number of shares to be registered by holders of all other registrable securities cannot be reduced unless all other securities (other than as offered by us and the shares of common stock issued or issuable on conversion of our preferred stock) are first entirely excluded. The number of registrable securities included in the offering may not be reduced below 25% of the total number of securities included in such offering, except for in connection with an initial public offering, in which case the underwriters may exclude these holders entirely.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generally will pay all expenses, other than underwriting discounts and selling commissions incurred in connection with each of the registrations described above, including the reasonable fees and disbursements, not to exceed $15,000, of one counsel for the selling 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earliest to occur of (a) at such time that all of the holder’s registrable securities can be sold without limitation in any three-month period without registration in compliance with Rule 144 or a similar exemption under the Securities Act and (b) at such time that our common stock is trading on a national securities exchange and all of the holder’s registrable securities can be sold during a three-month period without registration.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Post-IPO RRA between us and each of Baker Brothers and its affiliates, OrbiMed and its affiliates and Kris Vaddi, the RRA Investors are entitled to rights with respect to the registration of their shares under the Securities Act that supersede such rights as described above held by the RRA Investors under the IRA. These registration rights include the right to demand that we file with the SEC a Form S-3 registration statement (except if we are not then eligible to register for resale the registrable securities on Form S-3, in which case, such registration shall be on another appropriate form in accordance with the Securities Act) covering the registration of their registrable securities for resale, subject to certain conditions, as well as rights to be permitted an aggregate of five underwritten public offerings between the RRA Investors during the term of the Post-IPO RRA, subject to a limitation of an aggregate of two underwritten public offerings per calendar year, to effect the sale of their common stock for sale. The RRA Investors also have piggy-back rights to participate in registrations demanded by any of the other RRA Investors. The Post-IPO RRA requires us to pay expenses relating to such registrations and indemnify these holders against certain liabilities. Our registration obligations under this registration rights agreement would continue in effect until the earliest of (i) December 20, 2030, (ii) when the applicable registrable securities have been resold by the holders pursuant to an effective registration statement, (iii) when the applicable registrable securities have been resold pursuant to Rule 144 or (iv) when the applicable registrable securities may be resold pursuant to Rule 144 without limitations as to volume or manner of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The provisions of Delaware General Corporation Law, or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8" w:name="page149"/>
    <w:bookmarkEnd w:id="148"/>
    <w:p>
      <w:pPr>
        <w:ind w:right="60"/>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84" w:lineRule="exact"/>
        <w:rPr>
          <w:sz w:val="20"/>
          <w:szCs w:val="20"/>
          <w:color w:val="auto"/>
        </w:rPr>
      </w:pPr>
    </w:p>
    <w:p>
      <w:pPr>
        <w:ind w:left="1020" w:right="440" w:hanging="557"/>
        <w:spacing w:after="0" w:line="277"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1020" w:hanging="557"/>
        <w:spacing w:after="0" w:line="291"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1020" w:right="60"/>
        <w:spacing w:after="0" w:line="255" w:lineRule="auto"/>
        <w:rPr>
          <w:rFonts w:ascii="Arial" w:cs="Arial" w:eastAsia="Arial" w:hAnsi="Arial"/>
          <w:sz w:val="16"/>
          <w:szCs w:val="16"/>
          <w:color w:val="auto"/>
        </w:rPr>
      </w:pPr>
      <w:r>
        <w:rPr>
          <w:rFonts w:ascii="Arial" w:cs="Arial" w:eastAsia="Arial" w:hAnsi="Arial"/>
          <w:sz w:val="18"/>
          <w:szCs w:val="18"/>
          <w:color w:val="auto"/>
        </w:rPr>
        <w:t>(i)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89" w:lineRule="exact"/>
        <w:rPr>
          <w:rFonts w:ascii="Arial" w:cs="Arial" w:eastAsia="Arial" w:hAnsi="Arial"/>
          <w:sz w:val="16"/>
          <w:szCs w:val="16"/>
          <w:color w:val="auto"/>
        </w:rPr>
      </w:pPr>
    </w:p>
    <w:p>
      <w:pPr>
        <w:ind w:left="1020" w:right="460" w:hanging="557"/>
        <w:spacing w:after="0" w:line="263"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Certain Provisions of Our Restated Certificate of Incorporation and Restated Bylaw</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170" w:lineRule="exact"/>
        <w:rPr>
          <w:sz w:val="20"/>
          <w:szCs w:val="20"/>
          <w:color w:val="auto"/>
        </w:rPr>
      </w:pPr>
    </w:p>
    <w:p>
      <w:pPr>
        <w:ind w:left="1020" w:right="80" w:hanging="557"/>
        <w:spacing w:after="0" w:line="29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Board of Directors Vacancies</w:t>
      </w:r>
      <w:r>
        <w:rPr>
          <w:rFonts w:ascii="Arial" w:cs="Arial" w:eastAsia="Arial" w:hAnsi="Arial"/>
          <w:sz w:val="16"/>
          <w:szCs w:val="16"/>
          <w:color w:val="auto"/>
        </w:rPr>
        <w:t>. Our restated certificate of incorporation and restated bylaws authorizes only our board of directors to fill</w:t>
      </w:r>
      <w:r>
        <w:rPr>
          <w:rFonts w:ascii="Arial" w:cs="Arial" w:eastAsia="Arial" w:hAnsi="Arial"/>
          <w:sz w:val="16"/>
          <w:szCs w:val="16"/>
          <w:i w:val="1"/>
          <w:iCs w:val="1"/>
          <w:color w:val="auto"/>
        </w:rPr>
        <w:t xml:space="preserve"> </w:t>
      </w:r>
      <w:r>
        <w:rPr>
          <w:rFonts w:ascii="Arial" w:cs="Arial" w:eastAsia="Arial" w:hAnsi="Arial"/>
          <w:sz w:val="16"/>
          <w:szCs w:val="16"/>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61" w:lineRule="exact"/>
        <w:rPr>
          <w:rFonts w:ascii="Arial" w:cs="Arial" w:eastAsia="Arial" w:hAnsi="Arial"/>
          <w:sz w:val="16"/>
          <w:szCs w:val="16"/>
          <w:color w:val="auto"/>
        </w:rPr>
      </w:pPr>
    </w:p>
    <w:p>
      <w:pPr>
        <w:ind w:left="1020" w:right="420" w:hanging="557"/>
        <w:spacing w:after="0" w:line="259"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restated certificate of incorporation and restated bylaws provide that our board of directors is classified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9" w:name="page150"/>
    <w:bookmarkEnd w:id="149"/>
    <w:p>
      <w:pPr>
        <w:ind w:left="557" w:right="40" w:hanging="557"/>
        <w:spacing w:after="0" w:line="254" w:lineRule="auto"/>
        <w:tabs>
          <w:tab w:leader="none" w:pos="55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Meetings of Stockholders</w:t>
      </w:r>
      <w:r>
        <w:rPr>
          <w:rFonts w:ascii="Arial" w:cs="Arial" w:eastAsia="Arial" w:hAnsi="Arial"/>
          <w:sz w:val="18"/>
          <w:szCs w:val="18"/>
          <w:color w:val="auto"/>
        </w:rPr>
        <w:t>. Our restated certificate of incorporation provide that our stockholders may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91" w:lineRule="exact"/>
        <w:rPr>
          <w:rFonts w:ascii="Arial" w:cs="Arial" w:eastAsia="Arial" w:hAnsi="Arial"/>
          <w:sz w:val="18"/>
          <w:szCs w:val="18"/>
          <w:color w:val="auto"/>
        </w:rPr>
      </w:pPr>
    </w:p>
    <w:p>
      <w:pPr>
        <w:ind w:left="557" w:hanging="557"/>
        <w:spacing w:after="0" w:line="272" w:lineRule="auto"/>
        <w:tabs>
          <w:tab w:leader="none" w:pos="557"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restated bylaws provide advance notice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rFonts w:ascii="Arial" w:cs="Arial" w:eastAsia="Arial" w:hAnsi="Arial"/>
          <w:sz w:val="17"/>
          <w:szCs w:val="17"/>
          <w:color w:val="auto"/>
        </w:rPr>
      </w:pPr>
    </w:p>
    <w:p>
      <w:pPr>
        <w:ind w:left="557" w:right="80" w:hanging="557"/>
        <w:spacing w:after="0" w:line="263" w:lineRule="auto"/>
        <w:tabs>
          <w:tab w:leader="none" w:pos="55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 corporation’s certificate of incorporation provides otherwise. Our restated certificate of incorporation and restated bylaws do not provide for cumulative voting.</w:t>
      </w:r>
    </w:p>
    <w:p>
      <w:pPr>
        <w:spacing w:after="0" w:line="183" w:lineRule="exact"/>
        <w:rPr>
          <w:rFonts w:ascii="Arial" w:cs="Arial" w:eastAsia="Arial" w:hAnsi="Arial"/>
          <w:sz w:val="18"/>
          <w:szCs w:val="18"/>
          <w:color w:val="auto"/>
        </w:rPr>
      </w:pPr>
    </w:p>
    <w:p>
      <w:pPr>
        <w:ind w:left="557" w:right="120" w:hanging="557"/>
        <w:spacing w:after="0" w:line="277" w:lineRule="auto"/>
        <w:tabs>
          <w:tab w:leader="none" w:pos="55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restated certificate of incorporation provides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170" w:lineRule="exact"/>
        <w:rPr>
          <w:rFonts w:ascii="Arial" w:cs="Arial" w:eastAsia="Arial" w:hAnsi="Arial"/>
          <w:sz w:val="18"/>
          <w:szCs w:val="18"/>
          <w:color w:val="auto"/>
        </w:rPr>
      </w:pPr>
    </w:p>
    <w:p>
      <w:pPr>
        <w:ind w:left="557" w:right="640" w:hanging="557"/>
        <w:spacing w:after="0" w:line="277" w:lineRule="auto"/>
        <w:tabs>
          <w:tab w:leader="none" w:pos="55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170" w:lineRule="exact"/>
        <w:rPr>
          <w:rFonts w:ascii="Arial" w:cs="Arial" w:eastAsia="Arial" w:hAnsi="Arial"/>
          <w:sz w:val="18"/>
          <w:szCs w:val="18"/>
          <w:color w:val="auto"/>
        </w:rPr>
      </w:pPr>
    </w:p>
    <w:p>
      <w:pPr>
        <w:ind w:left="557" w:right="100" w:hanging="557"/>
        <w:spacing w:after="0" w:line="301" w:lineRule="auto"/>
        <w:tabs>
          <w:tab w:leader="none" w:pos="557"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has the authority, without further action by the stockholders,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451485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57"/>
          </w:cols>
          <w:pgMar w:left="783" w:top="341" w:right="359" w:bottom="1440" w:gutter="0" w:footer="0" w:header="0"/>
        </w:sectPr>
      </w:pPr>
    </w:p>
    <w:bookmarkStart w:id="150" w:name="page151"/>
    <w:bookmarkEnd w:id="150"/>
    <w:p>
      <w:pPr>
        <w:ind w:left="1020" w:hanging="557"/>
        <w:spacing w:after="0" w:line="284"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restated certificate of incorporation provides that, to the fullest extent permitted by law, the Court of Chancery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restated bylaws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and non-voting common stock is Computershare Trust Company, 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 Listing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“PRLD.” The non-voting common stock is not listed for trading on any securities exchange and we do not plan to list the non-voting common stock on any securities exchange.</w:t>
      </w:r>
    </w:p>
    <w:p>
      <w:pPr>
        <w:sectPr>
          <w:pgSz w:w="11900" w:h="16838" w:orient="portrait"/>
          <w:cols w:equalWidth="0" w:num="1">
            <w:col w:w="11220"/>
          </w:cols>
          <w:pgMar w:left="320" w:top="341" w:right="3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21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333333"/>
        </w:rPr>
        <w:t>We consent to the incorporation by reference in the Registration Statement (Form S-8 No. 333-249032) pertaining to the 2016 Stock Incentive Plan, 2020 Equity Incentive Plan, and 2020 Employee Stock Purchase Plan of Prelude Therapeutics Incorporated of our report dated March 16, 2021, with respect to the financial statements of Prelude Therapeutics Incorporated included in this Annual Report (Form 10-K)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225" w:lineRule="exact"/>
        <w:rPr>
          <w:sz w:val="20"/>
          <w:szCs w:val="20"/>
          <w:color w:val="auto"/>
        </w:rPr>
      </w:pPr>
    </w:p>
    <w:p>
      <w:pPr>
        <w:ind w:left="440" w:hanging="432"/>
        <w:spacing w:after="0"/>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Prelude Therapeutics Incorporated;</w:t>
      </w:r>
    </w:p>
    <w:p>
      <w:pPr>
        <w:spacing w:after="0" w:line="225" w:lineRule="exact"/>
        <w:rPr>
          <w:rFonts w:ascii="Arial" w:cs="Arial" w:eastAsia="Arial" w:hAnsi="Arial"/>
          <w:sz w:val="18"/>
          <w:szCs w:val="18"/>
          <w:color w:val="auto"/>
        </w:rPr>
      </w:pPr>
    </w:p>
    <w:p>
      <w:pPr>
        <w:jc w:val="both"/>
        <w:ind w:left="440" w:right="340" w:hanging="432"/>
        <w:spacing w:after="0" w:line="263" w:lineRule="auto"/>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300" w:hanging="432"/>
        <w:spacing w:after="0" w:line="308" w:lineRule="auto"/>
        <w:tabs>
          <w:tab w:leader="none" w:pos="4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520" w:hanging="432"/>
        <w:spacing w:after="0" w:line="277" w:lineRule="auto"/>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440" w:right="60"/>
        <w:spacing w:after="0" w:line="263" w:lineRule="auto"/>
        <w:tabs>
          <w:tab w:leader="none" w:pos="68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40" w:right="840"/>
        <w:spacing w:after="0" w:line="342" w:lineRule="auto"/>
        <w:tabs>
          <w:tab w:leader="none" w:pos="6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440" w:right="300"/>
        <w:spacing w:after="0" w:line="263" w:lineRule="auto"/>
        <w:tabs>
          <w:tab w:leader="none" w:pos="68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right="220" w:hanging="432"/>
        <w:spacing w:after="0" w:line="308" w:lineRule="auto"/>
        <w:tabs>
          <w:tab w:leader="none" w:pos="4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right="240"/>
        <w:spacing w:after="0" w:line="277" w:lineRule="auto"/>
        <w:tabs>
          <w:tab w:leader="none" w:pos="68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0"/>
        <w:spacing w:after="0" w:line="277"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2021</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Krishna Vaddi</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Krishna Vaddi,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Brian Piper, certify that:</w:t>
      </w:r>
    </w:p>
    <w:p>
      <w:pPr>
        <w:spacing w:after="0" w:line="225"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Prelude Therapeutics Incorporated;</w:t>
      </w:r>
    </w:p>
    <w:p>
      <w:pPr>
        <w:spacing w:after="0" w:line="225" w:lineRule="exact"/>
        <w:rPr>
          <w:rFonts w:ascii="Arial" w:cs="Arial" w:eastAsia="Arial" w:hAnsi="Arial"/>
          <w:sz w:val="18"/>
          <w:szCs w:val="18"/>
          <w:color w:val="auto"/>
        </w:rPr>
      </w:pPr>
    </w:p>
    <w:p>
      <w:pPr>
        <w:jc w:val="both"/>
        <w:ind w:left="440" w:right="340" w:hanging="432"/>
        <w:spacing w:after="0" w:line="263" w:lineRule="auto"/>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300" w:hanging="432"/>
        <w:spacing w:after="0" w:line="308" w:lineRule="auto"/>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520" w:hanging="432"/>
        <w:spacing w:after="0" w:line="277" w:lineRule="auto"/>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440" w:right="60"/>
        <w:spacing w:after="0" w:line="263" w:lineRule="auto"/>
        <w:tabs>
          <w:tab w:leader="none" w:pos="68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40" w:right="840"/>
        <w:spacing w:after="0" w:line="342" w:lineRule="auto"/>
        <w:tabs>
          <w:tab w:leader="none" w:pos="6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440" w:right="300"/>
        <w:spacing w:after="0" w:line="263" w:lineRule="auto"/>
        <w:tabs>
          <w:tab w:leader="none" w:pos="68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right="220" w:hanging="432"/>
        <w:spacing w:after="0" w:line="308" w:lineRule="auto"/>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40" w:right="240"/>
        <w:spacing w:after="0" w:line="277" w:lineRule="auto"/>
        <w:tabs>
          <w:tab w:leader="none" w:pos="68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0"/>
        <w:spacing w:after="0" w:line="277"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2021</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Brian Piper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Piper,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880" w:right="720" w:hanging="427"/>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80" w:right="760" w:hanging="427"/>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Dated: March 16,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 Vaddi</w:t>
            </w:r>
          </w:p>
        </w:tc>
      </w:tr>
      <w:tr>
        <w:trPr>
          <w:trHeight w:val="209"/>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Krishna Vaddi, Ph.D.</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Brian Piper, Chief Financial Officer of Prelude Therapeutics Incorporated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880" w:right="720" w:hanging="440"/>
        <w:spacing w:after="0" w:line="277"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Dated: March 16,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Piper</w:t>
            </w:r>
          </w:p>
        </w:tc>
      </w:tr>
      <w:tr>
        <w:trPr>
          <w:trHeight w:val="209"/>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Brian Piper, M.B.A.</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lvl w:ilvl="1">
      <w:lvlJc w:val="left"/>
      <w:lvlText w:val="•"/>
      <w:numFmt w:val="bullet"/>
      <w:start w:val="1"/>
    </w:lvl>
  </w:abstractNum>
  <w:abstractNum w:abstractNumId="3">
    <w:nsid w:val="1D4ED43B"/>
    <w:multiLevelType w:val="hybridMultilevel"/>
    <w:lvl w:ilvl="0">
      <w:lvlJc w:val="left"/>
      <w:lvlText w:val="•"/>
      <w:numFmt w:val="bullet"/>
      <w:start w:val="1"/>
    </w:lvl>
    <w:lvl w:ilvl="1">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upperLetter"/>
      <w:start w:val="39"/>
    </w:lvl>
  </w:abstractNum>
  <w:abstractNum w:abstractNumId="12">
    <w:nsid w:val="7644A45C"/>
    <w:multiLevelType w:val="hybridMultilevel"/>
    <w:lvl w:ilvl="0">
      <w:lvlJc w:val="left"/>
      <w:lvlText w:val="a"/>
      <w:numFmt w:val="bullet"/>
      <w:start w:val="1"/>
    </w:lvl>
  </w:abstractNum>
  <w:abstractNum w:abstractNumId="13">
    <w:nsid w:val="32FFF902"/>
    <w:multiLevelType w:val="hybridMultilevel"/>
    <w:lvl w:ilvl="0">
      <w:lvlJc w:val="left"/>
      <w:lvlText w:val="•"/>
      <w:numFmt w:val="bullet"/>
      <w:start w:val="1"/>
    </w:lvl>
    <w:lvl w:ilvl="1">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1)"/>
      <w:numFmt w:val="lowerRoman"/>
      <w:start w:val="3"/>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decimal"/>
      <w:start w:val="7"/>
    </w:lvl>
  </w:abstractNum>
  <w:abstractNum w:abstractNumId="70">
    <w:nsid w:val="11447B73"/>
    <w:multiLevelType w:val="hybridMultilevel"/>
    <w:lvl w:ilvl="0">
      <w:lvlJc w:val="left"/>
      <w:lvlText w:val="%1."/>
      <w:numFmt w:val="decimal"/>
      <w:start w:val="8"/>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2"/>
    </w:lvl>
  </w:abstractNum>
  <w:abstractNum w:abstractNumId="73">
    <w:nsid w:val="8F2B15E"/>
    <w:multiLevelType w:val="hybridMultilevel"/>
    <w:lvl w:ilvl="0">
      <w:lvlJc w:val="left"/>
      <w:lvlText w:val="(%1)"/>
      <w:numFmt w:val="decimal"/>
      <w:start w:val="3"/>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12"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00" Type="http://schemas.openxmlformats.org/officeDocument/2006/relationships/hyperlink" Target="http://www.sec.gov/Archives/edgar/data/0001678660/000156459020052747/prld-ex31_234.htm" TargetMode="External"/><Relationship Id="rId201" Type="http://schemas.openxmlformats.org/officeDocument/2006/relationships/hyperlink" Target="http://www.sec.gov/Archives/edgar/data/0001678660/000156459020052747/prld-ex32_235.htm" TargetMode="External"/><Relationship Id="rId202" Type="http://schemas.openxmlformats.org/officeDocument/2006/relationships/hyperlink" Target="http://www.sec.gov/Archives/edgar/data/0001678660/000119312520246920/d935180dex41.htm" TargetMode="External"/><Relationship Id="rId203" Type="http://schemas.openxmlformats.org/officeDocument/2006/relationships/hyperlink" Target="http://www.sec.gov/Archives/edgar/data/0001678660/000119312520240138/d935180dex42.htm" TargetMode="External"/><Relationship Id="rId204" Type="http://schemas.openxmlformats.org/officeDocument/2006/relationships/hyperlink" Target="http://www.sec.gov/Archives/edgar/data/0001678660/000119312521000946/d85697dex43.htm" TargetMode="External"/><Relationship Id="rId205" Type="http://schemas.openxmlformats.org/officeDocument/2006/relationships/hyperlink" Target="http://www.sec.gov/Archives/edgar/data/0001678660/000119312520240138/d935180dex101.htm" TargetMode="External"/><Relationship Id="rId206" Type="http://schemas.openxmlformats.org/officeDocument/2006/relationships/hyperlink" Target="http://www.sec.gov/Archives/edgar/data/0001678660/000119312520240138/d935180dex102.htm" TargetMode="External"/><Relationship Id="rId207" Type="http://schemas.openxmlformats.org/officeDocument/2006/relationships/hyperlink" Target="http://www.sec.gov/Archives/edgar/data/0001678660/000119312520249549/d935180dex103.htm" TargetMode="External"/><Relationship Id="rId208" Type="http://schemas.openxmlformats.org/officeDocument/2006/relationships/hyperlink" Target="http://www.sec.gov/Archives/edgar/data/0001678660/000119312520249549/d935180dex104.htm" TargetMode="External"/><Relationship Id="rId209" Type="http://schemas.openxmlformats.org/officeDocument/2006/relationships/hyperlink" Target="http://www.sec.gov/Archives/edgar/data/0001678660/000119312520285568/d88737dex101.htm" TargetMode="External"/><Relationship Id="rId210" Type="http://schemas.openxmlformats.org/officeDocument/2006/relationships/hyperlink" Target="http://www.sec.gov/Archives/edgar/data/0001678660/000119312521000946/d85697dex106.htm" TargetMode="External"/><Relationship Id="rId211" Type="http://schemas.openxmlformats.org/officeDocument/2006/relationships/hyperlink" Target="http://www.sec.gov/Archives/edgar/data/0001678660/000119312521000946/d85697dex107.htm" TargetMode="External"/><Relationship Id="rId213" Type="http://schemas.openxmlformats.org/officeDocument/2006/relationships/hyperlink" Target="http://www.sec.gov/Archives/edgar/data/0001678660/000119312521000946/d85697dex108.htm" TargetMode="External"/><Relationship Id="rId214" Type="http://schemas.openxmlformats.org/officeDocument/2006/relationships/hyperlink" Target="http://www.sec.gov/Archives/edgar/data/0001678660/000119312520240138/d93518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2021-03-16T07:24:42Z</dcterms:created>
  <dcterms:modified xsi:type="dcterms:W3CDTF">2021-03-16T07:24:42Z</dcterms:modified>
</cp:coreProperties>
</file>