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rld-20260630.htm"/>
      <w:bookmarkStart w:id="1" w:name="ksprld20260630"/>
      <w:bookmarkEnd w:id="0"/>
      <w:bookmarkEnd w:id="1"/>
      <w:r>
        <w:rPr/>
        <w:t> </w:t>
      </w:r>
    </w:p>
    <w:p>
      <w:pPr>
        <w:pStyle w:val="TextBody"/>
        <w:bidi w:val="0"/>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001-39527</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PRELUDE THERAPEUTICS INCORPORATED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81-1384762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120" w:after="15"/>
              <w:jc w:val="center"/>
              <w:rPr>
                <w:rFonts w:ascii="Times New Roman" w:hAnsi="Times New Roman"/>
                <w:b/>
                <w:color w:val="000000"/>
                <w:sz w:val="20"/>
              </w:rPr>
            </w:pPr>
            <w:r>
              <w:rPr>
                <w:rFonts w:ascii="Times New Roman" w:hAnsi="Times New Roman"/>
                <w:b/>
                <w:color w:val="000000"/>
                <w:sz w:val="20"/>
              </w:rPr>
              <w:t>175 Innovation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Wilmington, Delaware</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19805</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(302) 467-1280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PRLD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6, 2026, the registrant had 79,803,485</w:t>
      </w:r>
      <w:r>
        <w:rPr>
          <w:rFonts w:ascii="Times New Roman" w:hAnsi="Times New Roman"/>
          <w:color w:val="000000"/>
          <w:sz w:val="20"/>
        </w:rPr>
        <w:t xml:space="preserve"> </w:t>
      </w:r>
      <w:r>
        <w:rPr>
          <w:rFonts w:ascii="Times New Roman" w:hAnsi="Times New Roman"/>
          <w:color w:val="000000"/>
          <w:sz w:val="18"/>
        </w:rPr>
        <w:t>shares of voting and non-voting common stock, $0.0001 par value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hyperlink w:anchor="item_1_financial_statements">
              <w:r>
                <w:rPr>
                  <w:rStyle w:val="InternetLink"/>
                  <w:rFonts w:ascii="Times New Roman" w:hAnsi="Times New Roman"/>
                  <w:color w:val="0000FF"/>
                  <w:sz w:val="20"/>
                </w:rPr>
                <w:t xml:space="preserve"> </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 (Unaudited)</w:t>
              </w:r>
            </w:hyperlink>
            <w:r>
              <w:rPr>
                <w:rFonts w:ascii="Times New Roman" w:hAnsi="Times New Roman"/>
                <w:color w:val="0000FF"/>
                <w:sz w:val="20"/>
              </w:rPr>
              <w:t xml:space="preserve"> </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Statements of Operations and Comprehensive Loss (Unaudited)</w:t>
              </w:r>
            </w:hyperlink>
            <w:r>
              <w:rPr>
                <w:rFonts w:ascii="Times New Roman" w:hAnsi="Times New Roman"/>
                <w:color w:val="0000FF"/>
                <w:sz w:val="20"/>
              </w:rPr>
              <w:t xml:space="preserve"> </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hanges_in_convertible_prefer">
              <w:r>
                <w:rPr>
                  <w:rStyle w:val="InternetLink"/>
                  <w:rFonts w:ascii="Times New Roman" w:hAnsi="Times New Roman"/>
                  <w:color w:val="0000FF"/>
                  <w:sz w:val="20"/>
                  <w:u w:val="single"/>
                </w:rPr>
                <w:t>Statements of Changes in Stockholders’ Equity (Unaudited)</w:t>
              </w:r>
            </w:hyperlink>
            <w:r>
              <w:rPr>
                <w:rFonts w:ascii="Times New Roman" w:hAnsi="Times New Roman"/>
                <w:color w:val="0000FF"/>
                <w:sz w:val="20"/>
              </w:rPr>
              <w:t xml:space="preserve"> </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Statements of Cash Flows (Unaudited)</w:t>
              </w:r>
            </w:hyperlink>
            <w:r>
              <w:rPr>
                <w:rFonts w:ascii="Times New Roman" w:hAnsi="Times New Roman"/>
                <w:color w:val="0000FF"/>
                <w:sz w:val="20"/>
              </w:rPr>
              <w:t xml:space="preserve"> </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interim_financial_sta">
              <w:r>
                <w:rPr>
                  <w:rStyle w:val="InternetLink"/>
                  <w:rFonts w:ascii="Times New Roman" w:hAnsi="Times New Roman"/>
                  <w:color w:val="0000FF"/>
                  <w:sz w:val="20"/>
                  <w:u w:val="single"/>
                </w:rPr>
                <w:t>Notes to Unaudited Interim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PRELUDE THERAPEUTICS INCORPORATED</w:t>
      </w:r>
    </w:p>
    <w:p>
      <w:pPr>
        <w:pStyle w:val="TextBody"/>
        <w:bidi w:val="0"/>
        <w:spacing w:before="240" w:after="283"/>
        <w:jc w:val="center"/>
        <w:rPr>
          <w:rFonts w:ascii="Times New Roman" w:hAnsi="Times New Roman"/>
          <w:sz w:val="20"/>
        </w:rPr>
      </w:pPr>
      <w:bookmarkStart w:id="4" w:name="balance_sheets"/>
      <w:bookmarkEnd w:id="4"/>
      <w:r>
        <w:rPr>
          <w:rFonts w:ascii="Times New Roman" w:hAnsi="Times New Roman"/>
          <w:b/>
          <w:color w:val="000000"/>
          <w:sz w:val="20"/>
        </w:rPr>
        <w:t>BALANCE</w:t>
      </w:r>
      <w:r>
        <w:rPr>
          <w:rFonts w:ascii="Times New Roman" w:hAnsi="Times New Roman"/>
          <w:color w:val="000000"/>
          <w:sz w:val="20"/>
        </w:rPr>
        <w:t xml:space="preserve"> </w:t>
      </w:r>
      <w:r>
        <w:rPr>
          <w:rFonts w:ascii="Times New Roman" w:hAnsi="Times New Roman"/>
          <w:b/>
          <w:color w:val="000000"/>
          <w:sz w:val="20"/>
        </w:rPr>
        <w:t>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4"/>
        <w:gridCol w:w="854"/>
        <w:gridCol w:w="612"/>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105,692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141,315</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15,045</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Voting common stock, $0.0001 par value: 487,149,741 shares authorized; 65,028,996 and 48,225,493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$0.0001 par value: 112,850,259 shares authorized; 14,728,135 shares issued and outstanding at both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751,684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(683,061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141,315</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interim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PRELUDE THERAPEUTICS INCORPORATED</w:t>
      </w:r>
    </w:p>
    <w:p>
      <w:pPr>
        <w:pStyle w:val="TextBody"/>
        <w:bidi w:val="0"/>
        <w:spacing w:before="240" w:after="283"/>
        <w:jc w:val="center"/>
        <w:rPr>
          <w:rFonts w:ascii="Times New Roman" w:hAnsi="Times New Roman"/>
          <w:b/>
          <w:color w:val="000000"/>
          <w:sz w:val="20"/>
        </w:rPr>
      </w:pPr>
      <w:bookmarkStart w:id="5" w:name="statements_operations"/>
      <w:bookmarkEnd w:id="5"/>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basic </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98,388,593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75,993,941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90,498,123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75,990,132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interim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PRELUDE THERAPEUTICS INCORPORATED</w:t>
      </w:r>
    </w:p>
    <w:p>
      <w:pPr>
        <w:pStyle w:val="TextBody"/>
        <w:bidi w:val="0"/>
        <w:spacing w:before="240" w:after="283"/>
        <w:jc w:val="center"/>
        <w:rPr>
          <w:rFonts w:ascii="Times New Roman" w:hAnsi="Times New Roman"/>
          <w:b/>
          <w:color w:val="000000"/>
          <w:sz w:val="20"/>
        </w:rPr>
      </w:pPr>
      <w:bookmarkStart w:id="6" w:name="statements_changes_in_convertible_prefer"/>
      <w:bookmarkEnd w:id="6"/>
      <w:r>
        <w:rPr>
          <w:rFonts w:ascii="Times New Roman" w:hAnsi="Times New Roman"/>
          <w:b/>
          <w:color w:val="000000"/>
          <w:sz w:val="20"/>
        </w:rPr>
        <w:t>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2050" w:type="dxa"/>
        <w:jc w:val="left"/>
        <w:tblInd w:w="0" w:type="dxa"/>
        <w:tblLayout w:type="fixed"/>
        <w:tblCellMar>
          <w:top w:w="28" w:type="dxa"/>
          <w:left w:w="28" w:type="dxa"/>
          <w:bottom w:w="28" w:type="dxa"/>
          <w:right w:w="28" w:type="dxa"/>
        </w:tblCellMar>
      </w:tblPr>
      <w:tblGrid>
        <w:gridCol w:w="1636"/>
        <w:gridCol w:w="146"/>
        <w:gridCol w:w="146"/>
        <w:gridCol w:w="1036"/>
        <w:gridCol w:w="146"/>
        <w:gridCol w:w="146"/>
        <w:gridCol w:w="261"/>
        <w:gridCol w:w="430"/>
        <w:gridCol w:w="146"/>
        <w:gridCol w:w="146"/>
        <w:gridCol w:w="146"/>
        <w:gridCol w:w="1036"/>
        <w:gridCol w:w="146"/>
        <w:gridCol w:w="146"/>
        <w:gridCol w:w="261"/>
        <w:gridCol w:w="430"/>
        <w:gridCol w:w="146"/>
        <w:gridCol w:w="146"/>
        <w:gridCol w:w="211"/>
        <w:gridCol w:w="781"/>
        <w:gridCol w:w="166"/>
        <w:gridCol w:w="146"/>
        <w:gridCol w:w="357"/>
        <w:gridCol w:w="814"/>
        <w:gridCol w:w="166"/>
        <w:gridCol w:w="146"/>
        <w:gridCol w:w="211"/>
        <w:gridCol w:w="841"/>
        <w:gridCol w:w="166"/>
        <w:gridCol w:w="146"/>
        <w:gridCol w:w="211"/>
        <w:gridCol w:w="781"/>
        <w:gridCol w:w="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Non-voting 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48,225,493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RSUs, net of 21,426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48,290,087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and prefunded warrants, net of issuance costs of $4,556.5 thousand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16,611,014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 &amp; vesting of RSUs, net of 3,861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65,028,996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PRELUDE THERAPEUTICS INCORPORATED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STATEMENTS OF CHANGES IN STOCKHOLDERS’ EQUITY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1675" w:type="dxa"/>
        <w:jc w:val="left"/>
        <w:tblInd w:w="0" w:type="dxa"/>
        <w:tblLayout w:type="fixed"/>
        <w:tblCellMar>
          <w:top w:w="28" w:type="dxa"/>
          <w:left w:w="28" w:type="dxa"/>
          <w:bottom w:w="28" w:type="dxa"/>
          <w:right w:w="28" w:type="dxa"/>
        </w:tblCellMar>
      </w:tblPr>
      <w:tblGrid>
        <w:gridCol w:w="1261"/>
        <w:gridCol w:w="146"/>
        <w:gridCol w:w="146"/>
        <w:gridCol w:w="1036"/>
        <w:gridCol w:w="146"/>
        <w:gridCol w:w="146"/>
        <w:gridCol w:w="261"/>
        <w:gridCol w:w="430"/>
        <w:gridCol w:w="146"/>
        <w:gridCol w:w="146"/>
        <w:gridCol w:w="146"/>
        <w:gridCol w:w="1036"/>
        <w:gridCol w:w="146"/>
        <w:gridCol w:w="146"/>
        <w:gridCol w:w="261"/>
        <w:gridCol w:w="430"/>
        <w:gridCol w:w="146"/>
        <w:gridCol w:w="146"/>
        <w:gridCol w:w="211"/>
        <w:gridCol w:w="781"/>
        <w:gridCol w:w="166"/>
        <w:gridCol w:w="146"/>
        <w:gridCol w:w="420"/>
        <w:gridCol w:w="751"/>
        <w:gridCol w:w="166"/>
        <w:gridCol w:w="146"/>
        <w:gridCol w:w="211"/>
        <w:gridCol w:w="841"/>
        <w:gridCol w:w="166"/>
        <w:gridCol w:w="146"/>
        <w:gridCol w:w="211"/>
        <w:gridCol w:w="78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42,298,859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RSUs, net of 3,859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43,604,202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 &amp; vesting of RSUs, net of 3,355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unaudited interim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PRELUDE THERAPEUTICS INCORPORATED</w:t>
      </w:r>
    </w:p>
    <w:p>
      <w:pPr>
        <w:pStyle w:val="TextBody"/>
        <w:bidi w:val="0"/>
        <w:spacing w:before="240" w:after="283"/>
        <w:jc w:val="center"/>
        <w:rPr>
          <w:rFonts w:ascii="Times New Roman" w:hAnsi="Times New Roman"/>
          <w:b/>
          <w:color w:val="000000"/>
          <w:sz w:val="20"/>
        </w:rPr>
      </w:pPr>
      <w:bookmarkStart w:id="7" w:name="statements_cash_flows"/>
      <w:bookmarkEnd w:id="7"/>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97"/>
        <w:gridCol w:w="146"/>
        <w:gridCol w:w="211"/>
        <w:gridCol w:w="736"/>
        <w:gridCol w:w="166"/>
        <w:gridCol w:w="146"/>
        <w:gridCol w:w="211"/>
        <w:gridCol w:w="781"/>
        <w:gridCol w:w="611"/>
      </w:tblGrid>
      <w:tr>
        <w:trPr/>
        <w:tc>
          <w:tcPr>
            <w:tcW w:w="7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 and discount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and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withholding taxes related to stock-based compensation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in connection with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Offering costs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interim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PRELUDE THERAPEUTICS INCORPORATED</w:t>
      </w:r>
    </w:p>
    <w:p>
      <w:pPr>
        <w:pStyle w:val="TextBody"/>
        <w:bidi w:val="0"/>
        <w:spacing w:before="240" w:after="283"/>
        <w:jc w:val="center"/>
        <w:rPr>
          <w:rFonts w:ascii="Times New Roman" w:hAnsi="Times New Roman"/>
          <w:b/>
          <w:color w:val="000000"/>
          <w:sz w:val="20"/>
        </w:rPr>
      </w:pPr>
      <w:bookmarkStart w:id="8" w:name="notes_to_unaudited_interim_financial_sta"/>
      <w:bookmarkEnd w:id="8"/>
      <w:r>
        <w:rPr>
          <w:rFonts w:ascii="Times New Roman" w:hAnsi="Times New Roman"/>
          <w:b/>
          <w:color w:val="000000"/>
          <w:sz w:val="20"/>
        </w:rPr>
        <w:t>NOTES TO UNAUDITED INTERIM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Background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Prelude Therapeutics Incorporated (the “Company”) is a precision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Risks and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its inception, the Company has incurred operating losses and had an accumulated deficit of $707.4 million as of June 30, 2026. The Company has no product revenue to date and devotes its efforts to research and development. The Company anticipates incurring additional losses until such time, if ever, that it can generate significant sales of its product candidates currently in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June 30, 2026, the Company had cash, cash equivalents, restricted cash and marketable securities totaling $155.2 million and the Company believes these funds will be sufficient to fund its operating expenses and capital expenditure requirements for at least the next twelve months from the filing date of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fund its operating expenses and capital expenditure requirements,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complete summary of significant accounting policies included in the Company’s financial statements for the year ended December 31, 2025 can be found in “Note 3. Summary of significant accounting policies” of the Company’s Annual Report on Form 10-K filed with the Securities and Exchange Commission (the “SEC”) on March 10,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six months ended June 30, 2026 are not necessarily indicative of the results that may be expected for the year ending December 31, 2026. The accompanying unaudited interim financial statements should be read in conjunction with the annual audited financial statements and related notes as of and for the year ended December 31, 2025 found in the Company's Annual Report on Form 10-K filed with the SEC on March 10, 2026. Any reference in these notes to applicable guidance is meant to refer to GAAP as found in the Accounting Standards Codification (“ASC”) and Accounting Standards Updates (“ASU”) of the Financial Accounting Standards Board (“FASB”).</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June 30, 2026 and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("CODM") is its Chief Executive Officer. The Company views and manages its operations as a single operating segment.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cash equivalents include short-term highly liquid investments with an original maturity of 90 days or less when purchased and are carried at fair value in the accompanying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cash consists of a letter of credit for the benefit of the landlord in connection with the Company’s Chestnut Run Lease. See Note 8 - Commitments for further details.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balance sheet that total to the amounts shown in the statement of cash flows:</w:t>
      </w:r>
    </w:p>
    <w:tbl>
      <w:tblPr>
        <w:tblW w:w="9302" w:type="dxa"/>
        <w:jc w:val="left"/>
        <w:tblInd w:w="0" w:type="dxa"/>
        <w:tblLayout w:type="fixed"/>
        <w:tblCellMar>
          <w:top w:w="28" w:type="dxa"/>
          <w:left w:w="28" w:type="dxa"/>
          <w:bottom w:w="28" w:type="dxa"/>
          <w:right w:w="28" w:type="dxa"/>
        </w:tblCellMar>
      </w:tblPr>
      <w:tblGrid>
        <w:gridCol w:w="6691"/>
        <w:gridCol w:w="146"/>
        <w:gridCol w:w="211"/>
        <w:gridCol w:w="676"/>
        <w:gridCol w:w="146"/>
        <w:gridCol w:w="146"/>
        <w:gridCol w:w="260"/>
        <w:gridCol w:w="835"/>
        <w:gridCol w:w="1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shown in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marketable securities consist of investments in corporate debt securities and United States (“U.S.”) government debt securities that are classified as available-for-sale. The securities are carried at fair value with the unrealized gains and losses, net of tax, included in accumulated other comprehensive loss, a component of stockholders’ equity. Realized gains and losses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losses, if any, on marketable securities are included in the Company’s statements of operations. The Company classifies marketable securities that are available for use in current operations as current assets on the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recognizes revenue under ASC 606 – </w:t>
      </w:r>
      <w:r>
        <w:rPr>
          <w:rFonts w:ascii="Times New Roman" w:hAnsi="Times New Roman"/>
          <w:i/>
          <w:color w:val="000000"/>
          <w:sz w:val="20"/>
        </w:rPr>
        <w:t>Revenue from Contracts with Customers</w:t>
      </w:r>
      <w:r>
        <w:rPr>
          <w:rFonts w:ascii="Times New Roman" w:hAnsi="Times New Roman"/>
          <w:color w:val="000000"/>
          <w:sz w:val="20"/>
        </w:rPr>
        <w:t>. Under ASC 606, the Company recognizes revenue when its customer obtains control of promised goods or services, in an amount that reflects the consideration which the Company expects to receive in exchange for those goods or services. The Company's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all promised goods and services within a customer contract and determines which goods and services are separate performance obligations. This evaluation includes an assessment of whether the good or service is capable of being distinct and whether the good or service is separable from other promises in the contract.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is determined based on the amount of consideration to which the Company expects to be entitled in exchange for transferring promised goods or services to a customer. The Company recognizes as revenue the amount of the transaction price that is allocated to the respective performance obligations when (or as) the performance obligations are satisfied. The Company recognizes a liability when the Company has received payment but has not yet satisfied the related performance obligations. See Note 9 - Exclusive Option Agreement and Collaboration Agreements for a full discussion of the Company's revenue contracts. The following table summarizes the changes in deferred revenue:</w:t>
      </w:r>
    </w:p>
    <w:p>
      <w:pPr>
        <w:pStyle w:val="TextBody"/>
        <w:bidi w:val="0"/>
        <w:spacing w:before="120" w:after="283"/>
        <w:jc w:val="left"/>
        <w:rPr/>
      </w:pPr>
      <w:r>
        <w:rPr/>
        <w:t> </w:t>
      </w:r>
    </w:p>
    <w:tbl>
      <w:tblPr>
        <w:tblW w:w="5443" w:type="dxa"/>
        <w:jc w:val="left"/>
        <w:tblInd w:w="0" w:type="dxa"/>
        <w:tblLayout w:type="fixed"/>
        <w:tblCellMar>
          <w:top w:w="28" w:type="dxa"/>
          <w:left w:w="28" w:type="dxa"/>
          <w:bottom w:w="28" w:type="dxa"/>
          <w:right w:w="28" w:type="dxa"/>
        </w:tblCellMar>
      </w:tblPr>
      <w:tblGrid>
        <w:gridCol w:w="2936"/>
        <w:gridCol w:w="146"/>
        <w:gridCol w:w="461"/>
        <w:gridCol w:w="1609"/>
        <w:gridCol w:w="29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of common stock is computed by dividing net loss by the weighted-average number of shares of common stock outstanding during each period, including pre-funded warrants to purchase shares of common stock. Diluted net loss per share of common stock includes the effect, if any, from the potential exercise of securities, such as stock options, and the effect from unvested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securities have been excluded from the computation of diluted weighted-average shares of common stock outstanding, as they would be anti-dilutive:</w:t>
      </w:r>
    </w:p>
    <w:p>
      <w:pPr>
        <w:pStyle w:val="TextBody"/>
        <w:bidi w:val="0"/>
        <w:jc w:val="left"/>
        <w:rPr/>
      </w:pPr>
      <w:r>
        <w:rPr/>
        <w:t> </w:t>
      </w:r>
    </w:p>
    <w:tbl>
      <w:tblPr>
        <w:tblW w:w="5604" w:type="dxa"/>
        <w:jc w:val="left"/>
        <w:tblInd w:w="0" w:type="dxa"/>
        <w:tblLayout w:type="fixed"/>
        <w:tblCellMar>
          <w:top w:w="28" w:type="dxa"/>
          <w:left w:w="28" w:type="dxa"/>
          <w:bottom w:w="28" w:type="dxa"/>
          <w:right w:w="28" w:type="dxa"/>
        </w:tblCellMar>
      </w:tblPr>
      <w:tblGrid>
        <w:gridCol w:w="2611"/>
        <w:gridCol w:w="146"/>
        <w:gridCol w:w="146"/>
        <w:gridCol w:w="1036"/>
        <w:gridCol w:w="146"/>
        <w:gridCol w:w="146"/>
        <w:gridCol w:w="146"/>
        <w:gridCol w:w="103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18,208,834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16,480,115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18,624,164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16,817,865</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in the above table reflect the common stock equivalents.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guidance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Update No. 2024-03, </w:t>
      </w:r>
      <w:r>
        <w:rPr>
          <w:rFonts w:ascii="Times New Roman" w:hAnsi="Times New Roman"/>
          <w:i/>
          <w:color w:val="000000"/>
          <w:sz w:val="20"/>
        </w:rPr>
        <w:t xml:space="preserve">Income Statement - Reporting Comprehensive Income - Expense Disaggregation Disclosures. </w:t>
      </w:r>
      <w:r>
        <w:rPr>
          <w:rFonts w:ascii="Times New Roman" w:hAnsi="Times New Roman"/>
          <w:color w:val="000000"/>
          <w:sz w:val="20"/>
        </w:rPr>
        <w:t xml:space="preserve">ASU 2024-03 requires disclosure, in the notes to the financial statements, of specified information about certain costs and expenses. The amendments in this ASU Update are effective for annual reporting periods beginning after December 15, 2026, and interim reporting periods within annual reporting periods beginning after December 15, 2027.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 adoption is permitted. The Company is currently evaluating the impact of this standard but does not expect that it will have a material impact on the financial statements and related disclosures.</w:t>
      </w:r>
    </w:p>
    <w:p>
      <w:pPr>
        <w:pStyle w:val="TextBody"/>
        <w:bidi w:val="0"/>
        <w:jc w:val="left"/>
        <w:rPr/>
      </w:pPr>
      <w:r>
        <w:rPr/>
        <w:t> </w:t>
      </w:r>
    </w:p>
    <w:p>
      <w:pPr>
        <w:pStyle w:val="TextBody"/>
        <w:bidi w:val="0"/>
        <w:spacing w:before="360" w:after="160"/>
        <w:jc w:val="left"/>
        <w:rPr>
          <w:rFonts w:ascii="Times New Roman" w:hAnsi="Times New Roman"/>
          <w:sz w:val="20"/>
        </w:rPr>
      </w:pPr>
      <w:r>
        <w:rPr>
          <w:rFonts w:ascii="Times New Roman" w:hAnsi="Times New Roman"/>
          <w:b/>
          <w:color w:val="000000"/>
          <w:sz w:val="20"/>
        </w:rPr>
        <w:t>4. Marketable Securities</w:t>
      </w:r>
      <w:r>
        <w:rPr>
          <w:rFonts w:ascii="Times New Roman" w:hAnsi="Times New Roman"/>
          <w:color w:val="000000"/>
          <w:sz w:val="20"/>
        </w:rPr>
        <w:t xml:space="preserve"> </w:t>
      </w:r>
    </w:p>
    <w:p>
      <w:pPr>
        <w:pStyle w:val="TextBody"/>
        <w:bidi w:val="0"/>
        <w:spacing w:before="80" w:after="240"/>
        <w:jc w:val="left"/>
        <w:rPr>
          <w:rFonts w:ascii="Times New Roman" w:hAnsi="Times New Roman"/>
          <w:color w:val="000000"/>
          <w:sz w:val="20"/>
        </w:rPr>
      </w:pPr>
      <w:r>
        <w:rPr>
          <w:rFonts w:ascii="Times New Roman" w:hAnsi="Times New Roman"/>
          <w:color w:val="000000"/>
          <w:sz w:val="20"/>
        </w:rPr>
        <w:t>The following provides detail of the Company's marketable securities.</w:t>
      </w:r>
    </w:p>
    <w:tbl>
      <w:tblPr>
        <w:tblW w:w="9451" w:type="dxa"/>
        <w:jc w:val="left"/>
        <w:tblInd w:w="0" w:type="dxa"/>
        <w:tblLayout w:type="fixed"/>
        <w:tblCellMar>
          <w:top w:w="28" w:type="dxa"/>
          <w:left w:w="28" w:type="dxa"/>
          <w:bottom w:w="28" w:type="dxa"/>
          <w:right w:w="28" w:type="dxa"/>
        </w:tblCellMar>
      </w:tblPr>
      <w:tblGrid>
        <w:gridCol w:w="2481"/>
        <w:gridCol w:w="146"/>
        <w:gridCol w:w="265"/>
        <w:gridCol w:w="980"/>
        <w:gridCol w:w="146"/>
        <w:gridCol w:w="146"/>
        <w:gridCol w:w="636"/>
        <w:gridCol w:w="1044"/>
        <w:gridCol w:w="146"/>
        <w:gridCol w:w="146"/>
        <w:gridCol w:w="494"/>
        <w:gridCol w:w="1126"/>
        <w:gridCol w:w="166"/>
        <w:gridCol w:w="146"/>
        <w:gridCol w:w="211"/>
        <w:gridCol w:w="781"/>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marketable securities generally have contractual maturity dates of 16 months or less. As of June 30, 2026, the Company had 46 securities with a total fair market value of $125.4 million in an unrealized loss position. The Company believes any unrealized losses associated with the decline in value of its securities are temporary and the Company has the ability and intent to hold its marketable securities to maturity, therefore, an allowance for credit losses was not recognized.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the Company had 35 securities with a fair value of $91.9 million with a contractual maturity of less than 12 months and 11 securities with a fair value of $33.5 million with a contractual maturity of greater than 12 months. As of December 31, 2025, all of the Company's securities had a contractual maturity of less than 12 months.</w:t>
      </w:r>
    </w:p>
    <w:p>
      <w:pPr>
        <w:pStyle w:val="TextBody"/>
        <w:bidi w:val="0"/>
        <w:spacing w:before="120" w:after="12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Fair Value of Financial Instruments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w:t>
      </w:r>
      <w:r>
        <w:rPr>
          <w:rFonts w:ascii="Times New Roman" w:hAnsi="Times New Roman"/>
          <w:i/>
          <w:color w:val="000000"/>
          <w:sz w:val="20"/>
        </w:rPr>
        <w:t>Fair Value Measuremen</w:t>
      </w:r>
      <w:r>
        <w:rPr>
          <w:rFonts w:ascii="Times New Roman" w:hAnsi="Times New Roman"/>
          <w:color w:val="000000"/>
          <w:sz w:val="20"/>
        </w:rPr>
        <w:t>t, for financial assets and liabilities measured on a recurring basis. The guidance requires fair value measurements be classified and disclosed in one of the following three categories: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1:</w:t>
      </w:r>
      <w:r>
        <w:rPr>
          <w:color w:val="000000"/>
        </w:rPr>
        <w:t xml:space="preserve"> </w:t>
      </w:r>
      <w:r>
        <w:rPr>
          <w:rFonts w:ascii="Times New Roman" w:hAnsi="Times New Roman"/>
          <w:color w:val="000000"/>
          <w:sz w:val="20"/>
        </w:rPr>
        <w:t>Unadjusted quoted prices in active markets that are accessible at the measurement date for identical, unrestricted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2:</w:t>
      </w:r>
      <w:r>
        <w:rPr>
          <w:color w:val="000000"/>
        </w:rPr>
        <w:t xml:space="preserve"> </w:t>
      </w:r>
      <w:r>
        <w:rPr>
          <w:rFonts w:ascii="Times New Roman" w:hAnsi="Times New Roman"/>
          <w:color w:val="000000"/>
          <w:sz w:val="20"/>
        </w:rPr>
        <w:t>Quoted prices in markets that are not active, or inputs which are observable, either directly or indirectly, for substantially the full term of the asset or liability.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3:</w:t>
      </w:r>
      <w:r>
        <w:rPr>
          <w:color w:val="000000"/>
        </w:rPr>
        <w:t xml:space="preserve"> </w:t>
      </w:r>
      <w:r>
        <w:rPr>
          <w:rFonts w:ascii="Times New Roman" w:hAnsi="Times New Roman"/>
          <w:color w:val="000000"/>
          <w:sz w:val="20"/>
        </w:rPr>
        <w:t>Prices or valuation techniques that require inputs that are both significant to the fair value measurement and unobservable (i.e., supported by little or no market activity).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fair value hierarchy table presents information about the Company’s assets and liabilities measured at fair value on a recurring basis:</w:t>
      </w:r>
    </w:p>
    <w:tbl>
      <w:tblPr>
        <w:tblW w:w="7394" w:type="dxa"/>
        <w:jc w:val="left"/>
        <w:tblInd w:w="0" w:type="dxa"/>
        <w:tblLayout w:type="fixed"/>
        <w:tblCellMar>
          <w:top w:w="28" w:type="dxa"/>
          <w:left w:w="28" w:type="dxa"/>
          <w:bottom w:w="28" w:type="dxa"/>
          <w:right w:w="28" w:type="dxa"/>
        </w:tblCellMar>
      </w:tblPr>
      <w:tblGrid>
        <w:gridCol w:w="2721"/>
        <w:gridCol w:w="146"/>
        <w:gridCol w:w="263"/>
        <w:gridCol w:w="847"/>
        <w:gridCol w:w="172"/>
        <w:gridCol w:w="172"/>
        <w:gridCol w:w="249"/>
        <w:gridCol w:w="923"/>
        <w:gridCol w:w="172"/>
        <w:gridCol w:w="172"/>
        <w:gridCol w:w="403"/>
        <w:gridCol w:w="663"/>
        <w:gridCol w:w="4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19,319</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125,428</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Accrued Expenses and Other Current Liabilities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w:t>
      </w:r>
    </w:p>
    <w:tbl>
      <w:tblPr>
        <w:tblW w:w="5447" w:type="dxa"/>
        <w:jc w:val="left"/>
        <w:tblInd w:w="0" w:type="dxa"/>
        <w:tblLayout w:type="fixed"/>
        <w:tblCellMar>
          <w:top w:w="28" w:type="dxa"/>
          <w:left w:w="28" w:type="dxa"/>
          <w:bottom w:w="28" w:type="dxa"/>
          <w:right w:w="28" w:type="dxa"/>
        </w:tblCellMar>
      </w:tblPr>
      <w:tblGrid>
        <w:gridCol w:w="2941"/>
        <w:gridCol w:w="146"/>
        <w:gridCol w:w="211"/>
        <w:gridCol w:w="571"/>
        <w:gridCol w:w="146"/>
        <w:gridCol w:w="146"/>
        <w:gridCol w:w="260"/>
        <w:gridCol w:w="835"/>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19.99%) or decreased to any other percentage designated by such holder of non-voting common stock upon 61 days’ notice to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under the 2024 Shelf Registration Statement, the Company sold an aggregate of (a) 16,611,014 shares of its voting common stock, par value $0.0001 per share (the "Common Stock"), at a price of $4.44 per share, and (b) pre-funded warrants to purchase up to 3,659,252 shares of its Common Stock, at a price of $4.4399 per pre-funded warrant with an exercise price of $0.0001 per share (collectively, the "April Offering"). The Company received net proceeds of approximately $85.4 million, after deducting underwriting discounts and commissions and offering expenses of approximately $4.6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2024 Shelf Registration Statement expires in May 2027, and as of June 30, 2026, there was $310 million remaining under the 2024 Shelf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pre-funded warrants had not been exercised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pre-funded warrants exercised during the six months ended June 30, 2026 and 1,300,000 pre-funded warrants were exercised during the six months ended June 30, 2025. As of June 30, 2026, there were 23,191,440 pre-funded warrants outstanding.</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Open Market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the Company entered into an Open Market Sales Agreement (the "Sales Agreement") with Jefferies LLC, as the sales agent, pursuant to which the Company may offer and sell shares of its common stock. In accordance with the terms of the Sales Agreement on March 12, 2026, the Company filed a prospectus supplement under its 2024 Shelf Registration Statement, pursuant to which the Company may offer and sell shares of its common stock having an aggregate offering price of up to $25.0 million from time to time through Jefferies acting as sales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will pay Jefferies LLC a commission rate of up to 3.0% of the aggregate gross proceeds from the sale of any shares of common stock pursuant to the Sales Agreement. As of June 30, 2026, there was $25.0 million remaining under the Sales Agreement.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Commitments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and laboratory space in Wilmington, Delaware under a noncancelable lease (the “Chestnut Run Lease”). The premises includes approximately 81,000 rentable square feet and expires in May 2037, subject to the Company's option to extend the term of the lease by up to 3 five-year terms and certain expansion rights. Neither the option to extend nor the expansion rights were recognized as part of the Company's measurement of the right-of-use ("ROU") asset and operating lease liability as of June 30, 2026. Under the terms of the Chestnut Run Lease, the landlord provided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tenant improvements in excess of the landlord's allowance were treated as prepaid rent and increased the right-of-use asset on the commencement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Company entered into a sublease agreement with a counterparty to sublease approximately 20,000 square feet of the Chestnut Run Lease. The sublease began in December 2025 and continues through November 2027. The sublessee has three options to extend the sublease for one year each.</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analyzed the sublease under ASC Topic 842, </w:t>
      </w:r>
      <w:r>
        <w:rPr>
          <w:rFonts w:ascii="Times New Roman" w:hAnsi="Times New Roman"/>
          <w:i/>
          <w:color w:val="000000"/>
          <w:sz w:val="20"/>
        </w:rPr>
        <w:t>Leases</w:t>
      </w:r>
      <w:r>
        <w:rPr>
          <w:rFonts w:ascii="Times New Roman" w:hAnsi="Times New Roman"/>
          <w:color w:val="000000"/>
          <w:sz w:val="20"/>
        </w:rPr>
        <w:t xml:space="preserve"> ("ASC 842"), and concluded the sublease is a separate lease, as the Company was not relieved of the primary obligation under the Chestnut Run Lease. The Company will continue to account for the Chestnut Run Lease as a lessee and in the same manner as prior to the execution of the sublease agreement. The Company accounted for the sublease agreement as the lessor, and concluded the sublease qualified as an operating lease, as it did not meet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criteria of a sales-type or direct financing lease. The Company's sublease income was $143 thousand and $286 thousand for the three and six months ended June 30, 2026, respectively.</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Company's operating lease costs for the three and six months ended June 30, 2026 were $1.1 million and $2.2 million, respectively. The Company's operating lease costs for the three and six months ended June 30, 2025 were $1.0 million and $2.1 million, respectively.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balance sheet and other information related to our operating and finance leases as of June 30, 2026 and December 31, 2025 were as follows:</w:t>
      </w:r>
    </w:p>
    <w:tbl>
      <w:tblPr>
        <w:tblW w:w="10205" w:type="dxa"/>
        <w:jc w:val="left"/>
        <w:tblInd w:w="0" w:type="dxa"/>
        <w:tblLayout w:type="fixed"/>
        <w:tblCellMar>
          <w:top w:w="28" w:type="dxa"/>
          <w:left w:w="28" w:type="dxa"/>
          <w:bottom w:w="28" w:type="dxa"/>
          <w:right w:w="28" w:type="dxa"/>
        </w:tblCellMar>
      </w:tblPr>
      <w:tblGrid>
        <w:gridCol w:w="3635"/>
        <w:gridCol w:w="146"/>
        <w:gridCol w:w="3085"/>
        <w:gridCol w:w="146"/>
        <w:gridCol w:w="211"/>
        <w:gridCol w:w="676"/>
        <w:gridCol w:w="371"/>
        <w:gridCol w:w="246"/>
        <w:gridCol w:w="284"/>
        <w:gridCol w:w="913"/>
        <w:gridCol w:w="492"/>
      </w:tblGrid>
      <w:tr>
        <w:trPr/>
        <w:tc>
          <w:tcPr>
            <w:tcW w:w="3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27,165</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14,871</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15,045</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3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Supplemental cash flow information related to our leases for the six months ended June 30, 2026 and 2025 were as follows:</w:t>
      </w:r>
    </w:p>
    <w:tbl>
      <w:tblPr>
        <w:tblW w:w="8327" w:type="dxa"/>
        <w:jc w:val="left"/>
        <w:tblInd w:w="0" w:type="dxa"/>
        <w:tblLayout w:type="fixed"/>
        <w:tblCellMar>
          <w:top w:w="28" w:type="dxa"/>
          <w:left w:w="28" w:type="dxa"/>
          <w:bottom w:w="28" w:type="dxa"/>
          <w:right w:w="28" w:type="dxa"/>
        </w:tblCellMar>
      </w:tblPr>
      <w:tblGrid>
        <w:gridCol w:w="5866"/>
        <w:gridCol w:w="146"/>
        <w:gridCol w:w="230"/>
        <w:gridCol w:w="623"/>
        <w:gridCol w:w="159"/>
        <w:gridCol w:w="159"/>
        <w:gridCol w:w="230"/>
        <w:gridCol w:w="623"/>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cash flows from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Future minimum annual lease payments for our operating lease at June 30, 2026 are as follows:</w:t>
      </w:r>
    </w:p>
    <w:tbl>
      <w:tblPr>
        <w:tblW w:w="4442" w:type="dxa"/>
        <w:jc w:val="left"/>
        <w:tblInd w:w="0" w:type="dxa"/>
        <w:tblLayout w:type="fixed"/>
        <w:tblCellMar>
          <w:top w:w="28" w:type="dxa"/>
          <w:left w:w="28" w:type="dxa"/>
          <w:bottom w:w="28" w:type="dxa"/>
          <w:right w:w="28" w:type="dxa"/>
        </w:tblCellMar>
      </w:tblPr>
      <w:tblGrid>
        <w:gridCol w:w="2986"/>
        <w:gridCol w:w="277"/>
        <w:gridCol w:w="968"/>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paid a security deposit for the Chestnut Run Lease in the form of a letter of credit, the balance of which is $3.4 million as of June 30, 2026 and is included in the accompanying balance sheet as restricted cash. The security deposit may be reduced to $0.5 million over time in accordance with the terms of the Chestnut Run Lease.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Employment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employment agreements with key personnel providing for compensation and severance in certain circumstances, as defined in the respective employment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401(k) Defined Contribution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sponsors a 401(k) defined</w:t>
        <w:noBreakHyphen/>
        <w:t>contribution plan covering all full-time employees. Participants are permitted to contribute up to 100% of their eligible annual pretax compensation up to an established federal limit on aggregate participant contributions. The Company provides a match of a maximum amount of 3% of the participant’s compensation. For each of the three months ended June 30, 2026 and 2025, the Company made matching contributions of $0.2 million. For the six months ended June 30, 2026 and 2025, the Company made matching contributions of $0.3 million and $0.4 million, respectively.</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Research and Development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agreements with CROs to assist in the performance of research and development activities. Expenditures to CROs will represent a significant cost in clinical development for the Company.</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Exclusive Option Agreement and Collaboration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Exclusive Option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3, 2025, the Company entered into an Exclusive Option Agreement (the “Option Agreement”) with Incyte to acquire the Company’s mutative selective Janus Kinase 2 ("JAK2") V617F JH2 inhibitor program (the “Program”) for patients with myeloproliferative neoplasms.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Option Agreement, Incyte received an exclusive option to acquire the Company’s entire right, title, and interest in and to certain assets, properties, and rights related to the Program, including the Company’s library of preclinical candidates (collectively, the “Transferred Assets”) by way of an Asset Purchase Agreement (the "APA"). The Company is continuing to advance the Program. At any time commencing on the effective date of the Option Agreement until the later of (a) 30 days after the Company’s delivery of the investigational new drug ("IND") ready data package or (b) 15 months after the effective date of the Option Agreement (which 15 month period shall automatically toll for the Company to deliver the IND-ready package but such tolling will not exceed 3 months unless otherwise agreed by the parties) (the “Option Period”), Incyte may elect to exercise its exclusive option to acquire the Program and associated assets from the Company pursuant to the APA for $100 million. The Company received an initial upfront payment of $35 million in cash from the Option Agreement. Under the APA, the Company would be eligible to receive up to $775 million in additional clinical and regulatory milestones, and single digit royalties on global net sales. Combined, total potential cash payments from the transaction could reach up to $910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Concurrently with the Option Agreement, the Company entered into a securities purchase agreement with Incyte (the “Securities Purchase Agreement”), pursuant to which Incyte purchased 6,250,000 shares (the “Shares”) of the Company’s non-voting common stock at a price of $4.00 per share for gross proceeds of $25.0 million. Pursuant to the Company’s amended and restated certificate of incorporation and subject to the non-voting common stock beneficial ownership limitation, Incyte may elect to convert the Shares into voting shares and in December 2025, Incyte converted 4,372,124 of the Shares into voting shares, making them a related party under Securities and Exchange Commission regulations. Because the Option Agreement and Securities Purchase Agreement were entered into at the same time and negotiated as single commercial package, the Company accounted for the agreements as a single contract under ASC 606. Based on this exercise, the consideration in the Option Agreement plus any excess consideration paid over the fair value of the equity issued to Incyte is a component of transaction price. In determining the fair value of the common stock issued to Incyte, the Company considered the closing price of the common stock on the date of the transaction, which was $3.98 per share, which resulted in a premium paid by Incyte of $0.02 per share, or $0.1 million (“Equity Premium”). The remaining $24.9 million was recorded as an issuance of common stock in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own and develop all Transferred Assets. If the option is exercised during the Option Period and the parties enter into and close the transaction set forth in the APA, Incyte will own all Transferred Assets subject to the Company’s right, in its sole discretion and cost, to continue to conduct development activities during the Option Period to nominate and select development candidate(s) for the Program. If Incyte elects to not exercise its option to acquire the Program, all Transferred Assets would remain in the sole ownership and control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first evaluated whether the arrangement meets the definition of a derivative or contains any embedded derivatives under ASC 815, </w:t>
      </w:r>
      <w:r>
        <w:rPr>
          <w:rFonts w:ascii="Times New Roman" w:hAnsi="Times New Roman"/>
          <w:i/>
          <w:color w:val="000000"/>
          <w:sz w:val="20"/>
        </w:rPr>
        <w:t>Derivatives and Hedging</w:t>
      </w:r>
      <w:r>
        <w:rPr>
          <w:rFonts w:ascii="Times New Roman" w:hAnsi="Times New Roman"/>
          <w:color w:val="000000"/>
          <w:sz w:val="20"/>
        </w:rPr>
        <w:t>. Although the arrangement includes underlying IP</w:t>
        <w:noBreakHyphen/>
        <w:t>related value, it qualifies for the scope exception as prescribed by ASC 815</w:t>
      </w:r>
      <w:r>
        <w:rPr>
          <w:rFonts w:ascii="Times New Roman" w:hAnsi="Times New Roman"/>
          <w:b/>
          <w:color w:val="000000"/>
          <w:sz w:val="20"/>
        </w:rPr>
        <w:t>-</w:t>
      </w:r>
      <w:r>
        <w:rPr>
          <w:rFonts w:ascii="Times New Roman" w:hAnsi="Times New Roman"/>
          <w:color w:val="000000"/>
          <w:sz w:val="20"/>
        </w:rPr>
        <w:t xml:space="preserve">10-15-59(b). The Company next evaluated whether the arrangement represents a funded research and development arrangement under ASC 730, Research and Development. The payments received by the Company are non-refundable, and there is no contractual requirement, guarantee, or other provision that would require the Company to repay any of the funds received from Incyte. The Company also concluded that any presumption that there is an obligation to repay the funds received due to the subsequent related party relationship with Incyte is overcome, and therefore the agreements are not within the scope of ASC 730-20. The Company also concluded that the agreements are not within the scope of ASC 808, </w:t>
      </w:r>
      <w:r>
        <w:rPr>
          <w:rFonts w:ascii="Times New Roman" w:hAnsi="Times New Roman"/>
          <w:i/>
          <w:color w:val="000000"/>
          <w:sz w:val="20"/>
        </w:rPr>
        <w:t xml:space="preserve">Collaborative Arrangements </w:t>
      </w:r>
      <w:r>
        <w:rPr>
          <w:rFonts w:ascii="Times New Roman" w:hAnsi="Times New Roman"/>
          <w:color w:val="000000"/>
          <w:sz w:val="20"/>
        </w:rPr>
        <w:t>("ASC 808"). The Company assessed the Option Agreement in accordance with ASC 606 and concluded that Incyte is a customer in the context of the Option Agreement. The Option Agreement includes the transfer of the following goods or services: (i) the right to conduct research and development activities related to the Program and (ii) Incyte's exclusive option to acquire the Company’s entire right, title, and interest in and to certain assets, properties, and rights related to the Program. The Company determined that the exclusive option granted was not a material right and, thus, not a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transaction price totaled $35.1 million, which includes the $35 million upfront cash payment received and the Equity Premium. The Company allocated $35.1 million to its performance obligations to conduct research and development activities related to the Program. The Company recognizes revenue related to the Option Agreement over time as the performance obligations are satisfied using an inputs approach, by applying actual expenses against total budgeted costs. As of June 30, 2026, $22.2 million of the upfront payment was included in deferred revenue within the balance sheets which the Company estimates will be recognized within the next twelve months from period-end. The Company recognized $5.7 million and $10.3 million in revenue related to the Option Agreement during the three and six months ended June 30, 2026, respectively.</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2023, the Company entered into a multi-year, multi-program agreement with AbCellera Biologics Incorporated ("AbCellera") to jointly discover, develop, and commercialize novel degrader antibody conjugates (“DACs”) for up to five programs (the "Collaboration Agreement"). Under the terms of the agreement, AbCellera will lead manufacturing activities and the Company will lead clinical development and global commercialization, subject to AbCellera’s option to co-promote any resulting commercial products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the Company amended its collaboration with AbCellera (the "Amended Agreement"), and in October 2025, the Company further expanded the collaboration (the "Expanded License Agreement"). The Amended Agreement and Expanded License Agreement provided AbCellera a non-exclusive license to use certain of the Company’s degrader payloads to independently discover, develop and commercialize a select number of DACs against undisclosed antibody targets. The agreements also entailed other changes to overall resource allocation and collaboration governance. For the newly licensed DAC programs, AbCellera received world-wide rights to lead and fully control the licensed programs at its sole cost and expense and the Company is not responsible for any additional financial responsibilities or go forward development costs associated with those programs. The Company received an upfront non-refundable payment from AbCellera of $6.5 million upon signing the Amended Agreement and an upfront non-refundable payment of $6.0 million upon signing of the Expanded License Agreement in October 2025. For the additional licensed DACs, the Company is also eligible to receive customary downstream milestones and single digit royalties on future product sales. The original Collaboration Agreement, whereunder the companies can jointly discover, develop, and commercialize novel DACs for up to five programs remains in effect.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assessed the Amended Agreement and Expanded License Agreement in accordance with ASC 606 and concluded that AbCellera is a customer. The Amended Agreement required the Company to transfer certain intellectual property and related know-how to AbCellera which represented the only performance obligation in the Amended Agreement and was satisfied at a point in time, when the intellectual property and related know-how were transferred to AbCellera during the third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Expanded License Agreement, the Company determined the promised goods and services included discovering degrader payloads and granting the licenses to the payloads to AbCellera for them to use to research, develop, and commercialize products related to each of the initial targets mutually agreed upon. Each of these licenses is distinct, as AbCellera can derive benefit from each license independent of any other payload. Accordingly, the license to each of the payloads selected by AbCellera represents a separate performance obligation. The delivery of the licenses were the only performance obligations identified in the Expanded License Agreement. The transaction price was determined to consist of the upfront payment of $6.0 million. The Company allocated the transaction price equally across the licenses, as the estimated standalone selling price of each license was equal. Each performance obligation will be fully satisfied at the point in time when the license is transferred to AbCellera. For the three and six months ended June 30, 2026, the Company did not recognize any revenue in the statement of operations related to the Expanded License Agreement. As of June 30, 2026, there was $3.0 million of the upfront payment included in deferred revenue related to the licenses that have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yet been transferred to AbCellera. The Company estimates the remaining performance obligations will be completed in the second half of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and Pathos AI, Inc. ("Pathos") entered into a license agreement under which the Company granted to Pathos an exclusive, sublicensable, world-wide license to its selective, brain-penetrant PRMT5 inhibitor, PRT811. The Company assessed the license agreement in accordance with ASC 606 and determined that it satisfied its performance obligations in 2024. During the first quarter of 2026, Pathos notified the Company that it will no longer be continuing development on the program.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operates as one operating business segment focused on developing innovative medicines in areas of high unmet need for cancer patients. The Company's determination that it operates as a single segment is consistent with the financial information regularly reviewed by the CODM for purposes of evaluating performance, allocating resources, and planning and forecasting for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accounting policies of the segment are the same as those described in the summary of significant accounting policies. The CODM assesses performance for the segment based on net loss, which is reported on the statement of operations and comprehensive loss as net loss. The measure of segment assets is reported on the balance sheet as total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the Company has not recognized any revenue from product sales, and the Company does not expect to generate any revenue in the foreseeable future. Net loss is used to monitor budget versus actual results. Monitoring budgeted versus actual results is used in assessing performance of the segment and to make decisions about the allocation of resources, along with cash forecast models.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fourth quarter of 2025, the Company announced that it decided to pause the clinical development of its SMARCA2 degrader program which is comprised of PRT3789 and PRT7732 and prioritize allocation of resources to advancing the JAK2 V617F and lysine acetyltransferase 6A (KAT6A) selective degrader programs. The expense included in other represents programs that the Company has paused or discontinued, including the previously mentioned SMARCA2 degrader programs. </w:t>
      </w:r>
      <w:r>
        <w:rPr>
          <w:rFonts w:ascii="Times New Roman" w:hAnsi="Times New Roman"/>
          <w:color w:val="212529"/>
          <w:sz w:val="20"/>
        </w:rPr>
        <w:t>Corresponding segment expenses for earlier periods have been recast.</w:t>
      </w:r>
      <w:r>
        <w:rPr>
          <w:rFonts w:ascii="Times New Roman" w:hAnsi="Times New Roman"/>
          <w:color w:val="000000"/>
          <w:sz w:val="20"/>
        </w:rPr>
        <w:t xml:space="preserve"> The following table summarizes the significant expense categories regularly reviewed by the CODM for the three and six months ended June 30, 2026 and 2025. </w:t>
      </w:r>
    </w:p>
    <w:p>
      <w:pPr>
        <w:pStyle w:val="TextBody"/>
        <w:bidi w:val="0"/>
        <w:spacing w:before="120" w:after="283"/>
        <w:jc w:val="left"/>
        <w:rPr/>
      </w:pPr>
      <w:r>
        <w:rPr/>
        <w:t> </w:t>
      </w:r>
    </w:p>
    <w:tbl>
      <w:tblPr>
        <w:tblW w:w="9947" w:type="dxa"/>
        <w:jc w:val="left"/>
        <w:tblInd w:w="0" w:type="dxa"/>
        <w:tblLayout w:type="fixed"/>
        <w:tblCellMar>
          <w:top w:w="28" w:type="dxa"/>
          <w:left w:w="28" w:type="dxa"/>
          <w:bottom w:w="28" w:type="dxa"/>
          <w:right w:w="28" w:type="dxa"/>
        </w:tblCellMar>
      </w:tblPr>
      <w:tblGrid>
        <w:gridCol w:w="3726"/>
        <w:gridCol w:w="446"/>
        <w:gridCol w:w="211"/>
        <w:gridCol w:w="736"/>
        <w:gridCol w:w="246"/>
        <w:gridCol w:w="246"/>
        <w:gridCol w:w="211"/>
        <w:gridCol w:w="736"/>
        <w:gridCol w:w="346"/>
        <w:gridCol w:w="346"/>
        <w:gridCol w:w="211"/>
        <w:gridCol w:w="736"/>
        <w:gridCol w:w="166"/>
        <w:gridCol w:w="146"/>
        <w:gridCol w:w="211"/>
        <w:gridCol w:w="736"/>
        <w:gridCol w:w="491"/>
      </w:tblGrid>
      <w:tr>
        <w:trPr/>
        <w:tc>
          <w:tcPr>
            <w:tcW w:w="372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JAK2 V617F</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KAT6A</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programs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costs, including personnel related</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two equity incentive plans: the 2016 Equity Incentive Plan, as amended, and the 2020 Equity Incentive Plan. New awards can only be granted under the 2020 Equity Incentive Plan (the “Plan”).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Company's board of directors or compensation committee to determine a lesser number of shares shall be added for such year. On January 1, 2026, 3,147,681 shares were added to the Plan. As of June 30, 2026, 6,753,174 shares were available for future grants.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stock option activity for the periods indicated:</w:t>
      </w:r>
    </w:p>
    <w:p>
      <w:pPr>
        <w:pStyle w:val="TextBody"/>
        <w:bidi w:val="0"/>
        <w:jc w:val="left"/>
        <w:rPr/>
      </w:pPr>
      <w:r>
        <w:rPr/>
        <w:t> </w:t>
      </w:r>
    </w:p>
    <w:tbl>
      <w:tblPr>
        <w:tblW w:w="7064" w:type="dxa"/>
        <w:jc w:val="left"/>
        <w:tblInd w:w="0" w:type="dxa"/>
        <w:tblLayout w:type="fixed"/>
        <w:tblCellMar>
          <w:top w:w="28" w:type="dxa"/>
          <w:left w:w="28" w:type="dxa"/>
          <w:bottom w:w="28" w:type="dxa"/>
          <w:right w:w="28" w:type="dxa"/>
        </w:tblCellMar>
      </w:tblPr>
      <w:tblGrid>
        <w:gridCol w:w="2656"/>
        <w:gridCol w:w="146"/>
        <w:gridCol w:w="146"/>
        <w:gridCol w:w="1036"/>
        <w:gridCol w:w="166"/>
        <w:gridCol w:w="146"/>
        <w:gridCol w:w="290"/>
        <w:gridCol w:w="790"/>
        <w:gridCol w:w="146"/>
        <w:gridCol w:w="146"/>
        <w:gridCol w:w="239"/>
        <w:gridCol w:w="766"/>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14,727,692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18,208,834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the aggregate intrinsic value of outstanding options and exercisable options was $33.1 million and $12.9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about stock options outstanding at June 30, 2026 under the Plan:</w:t>
      </w:r>
    </w:p>
    <w:p>
      <w:pPr>
        <w:pStyle w:val="TextBody"/>
        <w:bidi w:val="0"/>
        <w:jc w:val="left"/>
        <w:rPr/>
      </w:pPr>
      <w:r>
        <w:rPr/>
        <w:t> </w:t>
      </w:r>
    </w:p>
    <w:tbl>
      <w:tblPr>
        <w:tblW w:w="8822" w:type="dxa"/>
        <w:jc w:val="left"/>
        <w:tblInd w:w="0" w:type="dxa"/>
        <w:tblLayout w:type="fixed"/>
        <w:tblCellMar>
          <w:top w:w="28" w:type="dxa"/>
          <w:left w:w="28" w:type="dxa"/>
          <w:bottom w:w="28" w:type="dxa"/>
          <w:right w:w="28" w:type="dxa"/>
        </w:tblCellMar>
      </w:tblPr>
      <w:tblGrid>
        <w:gridCol w:w="1906"/>
        <w:gridCol w:w="146"/>
        <w:gridCol w:w="146"/>
        <w:gridCol w:w="1036"/>
        <w:gridCol w:w="146"/>
        <w:gridCol w:w="146"/>
        <w:gridCol w:w="346"/>
        <w:gridCol w:w="1109"/>
        <w:gridCol w:w="146"/>
        <w:gridCol w:w="146"/>
        <w:gridCol w:w="214"/>
        <w:gridCol w:w="582"/>
        <w:gridCol w:w="146"/>
        <w:gridCol w:w="146"/>
        <w:gridCol w:w="146"/>
        <w:gridCol w:w="1036"/>
        <w:gridCol w:w="146"/>
        <w:gridCol w:w="146"/>
        <w:gridCol w:w="214"/>
        <w:gridCol w:w="582"/>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Exercisable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Range of Exercise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$0.31 - $2.09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$2.10 - $4.50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$4.51 - $7.50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$7.51 - $74.45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18,208,834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grant date fair value of options granted was $2.27 and $0.83 per option for the six months ended June 30, 2026 and 2025, respectively. The Company recorded stock-based compensation expense of $1.9 million and $3.7 million for the three months ended June 30, 2026 and 2025, respectively, related to stock options. The Company recorded stock-based compensation expense of $3.8 million and $7.4 million for the six months ended June 30, 2026 and 2025, respectively, related to stock options. As of June 30, 2026, the total unrecognized compensation expense related to unvested stock option awards was $15.0 million, which the Company expects to recognize over a weighted-average period of 2.63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was estimated on the date of grant using the weighted average assumptions in the table below:</w:t>
      </w:r>
    </w:p>
    <w:p>
      <w:pPr>
        <w:pStyle w:val="TextBody"/>
        <w:bidi w:val="0"/>
        <w:jc w:val="left"/>
        <w:rPr/>
      </w:pPr>
      <w:r>
        <w:rPr/>
        <w:t> </w:t>
      </w:r>
    </w:p>
    <w:tbl>
      <w:tblPr>
        <w:tblW w:w="4549" w:type="dxa"/>
        <w:jc w:val="left"/>
        <w:tblInd w:w="0" w:type="dxa"/>
        <w:tblLayout w:type="fixed"/>
        <w:tblCellMar>
          <w:top w:w="28" w:type="dxa"/>
          <w:left w:w="28" w:type="dxa"/>
          <w:bottom w:w="28" w:type="dxa"/>
          <w:right w:w="28" w:type="dxa"/>
        </w:tblCellMar>
      </w:tblPr>
      <w:tblGrid>
        <w:gridCol w:w="2131"/>
        <w:gridCol w:w="146"/>
        <w:gridCol w:w="146"/>
        <w:gridCol w:w="676"/>
        <w:gridCol w:w="271"/>
        <w:gridCol w:w="146"/>
        <w:gridCol w:w="146"/>
        <w:gridCol w:w="57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granted restricted stock units (“RSUs”) to employees that generally vest over a four-year period with 25% of awards vesting after one year and then quarterly thereafter. Any unvested units will be forfeited upon termination of services.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activity related to RSU stock-based payment awards:</w:t>
      </w:r>
    </w:p>
    <w:tbl>
      <w:tblPr>
        <w:tblW w:w="6108" w:type="dxa"/>
        <w:jc w:val="left"/>
        <w:tblInd w:w="0" w:type="dxa"/>
        <w:tblLayout w:type="fixed"/>
        <w:tblCellMar>
          <w:top w:w="28" w:type="dxa"/>
          <w:left w:w="28" w:type="dxa"/>
          <w:bottom w:w="28" w:type="dxa"/>
          <w:right w:w="28" w:type="dxa"/>
        </w:tblCellMar>
      </w:tblPr>
      <w:tblGrid>
        <w:gridCol w:w="3091"/>
        <w:gridCol w:w="146"/>
        <w:gridCol w:w="146"/>
        <w:gridCol w:w="781"/>
        <w:gridCol w:w="166"/>
        <w:gridCol w:w="146"/>
        <w:gridCol w:w="449"/>
        <w:gridCol w:w="99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stock-based compensation expense of $53 thousand and $65 thousand for the three months ended June 30, 2026 and 2025, respectively, related to RSUs. The Company recorded stock-based compensation expense of $137 thousand and $125 thousand for the six months ended June 30, 2026 and 2025, respectively, related to RSUs. At June 30, 2026, the total unrecognized expense related to the RSUs was $702 thousand, which the Company expects to recognize over a weighted-average period 3.66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an Employee Stock Purchase Plan (the “ESPP”).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On January 1, 2026, 629,536 shares were added to the ESPP and as of June 30, 2026, the ESPP had 2,887,029 shares of common stock reserved for future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 nor will a participant be permitted to purchase more than 2,500 shares during any one purchase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$40 thousand and $35 thousand for the three months ended June 30, 2026 and 2025, respectively, related to the ESPP. The Company recognized share-based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expense of $80 thousand and $75 thousand for the six months ended June 30, 2026 and 2025, respectively, related to the ESPP.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Workforce Reduction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During 2025, the Company reduced its workforce by approximately 27% of full-time employees to align its resources with its ongoing clinical and preclinical programs. There was no expense related to the workforce reduction incurred during the three months ended June 30, 2026 and 2025.</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following table summarizes the accrued liabilities activity recorded in connection with the reduction in workforce for the six months ended June 30, 2026:</w:t>
      </w:r>
    </w:p>
    <w:tbl>
      <w:tblPr>
        <w:tblW w:w="10205" w:type="dxa"/>
        <w:jc w:val="left"/>
        <w:tblInd w:w="0" w:type="dxa"/>
        <w:tblLayout w:type="fixed"/>
        <w:tblCellMar>
          <w:top w:w="28" w:type="dxa"/>
          <w:left w:w="28" w:type="dxa"/>
          <w:bottom w:w="28" w:type="dxa"/>
          <w:right w:w="28" w:type="dxa"/>
        </w:tblCellMar>
      </w:tblPr>
      <w:tblGrid>
        <w:gridCol w:w="1601"/>
        <w:gridCol w:w="808"/>
        <w:gridCol w:w="1619"/>
        <w:gridCol w:w="146"/>
        <w:gridCol w:w="146"/>
        <w:gridCol w:w="267"/>
        <w:gridCol w:w="439"/>
        <w:gridCol w:w="146"/>
        <w:gridCol w:w="146"/>
        <w:gridCol w:w="297"/>
        <w:gridCol w:w="677"/>
        <w:gridCol w:w="166"/>
        <w:gridCol w:w="146"/>
        <w:gridCol w:w="381"/>
        <w:gridCol w:w="625"/>
        <w:gridCol w:w="146"/>
        <w:gridCol w:w="146"/>
        <w:gridCol w:w="797"/>
        <w:gridCol w:w="1313"/>
        <w:gridCol w:w="193"/>
      </w:tblGrid>
      <w:tr>
        <w:trPr/>
        <w:tc>
          <w:tcPr>
            <w:tcW w:w="16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accrued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accrued at June 30,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Workforce reduction</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beliefs. Our actual results could differ materially from those anticipated in these forward-looking statements as a result of various factors, including those set forth in the section titled “Risk Factors” under Part I, Item 1A of our Annual Report on Form 10-K filed with the SEC on March 10, 2026, or our 2025 Annual Report on Form 10-K. These forward-looking statements may include, but are not limited to, statements regarding our future results of operations and financial position, our ability to develop our clinical candidates, inflation and interest rate risk, recessionary concerns, the effect of continued federal government shutdown,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Prelude is a precision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drug discovery engine and the development expertise necessary to identify compelling biological targets and create new chemical entities ("NCEs") that we advance into clinical trials. We believe our approach could result in better targeted cancer therapies. Our discovery excellence has been supported by our steady progress in advancing a pipeline of novel precision oncology development candidates, alone and with partners. We are working with our partner AbCellera Biologics, Inc. ("AbCellera") on an early-stage discovery program involving potent degraders as payloads for novel antibodies targeting tumor specific antigens. Since our inception in 2016, we have received clearance from the U.S. Food and Drug Administration (the "FDA") for multiple investigational new drug applications ("INDs") and successfully advanced several programs into clinical trials. In addition, we have other differentiated proprietary programs in various stages of preclinical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focusing on developing molecules using broad mechanisms that have multiple links to oncogenic driver pathways in select patients, we have developed a diverse pipeline consisting of multiple distinct programs including kinases, targeted protein degraders, and degrader antibody conjugates ("DAC"). Our pipeline is designed to serve patients with high unmet medical need, where there are limited or no treatment options. We believe we can best address these diseases by harnessing advances in new therapeutic modalities such as targeted protein degradation to develop highly potent and specific agents against clinically validated targets in areas of high unmet need.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discovered and are developing a series of selective and orally bioavailable lysine acetyltransferase 6A ("KAT6A") selective degraders. We believe that selectively degrading KAT6A has the potential for improved efficacy, tolerability and combinability with other agents relative to non-selective inhibitors of KAT6A/B.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presented preclinical data from our lead development candidate, PRT13722, at the American Association for Cancer Research Annual Meeting 2026 in April 2026. PRT13722 is initially being developed for the treatment of hormone receptor positive ("HR+")/human epidermal growth factor receptor 2 ("HER2-") breast cancer ("BC"). Based on preclinical data, we believe PRT13722 is a highly differentiated, first-in-class, orally bioavailable, potent and highly selective KAT6A degrader. Pending clearance of the IND application, we expect the Phase 1 study of PRT13722 in HR+ breast cancer to be initiated in the fourth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Myeloproliferative neoplasms ("MPN") are hematopoietic disorders arising from clonal expansion of hematopoietic stem cells ("HSC") in the bone marrow. Current treatment options for MPN patients offer symptomatic benefit but fail to eliminate disease-initiating clones, leading to treatment resistance and progression to secondary acute myeloid leukemia. Therapeutic approaches that can selectively eliminate disease-initiating HSCs and induce molecular remission are an unmet medical need.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Mutations in Janus Kinase 2 ("JAK2"), calreticulin ("CALR") and MPL are phenotypic drivers of disease in over 90% of MPN cases. CALR mutations are the second most common driver alteration in MPN, accounting for 20-30% of all cases. Selective expression of mutant CALR on diseased cells but not on normal cells makes CALR a high value target for antibody-directed therapies in MPN.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JAK2V617F is the primary driver mutation responsible for disease progression in the majority of patients living with MPNs. We have discovered novel allosteric inhibitors that bind into the JAK2 JH2 “deep pocket” where the V617F mutation resides. These candidates demonstrate mutant specific inhibition in multiple preclinical models of MPNs. We believe this approach may have the potential to reduce mutant allele burden, slow or even reverse disease progression, and transform treatment outcomes for MPN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PRT12396, our lead, mutant-selective JAK2V617F inhibitor, received IND clearance from the U.S. FDA, as announced in February 2026, and is enrolling patients into a Phase 1 study of PRT12396 in patients with polycythemia vera (PV) and myelofibrosis (MF). The Phase 1 study of PRT12396 is an open-label, multi-center, safety and efficacy study. The endpoints of the study include safety, efficacy and PK profile.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announced in November 2025, we entered into an exclusive option agreement (the "Exclusive Option Agreement") with Incyte Corporation ("Incyte") to acquire our mutative selective JAK2V617F inhibitor program (the “Program”) for patients with myeloproliferative neoplasms. Under the Option Agreement, Incyte received an exclusive option to acquire our entire right, title, and interest in and to certain assets, properties, and rights related to the JAK2V617F inhibitor program, including our library of preclinical candidates (collectively, the “Transferred Assets”). We expect to advance the JAK2V617F program to pre-defined milestones. Incyte may elect to exercise its exclusive option during the option period to acquire the program and associated assets from us for $100 million. As the JAK2V617F program candidates advance in the clinic, we would be eligible to receive up to $775 million in additional clinical and regulatory milestones, and single digit royalties on global net sales. Combined, total potential cash payments from the transaction, excluding royalties, could reach up to $910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Drawing on our expertise in targeted protein degradation, we have discovered and optimized a series of proprietary degrader payloads for use in discovering and developing DACs. We disclosed first data at the 36th EORTC-NCI-AACR Symposium in October 2024 describing preclinical proof-of-concept using a novel, potent SMARCA2/4 dual degrader as a degrader payload conjugated to multiple antibodies. Prelude’s SMARCA2/4 dual degraders have shown picomolar potency with potential for increased efficacy, selectivity and improved therapeutic index. DACs have potential to expand the reach of SMARCA degrader technology to cancers without SMARCA4 mutations.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second half of 2025, we restructured aspects of our collaboration agreement with AbCellera to allow AbCellera to independently discover, develop and commercialize select undisclosed DACs by providing a non-exclusive license to the Company’s degrader payloads among other changes to overall resource allocation, governance, and operational aspects of the collaboration.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2025, at the European Hematology Association, we delivered an oral presentation about our mutated calreticulin ("mCALR") discovery efforts, including the first-in-class CALR-targeted DACs that selectively target mutant CALR expressing cells, with the potential to achieve responses by eliminating MPN clones. These data demonstrate that a CALRxSMARCA2/4 degrader antibody conjugate can selectively degrade SMARCA2/4 in CALR mutant cells and robustly inhibit CALR-mutant cell growth in vitro and in vivo.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$24.3 million and $63.3 million for the six months ended June 30, 2026 and 2025, respectively. As of June 30, 2026, we had an accumulated deficit of $707.4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 significantly from quarter-to-quarter and year-to-year, depending on the timing of our clinical trials and our expenditures on other research and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recognized any revenue from product sales, and we do not expect to generate any revenue from the sale of products in the foreseeable future. During the three and six months ended June 30, 2026, we recognized revenue from our Exclusive Option Agreement with Incyte. If our development efforts for our product candidates are successful and result in regulatory approval, or license agreements with third parties, we may generate revenue in the future in the form of milestone payments, royalties, or product sales. However, there can be no assurance as to when we will generate such revenue, if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the discovery and development of our product candidates. We expense research and development costs as incurred,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to conduct the necessary discovery-stage laboratory work, preclinical studies and clinical trials required to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expenses, including salaries, benefits and stock-based compensation expense for our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funding research performed by third parties, including pursuant to agreements with clinical research organizations ("CROs") that conduct our clinical trials, as well as investigative sites, consultants and CROs that conduct our preclinical and nonclinical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manufacturing organizations ("CMOs") including manufacturing scale-up expenses and the cost of acquiring and manufacturing preclinical study and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consultants who assist with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regulatory activities, including filing fees paid to regulatory agencies;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expenses for facility costs, including rent, utilities, depreciation and maintenance.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over the next several years related to personnel costs, including stock-based compensation, clinical trials, including later-stage clinical trials, for current and future product candidates and preparing regulatory filings for our product candidates.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general and administrative expense in the future to support our continued research and development activities and potential commercialization efforts. These expenses will likely include costs related to personnel and fees to outside consultants and legal support, among other expenses. The costs associated with being a public company include expenses related to services associated with maintaining compliance with the requirements of Nasdaq and the Securities and Exchange Commission ("SEC"), insurance and investor relations costs. If any of our current or future product candidates obtains U.S. regulatory approval, we expect that we would incur significantly increased expenses associated with building a sales and marketing team.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net consists primarily of interest earned on our cash equivalents and marketable securities, research and development tax credits, and grant income received from the State of Delaware.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recorded any income tax benefits for the net operating losses ("NOLs") we have incurred or for our research and development tax credits, as we believe, based upon the weight of available evidence, that it is more likely than not that all of our NOLs and tax credits will not be realized.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our results of operations.</w:t>
      </w:r>
    </w:p>
    <w:p>
      <w:pPr>
        <w:pStyle w:val="TextBody"/>
        <w:bidi w:val="0"/>
        <w:spacing w:before="240" w:after="283"/>
        <w:jc w:val="left"/>
        <w:rPr/>
      </w:pPr>
      <w:r>
        <w:rPr/>
        <w:t> </w:t>
      </w:r>
    </w:p>
    <w:tbl>
      <w:tblPr>
        <w:tblW w:w="6783"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736"/>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for the three months ended June 30, 2026 was related to our Exclusive Option Agreement with Incyte.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from $25.8 million for the three months ended June 30, 2025 to $16.1 million for the three months ended June 30, 2026. Included in research and development expenses for the three months ended June 30, 2026, was $1.0 million of non-cash expense related to stock-based compensation expense, including employee stock options, compared to $2.2 million for the three months ended June 30, 2025. Research and development expenses decreased primarily due to a decrease in expense related to our SMARCA2 clinical trials which we paused in 2025 along with a decrease in employee related expenses due to the workforce reduction in the second half of 2025. Research and development expenses may fluctuate from period to period depending upon the stage of certain projects and the level of preclinical and clinical trial-related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by program are summarized in the table below. During the fourth quarter of 2025, the Company announced that it decided to pause the clinical development of its SMARCA2 degrader program which is comprised of PRT3789 and PRT7732 and prioritize allocation of resources to advancing the JAK2 V617F and KAT6A selective degrader programs. The expense included in other represents programs that the Company has paused or discontinued, including the previously mentioned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SMARCA2 degrader programs. </w:t>
      </w:r>
      <w:r>
        <w:rPr>
          <w:rFonts w:ascii="Times New Roman" w:hAnsi="Times New Roman"/>
          <w:color w:val="212529"/>
          <w:sz w:val="20"/>
        </w:rPr>
        <w:t xml:space="preserve">Corresponding program expenses for earlier periods have been recast. </w:t>
      </w:r>
      <w:r>
        <w:rPr>
          <w:rFonts w:ascii="Times New Roman" w:hAnsi="Times New Roman"/>
          <w:color w:val="000000"/>
          <w:sz w:val="20"/>
        </w:rPr>
        <w:t xml:space="preserve">The following table summarizes the significant expense categories for the three months ended June 30, 2026 and 2025. </w:t>
      </w:r>
    </w:p>
    <w:p>
      <w:pPr>
        <w:pStyle w:val="TextBody"/>
        <w:bidi w:val="0"/>
        <w:spacing w:before="240" w:after="283"/>
        <w:jc w:val="left"/>
        <w:rPr/>
      </w:pPr>
      <w:r>
        <w:rPr/>
        <w:t> </w:t>
      </w:r>
    </w:p>
    <w:tbl>
      <w:tblPr>
        <w:tblW w:w="5929" w:type="dxa"/>
        <w:jc w:val="left"/>
        <w:tblInd w:w="0" w:type="dxa"/>
        <w:tblLayout w:type="fixed"/>
        <w:tblCellMar>
          <w:top w:w="28" w:type="dxa"/>
          <w:left w:w="28" w:type="dxa"/>
          <w:bottom w:w="28" w:type="dxa"/>
          <w:right w:w="28" w:type="dxa"/>
        </w:tblCellMar>
      </w:tblPr>
      <w:tblGrid>
        <w:gridCol w:w="3526"/>
        <w:gridCol w:w="146"/>
        <w:gridCol w:w="211"/>
        <w:gridCol w:w="676"/>
        <w:gridCol w:w="146"/>
        <w:gridCol w:w="146"/>
        <w:gridCol w:w="211"/>
        <w:gridCol w:w="67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JAK2 V617F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KAT6A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Discovery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 including personnel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from $6.4 million for the three months ended June 30, 2025 to $5.0 million for the three months ended June 30, 2026. Included in general and administrative expenses for the three months ended June 30, 2026, was $1.0 million of non-cash expense related to stock-based compensation expense compared to $1.6 million for the three months ended June 30, 2025. The decrease was primarily driven by a decrease in non-cash expense related to stock-based compensation expense.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increased from $1.0 million for the three months ended June 30, 2025, to $1.5 million for the three months ended June 30, 2026 primarily due to interest earned on the investment of our cash received from the April Offering.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our results of operations.</w:t>
      </w:r>
    </w:p>
    <w:p>
      <w:pPr>
        <w:pStyle w:val="TextBody"/>
        <w:bidi w:val="0"/>
        <w:spacing w:before="240" w:after="283"/>
        <w:jc w:val="left"/>
        <w:rPr/>
      </w:pPr>
      <w:r>
        <w:rPr/>
        <w:t> </w:t>
      </w:r>
    </w:p>
    <w:tbl>
      <w:tblPr>
        <w:tblW w:w="6783"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736"/>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for the six months ended June 30, 2026 was related to our Exclusive Option Agreement with Incyte.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from $54.6 million for the six months ended June 30, 2025 to $29.7 million for the six months ended June 30, 2026. Included in research and development expenses for the six months ended June 30, 2026, was $2.1 million of non-cash expense related to stock-based compensation expense, including employee stock options, compared to $4.5 million for the six months ended June 30, 2025. Research and development expenses decreased primarily due to a decrease in expense related to our SMARCA2 clinical trials which we paused in 2025 along with a decrease in stock-based compensation expense. Research and development expenses may fluctuate from period to period depending upon the stage of certain projects and the level of preclinical and clinical trial-related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Research and development expenses by program are summarized in the table below. During the fourth quarter of 2025, the Company announced that it decided to pause the clinical development of its SMARCA2 degrader program which is comprised of PRT3789 and PRT7732 and prioritize allocation of resources to advancing the JAK2 V617F and KAT6A selective degrader programs. The expense included in other represents programs that the Company has paused or discontinued, including the previously mentioned SMARCA2 degrader programs. </w:t>
      </w:r>
      <w:r>
        <w:rPr>
          <w:rFonts w:ascii="Times New Roman" w:hAnsi="Times New Roman"/>
          <w:color w:val="212529"/>
          <w:sz w:val="20"/>
        </w:rPr>
        <w:t xml:space="preserve">Corresponding program expenses for earlier periods have been recast. </w:t>
      </w:r>
      <w:r>
        <w:rPr>
          <w:rFonts w:ascii="Times New Roman" w:hAnsi="Times New Roman"/>
          <w:color w:val="000000"/>
          <w:sz w:val="20"/>
        </w:rPr>
        <w:t xml:space="preserve">The following table summarizes the significant expense categories for the six months ended June 30, 2026 and 2025. </w:t>
      </w:r>
    </w:p>
    <w:p>
      <w:pPr>
        <w:pStyle w:val="TextBody"/>
        <w:bidi w:val="0"/>
        <w:jc w:val="left"/>
        <w:rPr/>
      </w:pPr>
      <w:r>
        <w:rPr/>
        <w:t> </w:t>
      </w:r>
    </w:p>
    <w:tbl>
      <w:tblPr>
        <w:tblW w:w="5929" w:type="dxa"/>
        <w:jc w:val="left"/>
        <w:tblInd w:w="0" w:type="dxa"/>
        <w:tblLayout w:type="fixed"/>
        <w:tblCellMar>
          <w:top w:w="28" w:type="dxa"/>
          <w:left w:w="28" w:type="dxa"/>
          <w:bottom w:w="28" w:type="dxa"/>
          <w:right w:w="28" w:type="dxa"/>
        </w:tblCellMar>
      </w:tblPr>
      <w:tblGrid>
        <w:gridCol w:w="3526"/>
        <w:gridCol w:w="146"/>
        <w:gridCol w:w="211"/>
        <w:gridCol w:w="676"/>
        <w:gridCol w:w="146"/>
        <w:gridCol w:w="146"/>
        <w:gridCol w:w="211"/>
        <w:gridCol w:w="67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JAK2 V617F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KAT6A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Discovery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 including personnel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decreased from $12.2 million for the six months ended June 30, 2025 to $10.2 million for the six months ended June 30, 2026. The decrease was primarily driven by a decrease in non-cash expense related to stock-based compensation expense. Included in general and administrative expenses for the six months ended June 30, 2026, was $1.9 million of non-cash expense related to stock-based compensation expense compared to $3.2 million for the six months ended June 30,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increased from $3.5 million for the six months ended June 30, 2025, to $5.3 million for the six months ended June 30, 2026 primarily due to the receipt and recognition of research and development tax credits along with higher interest earned on the investment of our cash received from the April Offering.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not recognized any product revenue and have incurred operating losses and negative cash flows from our operations. We have not yet commercialized any product and we do not expect to generate revenue from sales of any products for several years,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June 30, 2026, the Company had cash, cash equivalents, restricted cash and marketable securities totaling $155.2 million and the Company believes these funds will be sufficient to fund its operating expenses and capital expenditure requirements for at least the next twelve months from the filing date of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2026, under the 2024 Shelf Registration Statement (defined below), we sold an aggregate of (a) 16,611,014 shares of our voting common stock, par value $0.0001 per share, at a price of $4.44 per share, and (b) pre-funded warrants to purchase up to 3,659,252 shares of our common stock, at a price of $4.4399 per pre-funded warrant with an exercise price of $0.0001 per share (collectively, the "April Offering"). We received net proceeds of approximately $85.4 million, after deducting underwriting discounts and commissions and offering expenses of approximately $4.6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funded our operations primarily through the sale of convertible preferred stock, common stock, and pre-funded warrants. 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and results of discovery, preclinical development, laboratory testing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our product candidates for clinical trials and in preparation for marketing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enter into collaborations or other arrangements with additional third parties in order to further develop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fees associated with the discovery, acquisition or in-license of additional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needed to attract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required to scale up our clinical, regulatory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future commercialization activities, if any, including establishing sales, marketing, manufacturing and distribution capabilities, for any of our product candidates for which we receive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if any, received from commercial sales of our product candidates, should any of our product candidates receive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we filed a shelf registration statement (the "2024 Shelf Registration Statement") with the Securities and Exchange Commission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As of June 30, 2026, there was $310 million remaining under the 2024 Shelf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we entered into an Open Market Sales Agreement (the "Sales Agreement") with Jefferies LLC, as the sales agent, pursuant to which we may offer and sell shares of our common stock. In accordance with the terms of the Sales Agreement on March 12, 2026, we filed a prospectus supplement under our 2024 Shelf Registration Statement, pursuant to which we may offer and sell shares of our common stock having an aggregate offering price of up to $25.0 million from time to time through Jefferies acting as sales agent. At June 30, 2026, there was $25.0 million remaining under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a summary of our cash flows for the periods indicated:</w:t>
      </w:r>
    </w:p>
    <w:p>
      <w:pPr>
        <w:pStyle w:val="TextBody"/>
        <w:bidi w:val="0"/>
        <w:jc w:val="left"/>
        <w:rPr/>
      </w:pPr>
      <w:r>
        <w:rPr/>
        <w:t> </w:t>
      </w:r>
    </w:p>
    <w:tbl>
      <w:tblPr>
        <w:tblW w:w="81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we used $37.3 million of cash in operating activities. Cash used in operating activities reflected our net loss of $24.3 million and a $17.8 million net decrease in our operating assets and liabilities offset by noncash charges of $4.8 million, which primarily consisted of stock-based compensation. The primary use of cash was to fund our operations related to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we used $60.3 million of cash in operating activities. Cash used in operating activities reflected our net loss of $63.3 million and a $6.1 million net decrease in our operating assets and liabilities offset by noncash charges of $9.1 million, which primarily consisted of stock-based compensation. The primary use of cash was to fund our operations related to the development of our product candidates.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net cash used in investing activities of $57.0 million consisted of $90.0 million in purchases of marketable securities, partially offset by $33.0 million in proceeds from maturities of marketable securities. During the six months ended June 30, 2025, net cash provided by investing activities of $73.7 million consisted primarily of $107.9 million in proceeds from maturities of marketable securities, partially offset by $34.1 million in purchases of marketable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provided by financing activities primarily related to the proceeds received from the April Offering, partially offset by offering costs related to the April Offering. During the six months ended June 30, 2025, net cash used in financing activities was primarily for principal payments on our finance lease.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2026, there were no other material changes to our critical accounting policies and estimates from those described under the heading “Management’s Discussion and Analysis of Financial Condition and Results of Operations-Critical Accounting Estimates” in our 2025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in Rule 405 under the Securities Act.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Specifically, as a smaller reporting company we may choose to present only the two most recent fiscal years of audited financial statements in our Annual Report on Form 10-K and smaller reporting companies have scaled disclosure obligations regarding executive compensation.</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Exchange Act and are not required to provide the information required under this item with respect to the period ending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sz w:val="20"/>
        </w:rPr>
      </w:pPr>
      <w:r>
        <w:rPr>
          <w:rFonts w:ascii="Times New Roman" w:hAnsi="Times New Roman"/>
          <w:b/>
          <w:color w:val="000000"/>
          <w:sz w:val="20"/>
        </w:rPr>
        <w:t>Evaluation of Disclosure Controls and Procedure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June 30, 2026, the design and operation of our disclosure controls and procedures were effective at a reasonable assurance level.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determined that, as of June 30, 2026, there were no changes in our internal control over financial reporting that occurred during the fiscal quarter then ended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36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pStyle w:val="TextBody"/>
        <w:bidi w:val="0"/>
        <w:spacing w:before="36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Investing in our common stock involves a high degree of risk. Before making your decision to invest in shares of our common stock, you should carefully consider the risks and uncertainties described under Part I, Item 1A, “Risk Factors” in our 2025 Annual Report on Form 10-K filed with the Securities and Exchange Commission on March 10, 2026. </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2026, we did not issue or sell any unregistered securities not previously disclosed in a Quarterly Report on Form 10-Q or in a Current Report on Form 8-K.</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Furnish the exhibits required by Item 601 of Regulation S-K (§ 229.601 of this chapter).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341"/>
        <w:gridCol w:w="511"/>
        <w:gridCol w:w="729"/>
        <w:gridCol w:w="709"/>
        <w:gridCol w:w="855"/>
        <w:gridCol w:w="1169"/>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745"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2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7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85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Filing Date</w:t>
            </w:r>
          </w:p>
        </w:tc>
        <w:tc>
          <w:tcPr>
            <w:tcW w:w="116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 Herewith</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Form of Pre-Funded Warrant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001-39527</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21, 2026</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Executive Employment Agreement, dated April 14, 2026, by and between Prelude Therapeutics Incorporated and Charles Morris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2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001-39527</w:t>
            </w:r>
          </w:p>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12, 2026</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Executive Employment Agreement, dated April 5, 2024, by and between Prelude Therapeutics Incorporated and Sean Brusky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2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001-39527</w:t>
            </w:r>
          </w:p>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12, 2026</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Underwriting Agreement, dated April 20, 2026, by and between Prelude Therapeutics Incorporated and Goldman Sachs &amp; Co. LLC and Evercore Group L.L.C. as representative.</w:t>
              </w:r>
            </w:hyperlink>
          </w:p>
        </w:tc>
        <w:tc>
          <w:tcPr>
            <w:tcW w:w="5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001-39527</w:t>
            </w:r>
          </w:p>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85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April 21, 2026</w:t>
            </w:r>
          </w:p>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l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ld-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l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ld-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4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r>
        <w:rPr>
          <w:rFonts w:ascii="Times New Roman" w:hAnsi="Times New Roman"/>
          <w:color w:val="000000"/>
          <w:sz w:val="20"/>
        </w:rPr>
        <w:t>.</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34" w:type="dxa"/>
        <w:jc w:val="left"/>
        <w:tblInd w:w="0" w:type="dxa"/>
        <w:tblLayout w:type="fixed"/>
        <w:tblCellMar>
          <w:top w:w="28" w:type="dxa"/>
          <w:left w:w="28" w:type="dxa"/>
          <w:bottom w:w="28" w:type="dxa"/>
          <w:right w:w="28" w:type="dxa"/>
        </w:tblCellMar>
      </w:tblPr>
      <w:tblGrid>
        <w:gridCol w:w="1951"/>
        <w:gridCol w:w="146"/>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Prelude Therapeutics Incorporated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Krishna Vaddi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Krishna Vaddi,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Bryant Lim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Bryant Lim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1" w:name="prld-ex31_1.htm"/>
      <w:bookmarkStart w:id="22" w:name="ksprld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Krishna Vaddi,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Prelude Therapeutics Incorporated;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951"/>
        <w:gridCol w:w="109"/>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Krishna Vaddi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Krishna Vaddi,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prld-ex31_2.htm"/>
      <w:bookmarkStart w:id="24" w:name="ksprld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Bryant Lim,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Prelude Therapeutics Incorporated;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1951"/>
        <w:gridCol w:w="109"/>
        <w:gridCol w:w="40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Bryant Lim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Bryant Lim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prld-ex32_1.htm"/>
      <w:bookmarkStart w:id="26" w:name="ksprld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Krishna Vaddi, Chief Executive Officer of Prelude Therapeutics Incorporated (the “Company”), do hereby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on Form 10-Q of the Company for the fiscal quarter ended June 30, 2026 (the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951"/>
        <w:gridCol w:w="109"/>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Krishna Vaddi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Krishna Vaddi,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prld-ex32_2.htm"/>
      <w:bookmarkStart w:id="28" w:name="ksprld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Bryant Lim, Chief Financial Officer of Prelude Therapeutics Incorporated (the “Company”), do hereby certify, pursuant to 18 U.S.C. Section 1350, as adopted pursuant to Section 906 of the Sarbanes-Oxley Act of 2002, that to the best of my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on Form 10-Q of the Company for the fiscal quarter ended June 30, 2026 (the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1951"/>
        <w:gridCol w:w="109"/>
        <w:gridCol w:w="40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Bryant Lim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Bryant Lim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8660/000119312526164510/d131537dex41.htm" TargetMode="External"/><Relationship Id="rId3" Type="http://schemas.openxmlformats.org/officeDocument/2006/relationships/hyperlink" Target="https://www.sec.gov/Archives/edgar/data/1678660/000119312526218173/prld-ex10_1.htm" TargetMode="External"/><Relationship Id="rId4" Type="http://schemas.openxmlformats.org/officeDocument/2006/relationships/hyperlink" Target="https://www.sec.gov/Archives/edgar/data/1678660/000119312526218173/prld-ex10_2.htm" TargetMode="External"/><Relationship Id="rId5" Type="http://schemas.openxmlformats.org/officeDocument/2006/relationships/hyperlink" Target="https://www.sec.gov/Archives/edgar/data/1678660/000119312526164510/d131537dex1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16315</Words>
  <Characters>91296</Characters>
  <CharactersWithSpaces>108455</CharactersWithSpaces>
  <Paragraphs>4479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