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3660" w:right="1620" w:hanging="3652"/>
        <w:spacing w:after="0" w:line="224" w:lineRule="auto"/>
        <w:tabs>
          <w:tab w:leader="none" w:pos="472"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-334645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-147320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3"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PRELUDE THERAPEUTICS INCORPORATED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81-1384762</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8"/>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8"/>
              <w:spacing w:after="0"/>
              <w:rPr>
                <w:sz w:val="20"/>
                <w:szCs w:val="20"/>
                <w:color w:val="auto"/>
              </w:rPr>
            </w:pPr>
            <w:r>
              <w:rPr>
                <w:rFonts w:ascii="Arial" w:cs="Arial" w:eastAsia="Arial" w:hAnsi="Arial"/>
                <w:sz w:val="13"/>
                <w:szCs w:val="13"/>
                <w:b w:val="1"/>
                <w:bCs w:val="1"/>
                <w:color w:val="auto"/>
                <w:w w:val="89"/>
              </w:rPr>
              <w:t>Identification No.)</w:t>
            </w:r>
          </w:p>
        </w:tc>
      </w:tr>
      <w:tr>
        <w:trPr>
          <w:trHeight w:val="295"/>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2"/>
              </w:rPr>
              <w:t>200 Powder Mill Road</w:t>
            </w:r>
          </w:p>
        </w:tc>
        <w:tc>
          <w:tcPr>
            <w:tcW w:w="3020" w:type="dxa"/>
            <w:vAlign w:val="bottom"/>
          </w:tcPr>
          <w:p>
            <w:pPr>
              <w:spacing w:after="0"/>
              <w:rPr>
                <w:sz w:val="24"/>
                <w:szCs w:val="24"/>
                <w:color w:val="auto"/>
              </w:rPr>
            </w:pP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Wilmington, Delaware</w:t>
            </w:r>
          </w:p>
        </w:tc>
        <w:tc>
          <w:tcPr>
            <w:tcW w:w="3020" w:type="dxa"/>
            <w:vAlign w:val="bottom"/>
          </w:tcPr>
          <w:p>
            <w:pPr>
              <w:jc w:val="right"/>
              <w:ind w:right="208"/>
              <w:spacing w:after="0"/>
              <w:rPr>
                <w:sz w:val="20"/>
                <w:szCs w:val="20"/>
                <w:color w:val="auto"/>
              </w:rPr>
            </w:pPr>
            <w:r>
              <w:rPr>
                <w:rFonts w:ascii="Arial" w:cs="Arial" w:eastAsia="Arial" w:hAnsi="Arial"/>
                <w:sz w:val="16"/>
                <w:szCs w:val="16"/>
                <w:b w:val="1"/>
                <w:bCs w:val="1"/>
                <w:color w:val="auto"/>
              </w:rPr>
              <w:t>19803</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8"/>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PRLD</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47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0" w:firstLine="478"/>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300" w:firstLine="47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jc w:val="both"/>
        <w:ind w:right="100" w:firstLine="47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right="180" w:firstLine="478"/>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November 10, 2020, the registrant had 43,703,381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575310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68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80" w:type="dxa"/>
            <w:vAlign w:val="bottom"/>
            <w:vMerge w:val="restart"/>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9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Balance Sheets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Changes in Convertible Preferred Stock and Stockholder’s Equity (Deficit)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68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Interim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8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OTHER INFORMATION</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tc>
        <w:tc>
          <w:tcPr>
            <w:tcW w:w="9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2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234,792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238,061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239,681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Capital lease obligation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Convertible preferred stock, $0.0001 par value: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convertible preferred stock: No shares and 13,574,008 shares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authorized at September 30, 2020 and December 31, 2019, respectively;</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no shares and 11,736,119 shares issued and outstanding at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September 30, 2020 and December 31, 2019, respectively</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500"/>
              <w:spacing w:after="0"/>
              <w:rPr>
                <w:sz w:val="20"/>
                <w:szCs w:val="20"/>
                <w:color w:val="auto"/>
              </w:rPr>
            </w:pPr>
            <w:r>
              <w:rPr>
                <w:rFonts w:ascii="Arial" w:cs="Arial" w:eastAsia="Arial" w:hAnsi="Arial"/>
                <w:sz w:val="18"/>
                <w:szCs w:val="18"/>
                <w:color w:val="auto"/>
              </w:rPr>
              <w:t>Series B convertible preferred stock: No shares and 18,500,000 shares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40"/>
              <w:spacing w:after="0"/>
              <w:rPr>
                <w:sz w:val="20"/>
                <w:szCs w:val="20"/>
                <w:color w:val="auto"/>
              </w:rPr>
            </w:pPr>
            <w:r>
              <w:rPr>
                <w:rFonts w:ascii="Arial" w:cs="Arial" w:eastAsia="Arial" w:hAnsi="Arial"/>
                <w:sz w:val="18"/>
                <w:szCs w:val="18"/>
                <w:color w:val="auto"/>
              </w:rPr>
              <w:t>authorized at September 30, 2020 and December 31, 2019; No shares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40"/>
              <w:spacing w:after="0"/>
              <w:rPr>
                <w:sz w:val="20"/>
                <w:szCs w:val="20"/>
                <w:color w:val="auto"/>
              </w:rPr>
            </w:pPr>
            <w:r>
              <w:rPr>
                <w:rFonts w:ascii="Arial" w:cs="Arial" w:eastAsia="Arial" w:hAnsi="Arial"/>
                <w:sz w:val="18"/>
                <w:szCs w:val="18"/>
                <w:color w:val="auto"/>
              </w:rPr>
              <w:t>and 7,628,846 shares issued and outstanding at September 30, 2020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640"/>
              <w:spacing w:after="0"/>
              <w:rPr>
                <w:sz w:val="20"/>
                <w:szCs w:val="20"/>
                <w:color w:val="auto"/>
              </w:rPr>
            </w:pPr>
            <w:r>
              <w:rPr>
                <w:rFonts w:ascii="Arial" w:cs="Arial" w:eastAsia="Arial" w:hAnsi="Arial"/>
                <w:sz w:val="18"/>
                <w:szCs w:val="18"/>
                <w:color w:val="auto"/>
              </w:rPr>
              <w:t>and December 31, 2019, respectively</w:t>
            </w:r>
          </w:p>
        </w:tc>
        <w:tc>
          <w:tcPr>
            <w:tcW w:w="22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C convertible preferred stock: no shares authorized, issued or outstanding</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at September 30, 2020 and December 31, 2019</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convertible preferred stock</w:t>
            </w: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Voting common stock, $0.0001 par value: 487,149,741 and 42,000,000 shares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at September 30, 2020 and December 31, 2019, respectively;</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32,593,010 and 3,161,653 shares issued and outstanding at September 30, 2020</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2019, respectively</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Non-voting common stock, $0.0001 par value; 12,850,259 and no shares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80"/>
              <w:spacing w:after="0"/>
              <w:rPr>
                <w:sz w:val="20"/>
                <w:szCs w:val="20"/>
                <w:color w:val="auto"/>
              </w:rPr>
            </w:pPr>
            <w:r>
              <w:rPr>
                <w:rFonts w:ascii="Arial" w:cs="Arial" w:eastAsia="Arial" w:hAnsi="Arial"/>
                <w:sz w:val="18"/>
                <w:szCs w:val="18"/>
                <w:color w:val="auto"/>
              </w:rPr>
              <w:t>authorized at September 30, 2020 and December 31, 2019, respectively;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80"/>
              <w:spacing w:after="0"/>
              <w:rPr>
                <w:sz w:val="20"/>
                <w:szCs w:val="20"/>
                <w:color w:val="auto"/>
              </w:rPr>
            </w:pPr>
            <w:r>
              <w:rPr>
                <w:rFonts w:ascii="Arial" w:cs="Arial" w:eastAsia="Arial" w:hAnsi="Arial"/>
                <w:sz w:val="18"/>
                <w:szCs w:val="18"/>
                <w:color w:val="auto"/>
              </w:rPr>
              <w:t>11,110,371 and no shares issued and outstanding at September 30, 2020 and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December 31, 2019,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316,479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(88,176)</w:t>
            </w:r>
          </w:p>
        </w:tc>
        <w:tc>
          <w:tcPr>
            <w:tcW w:w="2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(50,497)</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228,307</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239,681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4"/>
                <w:szCs w:val="14"/>
                <w:color w:val="auto"/>
              </w:rPr>
            </w:pPr>
          </w:p>
        </w:tc>
        <w:tc>
          <w:tcPr>
            <w:tcW w:w="2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15,293</w:t>
            </w:r>
          </w:p>
        </w:tc>
        <w:tc>
          <w:tcPr>
            <w:tcW w:w="16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5,490</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33,605</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Per share information:</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(5.25)</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(3.93)</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(15.83)</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3,194,471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1,713,371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2,380,100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Convertible preferred stock</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7"/>
          </w:tcPr>
          <w:p>
            <w:pPr>
              <w:jc w:val="right"/>
              <w:ind w:right="24"/>
              <w:spacing w:after="0"/>
              <w:rPr>
                <w:sz w:val="20"/>
                <w:szCs w:val="20"/>
                <w:color w:val="auto"/>
              </w:rPr>
            </w:pPr>
            <w:r>
              <w:rPr>
                <w:rFonts w:ascii="Arial" w:cs="Arial" w:eastAsia="Arial" w:hAnsi="Arial"/>
                <w:sz w:val="14"/>
                <w:szCs w:val="14"/>
                <w:b w:val="1"/>
                <w:bCs w:val="1"/>
                <w:color w:val="auto"/>
              </w:rPr>
              <w:t>Stockholders’ equity (deficit)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Borders>
              <w:right w:val="single" w:sz="8" w:color="auto"/>
            </w:tcBorders>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Series C</w:t>
            </w:r>
          </w:p>
        </w:tc>
        <w:tc>
          <w:tcPr>
            <w:tcW w:w="60" w:type="dxa"/>
            <w:vAlign w:val="bottom"/>
          </w:tcPr>
          <w:p>
            <w:pPr>
              <w:spacing w:after="0"/>
              <w:rPr>
                <w:sz w:val="11"/>
                <w:szCs w:val="11"/>
                <w:color w:val="auto"/>
              </w:rPr>
            </w:pPr>
          </w:p>
        </w:tc>
        <w:tc>
          <w:tcPr>
            <w:tcW w:w="14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8"/>
              </w:rPr>
              <w:t>Voting common stock</w:t>
            </w:r>
          </w:p>
        </w:tc>
        <w:tc>
          <w:tcPr>
            <w:tcW w:w="1500" w:type="dxa"/>
            <w:vAlign w:val="bottom"/>
            <w:gridSpan w:val="5"/>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Non-voting common</w:t>
            </w:r>
          </w:p>
        </w:tc>
        <w:tc>
          <w:tcPr>
            <w:tcW w:w="6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right w:val="single" w:sz="8" w:color="auto"/>
            </w:tcBorders>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86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87"/>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44"/>
              <w:spacing w:after="0"/>
              <w:rPr>
                <w:sz w:val="20"/>
                <w:szCs w:val="20"/>
                <w:color w:val="auto"/>
              </w:rPr>
            </w:pPr>
            <w:r>
              <w:rPr>
                <w:rFonts w:ascii="Arial" w:cs="Arial" w:eastAsia="Arial" w:hAnsi="Arial"/>
                <w:sz w:val="14"/>
                <w:szCs w:val="14"/>
                <w:b w:val="1"/>
                <w:bCs w:val="1"/>
                <w:color w:val="auto"/>
                <w:w w:val="95"/>
              </w:rPr>
              <w:t>paid-in</w:t>
            </w:r>
          </w:p>
        </w:tc>
        <w:tc>
          <w:tcPr>
            <w:tcW w:w="10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20" w:type="dxa"/>
            <w:vAlign w:val="bottom"/>
            <w:vMerge w:val="continue"/>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b w:val="1"/>
                <w:bCs w:val="1"/>
                <w:color w:val="auto"/>
              </w:rPr>
              <w:t>except</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720" w:type="dxa"/>
            <w:vAlign w:val="bottom"/>
            <w:tcBorders>
              <w:right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8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20" w:type="dxa"/>
            <w:vAlign w:val="bottom"/>
            <w:tcBorders>
              <w:top w:val="single" w:sz="8" w:color="CFF0FC"/>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Balance at</w:t>
            </w: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January 1,</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2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2020</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11,736,119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36,595</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7,628,846</w:t>
            </w:r>
          </w:p>
        </w:tc>
        <w:tc>
          <w:tcPr>
            <w:tcW w:w="8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29,848</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3,161,653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1,085</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(50,497)</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3"/>
              </w:rPr>
              <w:t>$ (49,412)</w:t>
            </w: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w w:val="96"/>
              </w:rPr>
              <w:t>Sale of Series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B convertible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preferred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stock, net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issuance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costs of $58</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7,628,846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29,942</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6"/>
              </w:rPr>
              <w:t>compensation</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expense,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including</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restricted</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awards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432,301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(9,511)</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(9,511)</w:t>
            </w:r>
          </w:p>
        </w:tc>
        <w:tc>
          <w:tcPr>
            <w:tcW w:w="0" w:type="dxa"/>
            <w:vAlign w:val="bottom"/>
          </w:tcPr>
          <w:p>
            <w:pPr>
              <w:spacing w:after="0"/>
              <w:rPr>
                <w:sz w:val="1"/>
                <w:szCs w:val="1"/>
                <w:color w:val="auto"/>
              </w:rPr>
            </w:pPr>
          </w:p>
        </w:tc>
      </w:tr>
      <w:tr>
        <w:trPr>
          <w:trHeight w:val="152"/>
        </w:trPr>
        <w:tc>
          <w:tcPr>
            <w:tcW w:w="920" w:type="dxa"/>
            <w:vAlign w:val="bottom"/>
            <w:tcBorders>
              <w:top w:val="single" w:sz="8" w:color="CFF0FC"/>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Balance at</w:t>
            </w: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March 31,</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2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2020</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11,736,119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36,595</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15,257,692</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59,790</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3,593,954</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(60,008)</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(58,561)</w:t>
            </w: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Exercise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stock options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36,745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6"/>
              </w:rPr>
              <w:t>compensation</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expense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(11,408)</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(11,408)</w:t>
            </w:r>
          </w:p>
        </w:tc>
        <w:tc>
          <w:tcPr>
            <w:tcW w:w="0" w:type="dxa"/>
            <w:vAlign w:val="bottom"/>
          </w:tcPr>
          <w:p>
            <w:pPr>
              <w:spacing w:after="0"/>
              <w:rPr>
                <w:sz w:val="1"/>
                <w:szCs w:val="1"/>
                <w:color w:val="auto"/>
              </w:rPr>
            </w:pPr>
          </w:p>
        </w:tc>
      </w:tr>
      <w:tr>
        <w:trPr>
          <w:trHeight w:val="152"/>
        </w:trPr>
        <w:tc>
          <w:tcPr>
            <w:tcW w:w="920" w:type="dxa"/>
            <w:vAlign w:val="bottom"/>
            <w:tcBorders>
              <w:top w:val="single" w:sz="8" w:color="CFF0FC"/>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Balance at</w:t>
            </w: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June 30,</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2020</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11,736,119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36,595</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15,257,692</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59,790</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3,630,699</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(71,416)</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(69,311)</w:t>
            </w: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Exercise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stock options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61,509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6"/>
              </w:rPr>
              <w:t>Sale of Series</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 convertible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preferred</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 net 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issuance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costs of $174</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3,443,612</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49,826</w:t>
            </w:r>
          </w:p>
        </w:tc>
        <w:tc>
          <w:tcPr>
            <w:tcW w:w="14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Conversion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preferred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stock into</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voting and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non-voting</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common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stock upon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initial</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public</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offering</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(11,736,119)</w:t>
            </w:r>
          </w:p>
        </w:tc>
        <w:tc>
          <w:tcPr>
            <w:tcW w:w="10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(36,595)</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w w:val="98"/>
              </w:rPr>
              <w:t>(15,257,692)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(59,790)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(3,443,612)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96"/>
              </w:rPr>
              <w:t>(49,826)</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19,327,052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5"/>
              </w:rPr>
              <w:t>11,110,371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146,208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146,211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Sale 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 in</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initial</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public</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offering,</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net 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offering costs</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$2,538</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9,573,750</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166,629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166,630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w w:val="96"/>
              </w:rPr>
              <w:t>compensation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ind w:left="120"/>
              <w:spacing w:after="0"/>
              <w:rPr>
                <w:sz w:val="20"/>
                <w:szCs w:val="20"/>
                <w:color w:val="auto"/>
              </w:rPr>
            </w:pPr>
            <w:r>
              <w:rPr>
                <w:rFonts w:ascii="Arial" w:cs="Arial" w:eastAsia="Arial" w:hAnsi="Arial"/>
                <w:sz w:val="15"/>
                <w:szCs w:val="15"/>
                <w:color w:val="auto"/>
              </w:rPr>
              <w:t>expense</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1,472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(16,760)</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(16,760)</w:t>
            </w:r>
          </w:p>
        </w:tc>
        <w:tc>
          <w:tcPr>
            <w:tcW w:w="0" w:type="dxa"/>
            <w:vAlign w:val="bottom"/>
          </w:tcPr>
          <w:p>
            <w:pPr>
              <w:spacing w:after="0"/>
              <w:rPr>
                <w:sz w:val="1"/>
                <w:szCs w:val="1"/>
                <w:color w:val="auto"/>
              </w:rPr>
            </w:pPr>
          </w:p>
        </w:tc>
      </w:tr>
      <w:tr>
        <w:trPr>
          <w:trHeight w:val="152"/>
        </w:trPr>
        <w:tc>
          <w:tcPr>
            <w:tcW w:w="920" w:type="dxa"/>
            <w:vAlign w:val="bottom"/>
          </w:tcPr>
          <w:p>
            <w:pPr>
              <w:spacing w:after="0" w:line="152" w:lineRule="exact"/>
              <w:rPr>
                <w:sz w:val="20"/>
                <w:szCs w:val="20"/>
                <w:color w:val="auto"/>
              </w:rPr>
            </w:pPr>
            <w:r>
              <w:rPr>
                <w:rFonts w:ascii="Arial" w:cs="Arial" w:eastAsia="Arial" w:hAnsi="Arial"/>
                <w:sz w:val="15"/>
                <w:szCs w:val="15"/>
                <w:b w:val="1"/>
                <w:bCs w:val="1"/>
                <w:color w:val="auto"/>
              </w:rPr>
              <w:t>Balance at</w:t>
            </w: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b w:val="1"/>
                <w:bCs w:val="1"/>
                <w:color w:val="auto"/>
              </w:rPr>
              <w:t>September</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20"/>
                <w:szCs w:val="20"/>
                <w:color w:val="auto"/>
              </w:rPr>
            </w:pPr>
            <w:r>
              <w:rPr>
                <w:rFonts w:ascii="Arial" w:cs="Arial" w:eastAsia="Arial" w:hAnsi="Arial"/>
                <w:sz w:val="15"/>
                <w:szCs w:val="15"/>
                <w:b w:val="1"/>
                <w:bCs w:val="1"/>
                <w:color w:val="auto"/>
              </w:rPr>
              <w:t>30, 2020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32,593,010</w:t>
            </w:r>
          </w:p>
        </w:tc>
        <w:tc>
          <w:tcPr>
            <w:tcW w:w="1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5"/>
              </w:rPr>
              <w:t>11,110,371</w:t>
            </w:r>
          </w:p>
        </w:tc>
        <w:tc>
          <w:tcPr>
            <w:tcW w:w="1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316,479</w:t>
            </w:r>
          </w:p>
        </w:tc>
        <w:tc>
          <w:tcPr>
            <w:tcW w:w="2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420" w:type="dxa"/>
            <w:vAlign w:val="bottom"/>
            <w:gridSpan w:val="3"/>
          </w:tcPr>
          <w:p>
            <w:pPr>
              <w:jc w:val="right"/>
              <w:spacing w:after="0"/>
              <w:rPr>
                <w:sz w:val="20"/>
                <w:szCs w:val="20"/>
                <w:color w:val="auto"/>
              </w:rPr>
            </w:pPr>
            <w:r>
              <w:rPr>
                <w:rFonts w:ascii="Arial" w:cs="Arial" w:eastAsia="Arial" w:hAnsi="Arial"/>
                <w:sz w:val="15"/>
                <w:szCs w:val="15"/>
                <w:color w:val="auto"/>
              </w:rPr>
              <w:t>(88,176) $ 228,307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7"/>
              </w:rPr>
              <w:t>Stockholders’ deficit</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1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85"/>
              </w:rPr>
              <w:t>Series A</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tcBorders>
              <w:right w:val="single" w:sz="8" w:color="auto"/>
            </w:tcBorders>
            <w:gridSpan w:val="5"/>
            <w:vMerge w:val="restart"/>
          </w:tcPr>
          <w:p>
            <w:pPr>
              <w:ind w:left="640"/>
              <w:spacing w:after="0"/>
              <w:rPr>
                <w:sz w:val="20"/>
                <w:szCs w:val="20"/>
                <w:color w:val="auto"/>
              </w:rPr>
            </w:pPr>
            <w:r>
              <w:rPr>
                <w:rFonts w:ascii="Arial" w:cs="Arial" w:eastAsia="Arial" w:hAnsi="Arial"/>
                <w:sz w:val="14"/>
                <w:szCs w:val="14"/>
                <w:b w:val="1"/>
                <w:bCs w:val="1"/>
                <w:color w:val="auto"/>
              </w:rPr>
              <w:t>Series B</w:t>
            </w:r>
          </w:p>
        </w:tc>
        <w:tc>
          <w:tcPr>
            <w:tcW w:w="198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1"/>
                <w:szCs w:val="11"/>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Borders>
              <w:right w:val="single" w:sz="8" w:color="auto"/>
            </w:tcBorders>
            <w:gridSpan w:val="5"/>
            <w:vMerge w:val="continue"/>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paid-in</w:t>
            </w:r>
          </w:p>
        </w:tc>
        <w:tc>
          <w:tcPr>
            <w:tcW w:w="1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except shares)</w:t>
            </w:r>
          </w:p>
        </w:tc>
        <w:tc>
          <w:tcPr>
            <w:tcW w:w="86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CFF0FC"/>
              <w:right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2019</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11,736,119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36,595</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2,380,270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(22,927)</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(22,693)</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20"/>
              <w:spacing w:after="0"/>
              <w:rPr>
                <w:sz w:val="20"/>
                <w:szCs w:val="20"/>
                <w:color w:val="auto"/>
              </w:rPr>
            </w:pPr>
            <w:r>
              <w:rPr>
                <w:rFonts w:ascii="Arial" w:cs="Arial" w:eastAsia="Arial" w:hAnsi="Arial"/>
                <w:sz w:val="16"/>
                <w:szCs w:val="16"/>
                <w:color w:val="auto"/>
              </w:rPr>
              <w:t>expense</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(5,241)</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rPr>
              <w:t>Balance at March 31, 2019</w:t>
            </w: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0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11,736,119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36,595</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2,380,270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(28,168)</w:t>
            </w:r>
          </w:p>
        </w:tc>
        <w:tc>
          <w:tcPr>
            <w:tcW w:w="1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(27,852)</w:t>
            </w:r>
          </w:p>
        </w:tc>
        <w:tc>
          <w:tcPr>
            <w:tcW w:w="0" w:type="dxa"/>
            <w:vAlign w:val="bottom"/>
          </w:tcPr>
          <w:p>
            <w:pPr>
              <w:spacing w:after="0"/>
              <w:rPr>
                <w:sz w:val="1"/>
                <w:szCs w:val="1"/>
                <w:color w:val="auto"/>
              </w:rPr>
            </w:pPr>
          </w:p>
        </w:tc>
      </w:tr>
      <w:tr>
        <w:trPr>
          <w:trHeight w:val="21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Sale of Series B convertible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20"/>
              <w:spacing w:after="0"/>
              <w:rPr>
                <w:sz w:val="20"/>
                <w:szCs w:val="20"/>
                <w:color w:val="auto"/>
              </w:rPr>
            </w:pPr>
            <w:r>
              <w:rPr>
                <w:rFonts w:ascii="Arial" w:cs="Arial" w:eastAsia="Arial" w:hAnsi="Arial"/>
                <w:sz w:val="16"/>
                <w:szCs w:val="16"/>
                <w:color w:val="auto"/>
              </w:rPr>
              <w:t>preferred stock, net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20"/>
              <w:spacing w:after="0"/>
              <w:rPr>
                <w:sz w:val="20"/>
                <w:szCs w:val="20"/>
                <w:color w:val="auto"/>
              </w:rPr>
            </w:pPr>
            <w:r>
              <w:rPr>
                <w:rFonts w:ascii="Arial" w:cs="Arial" w:eastAsia="Arial" w:hAnsi="Arial"/>
                <w:sz w:val="16"/>
                <w:szCs w:val="16"/>
                <w:color w:val="auto"/>
              </w:rPr>
              <w:t>issuance costs of $152</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7,628,846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29,848</w:t>
            </w:r>
          </w:p>
        </w:tc>
        <w:tc>
          <w:tcPr>
            <w:tcW w:w="240" w:type="dxa"/>
            <w:vAlign w:val="bottom"/>
            <w:tcBorders>
              <w:righ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 including issuance</w:t>
            </w: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restricted stock awards</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345,840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(5,556)</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(5,556)</w:t>
            </w:r>
          </w:p>
        </w:tc>
        <w:tc>
          <w:tcPr>
            <w:tcW w:w="0" w:type="dxa"/>
            <w:vAlign w:val="bottom"/>
          </w:tcPr>
          <w:p>
            <w:pPr>
              <w:spacing w:after="0"/>
              <w:rPr>
                <w:sz w:val="1"/>
                <w:szCs w:val="1"/>
                <w:color w:val="auto"/>
              </w:rPr>
            </w:pPr>
          </w:p>
        </w:tc>
      </w:tr>
      <w:tr>
        <w:trPr>
          <w:trHeight w:val="20"/>
        </w:trPr>
        <w:tc>
          <w:tcPr>
            <w:tcW w:w="23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2019</w:t>
            </w: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11,736,119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36,595</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7,628,846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29,848</w:t>
            </w:r>
          </w:p>
        </w:tc>
        <w:tc>
          <w:tcPr>
            <w:tcW w:w="24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2,729,352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(33,724)</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(33,262)</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20"/>
              <w:spacing w:after="0"/>
              <w:rPr>
                <w:sz w:val="20"/>
                <w:szCs w:val="20"/>
                <w:color w:val="auto"/>
              </w:rPr>
            </w:pPr>
            <w:r>
              <w:rPr>
                <w:rFonts w:ascii="Arial" w:cs="Arial" w:eastAsia="Arial" w:hAnsi="Arial"/>
                <w:sz w:val="16"/>
                <w:szCs w:val="16"/>
                <w:color w:val="auto"/>
              </w:rPr>
              <w:t>expense, including issuance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20"/>
              <w:spacing w:after="0"/>
              <w:rPr>
                <w:sz w:val="20"/>
                <w:szCs w:val="20"/>
                <w:color w:val="auto"/>
              </w:rPr>
            </w:pPr>
            <w:r>
              <w:rPr>
                <w:rFonts w:ascii="Arial" w:cs="Arial" w:eastAsia="Arial" w:hAnsi="Arial"/>
                <w:sz w:val="16"/>
                <w:szCs w:val="16"/>
                <w:color w:val="auto"/>
              </w:rPr>
              <w:t>of restricted stock awards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432,301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(6,734)</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(6,734)</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w w:val="97"/>
              </w:rPr>
              <w:t>Balance at September 30, 2019</w:t>
            </w: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0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11,736,119</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36,595</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7,628,846</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29,848</w:t>
            </w:r>
          </w:p>
        </w:tc>
        <w:tc>
          <w:tcPr>
            <w:tcW w:w="240" w:type="dxa"/>
            <w:vAlign w:val="bottom"/>
            <w:tcBorders>
              <w:right w:val="single" w:sz="8" w:color="auto"/>
            </w:tcBorders>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3,161,653</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759</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(40,458)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(39,699)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(37,679)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(17,531)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(1,924)</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(31,330)</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 upon initial public offering, net of offering costs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167,929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the sale of Series C convertible preferred stock, net of offering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49,826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Series B convertible preferred stock, net of offering costs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of capital lease obligation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247,535</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215,913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234,792</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in accounts payable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Offering costs in accrued expenses and other current liabilities</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Offering costs in accounts payable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121"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Prelude Therapeutics Incorporated (the “Company”) was incorporated in Delaware on February 5, 2016 and is a clinical-stage precision oncology company focused on discovering and developing small molecule therapies optimized to target the key driver mechanisms in cancers with high unmet need. Since beginning operations, the Company has devoted substantially all its efforts to research and development, conducting preclinical and clinical studies, recruiting management and technical staff, administration, and raising capital.</w:t>
      </w:r>
    </w:p>
    <w:p>
      <w:pPr>
        <w:spacing w:after="0" w:line="187" w:lineRule="exact"/>
        <w:rPr>
          <w:sz w:val="20"/>
          <w:szCs w:val="20"/>
          <w:color w:val="auto"/>
        </w:rPr>
      </w:pPr>
    </w:p>
    <w:p>
      <w:pPr>
        <w:ind w:right="200" w:firstLine="478"/>
        <w:spacing w:after="0" w:line="273" w:lineRule="auto"/>
        <w:rPr>
          <w:sz w:val="20"/>
          <w:szCs w:val="20"/>
          <w:color w:val="auto"/>
        </w:rPr>
      </w:pPr>
      <w:r>
        <w:rPr>
          <w:rFonts w:ascii="Arial" w:cs="Arial" w:eastAsia="Arial" w:hAnsi="Arial"/>
          <w:sz w:val="17"/>
          <w:szCs w:val="17"/>
          <w:color w:val="auto"/>
        </w:rPr>
        <w:t>In September 2020, the Company closed its initial public offering (“IPO”) in which the Company issued and sold 9,573,750 shares of its common stock at a public offering price of $19.00 per share for net proceeds of $166.6 million after deducting underwriting discounts, commissions and other offering expenses paid or to be paid. Subsequent to the closing of the IPO, there were no shares of convertible preferred stock outstanding. In connection with the closing of the IPO, the Company amended and restated its Fifth Amended and Restated Certificate of Incorporation to change the authorized capital stock to 500,000,000 shares designated as common stock (of which 12,850,259 shares are non-voting common stock) and 10,000,000 shares designated as preferred stock, all with a par value of $0.0001 per share.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right="40" w:firstLine="478"/>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right="100" w:firstLine="478"/>
        <w:spacing w:after="0" w:line="263" w:lineRule="auto"/>
        <w:rPr>
          <w:sz w:val="20"/>
          <w:szCs w:val="20"/>
          <w:color w:val="auto"/>
        </w:rPr>
      </w:pPr>
      <w:r>
        <w:rPr>
          <w:rFonts w:ascii="Arial" w:cs="Arial" w:eastAsia="Arial" w:hAnsi="Arial"/>
          <w:sz w:val="18"/>
          <w:szCs w:val="18"/>
          <w:color w:val="auto"/>
        </w:rPr>
        <w:t>Since its inception, the Company has incurred operating losses and has an accumulated deficit of $88.2 million at September 30, 2020.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The Company believes that its cash and cash equivalents as of September 30, 2020, which includes the net proceeds of approximately $166.6 million from the IPO of the Company’s common stock completed in September 2020, will be sufficient to fund its operating expenses and capital expenditure requirements into the second half of 2022.</w:t>
      </w:r>
    </w:p>
    <w:p>
      <w:pPr>
        <w:spacing w:after="0" w:line="184" w:lineRule="exact"/>
        <w:rPr>
          <w:sz w:val="20"/>
          <w:szCs w:val="20"/>
          <w:color w:val="auto"/>
        </w:rPr>
      </w:pPr>
    </w:p>
    <w:p>
      <w:pPr>
        <w:ind w:right="100" w:firstLine="478"/>
        <w:spacing w:after="0" w:line="273" w:lineRule="auto"/>
        <w:rPr>
          <w:sz w:val="20"/>
          <w:szCs w:val="20"/>
          <w:color w:val="auto"/>
        </w:rPr>
      </w:pPr>
      <w:r>
        <w:rPr>
          <w:rFonts w:ascii="Arial" w:cs="Arial" w:eastAsia="Arial" w:hAnsi="Arial"/>
          <w:sz w:val="17"/>
          <w:szCs w:val="17"/>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78"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On March 10, 2020, the World Health Organization characterized the novel COVID-19 virus as a global pandemic. There is significant uncertainty as to the likely effects of this disease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jc w:val="both"/>
        <w:ind w:right="80" w:firstLine="478"/>
        <w:spacing w:after="0" w:line="263" w:lineRule="auto"/>
        <w:rPr>
          <w:sz w:val="20"/>
          <w:szCs w:val="20"/>
          <w:color w:val="auto"/>
        </w:rPr>
      </w:pPr>
      <w:r>
        <w:rPr>
          <w:rFonts w:ascii="Arial" w:cs="Arial" w:eastAsia="Arial" w:hAnsi="Arial"/>
          <w:sz w:val="18"/>
          <w:szCs w:val="18"/>
          <w:color w:val="auto"/>
        </w:rPr>
        <w:t>The summary of significant accounting policies included in the Company’s financial statements for the year ended December 31, 2019 can be found in “Note 3. Summary of significant accounting policies” of the Company’s prospectus filed with the Securities and Exchange Commission (the “SEC”) on September 25, 2020 (the “Prospectus”). Those policies have not materially changed, except as set forth below.</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478"/>
        <w:spacing w:after="0" w:line="290" w:lineRule="auto"/>
        <w:rPr>
          <w:sz w:val="20"/>
          <w:szCs w:val="20"/>
          <w:color w:val="auto"/>
        </w:rPr>
      </w:pPr>
      <w:r>
        <w:rPr>
          <w:rFonts w:ascii="Arial" w:cs="Arial" w:eastAsia="Arial" w:hAnsi="Arial"/>
          <w:sz w:val="16"/>
          <w:szCs w:val="16"/>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nine month periods ended September 30, 2020 are not necessarily indicative of the results that may be expected for the year ended December 31, 2020. The accompanying unaudited interim financial statements should be read in conjunction with the annual audited financial statements and related notes as of and for the year ended December 31, 2019 found in the Prospectus filed with the SEC on September 25, 2020. Any reference in these notes to applicable guidance is meant to refer to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60" w:firstLine="478"/>
        <w:spacing w:after="0" w:line="286" w:lineRule="auto"/>
        <w:rPr>
          <w:sz w:val="20"/>
          <w:szCs w:val="20"/>
          <w:color w:val="auto"/>
        </w:rPr>
      </w:pPr>
      <w:r>
        <w:rPr>
          <w:rFonts w:ascii="Arial" w:cs="Arial" w:eastAsia="Arial" w:hAnsi="Arial"/>
          <w:sz w:val="17"/>
          <w:szCs w:val="17"/>
          <w:color w:val="auto"/>
        </w:rPr>
        <w:t>On September 18, 2020, the Company’s board of directors and stockholders approved a 1.1566-to-one reverse stock split of the Company’s issued and outstanding shares of common stock and convertible preferred stock. All share and per share amounts in the unaudited interim financial statements and notes hereto have been retrospectively adjusted for all periods presented to give effect to the reverse stock split.</w:t>
      </w:r>
    </w:p>
    <w:p>
      <w:pPr>
        <w:spacing w:after="0" w:line="165" w:lineRule="exact"/>
        <w:rPr>
          <w:sz w:val="20"/>
          <w:szCs w:val="20"/>
          <w:color w:val="auto"/>
        </w:rPr>
      </w:pPr>
    </w:p>
    <w:p>
      <w:pPr>
        <w:ind w:right="480" w:firstLine="478"/>
        <w:spacing w:after="0" w:line="277" w:lineRule="auto"/>
        <w:rPr>
          <w:sz w:val="20"/>
          <w:szCs w:val="20"/>
          <w:color w:val="auto"/>
        </w:rPr>
      </w:pPr>
      <w:r>
        <w:rPr>
          <w:rFonts w:ascii="Arial" w:cs="Arial" w:eastAsia="Arial" w:hAnsi="Arial"/>
          <w:sz w:val="18"/>
          <w:szCs w:val="18"/>
          <w:color w:val="auto"/>
        </w:rPr>
        <w:t>The completion of the IPO, as described above, impacts the comparability of certain amounts to the corresponding prior year period, including earnings per share.</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478"/>
        <w:spacing w:after="0" w:line="311" w:lineRule="auto"/>
        <w:rPr>
          <w:sz w:val="20"/>
          <w:szCs w:val="20"/>
          <w:color w:val="auto"/>
        </w:rPr>
      </w:pPr>
      <w:r>
        <w:rPr>
          <w:rFonts w:ascii="Arial" w:cs="Arial" w:eastAsia="Arial" w:hAnsi="Arial"/>
          <w:sz w:val="16"/>
          <w:szCs w:val="16"/>
          <w:color w:val="auto"/>
        </w:rPr>
        <w:t>The preparation of the unaudited interim financial statements in conformity with U.S.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49" w:lineRule="exact"/>
        <w:rPr>
          <w:sz w:val="20"/>
          <w:szCs w:val="20"/>
          <w:color w:val="auto"/>
        </w:rPr>
      </w:pPr>
    </w:p>
    <w:p>
      <w:pPr>
        <w:ind w:right="220" w:firstLine="478"/>
        <w:spacing w:after="0" w:line="259" w:lineRule="auto"/>
        <w:rPr>
          <w:sz w:val="20"/>
          <w:szCs w:val="20"/>
          <w:color w:val="auto"/>
        </w:rPr>
      </w:pPr>
      <w:r>
        <w:rPr>
          <w:rFonts w:ascii="Arial" w:cs="Arial" w:eastAsia="Arial" w:hAnsi="Arial"/>
          <w:sz w:val="18"/>
          <w:szCs w:val="18"/>
          <w:color w:val="auto"/>
        </w:rPr>
        <w:t>Estimates and assumptions are periodically reviewed and the effects of the revisions are reflected in the accompanying unaudited interim financial statements in the period they are determined to be necessary. Prior to the IPO, significant areas that required management’s estimates included the fair value of the Company’s common stock, stock-based compensation assumptions and accrued clinical trial expenses. Subsequent to the IPO, the most significant estimate relates to accrued clinical trial expenses.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78"/>
        <w:spacing w:after="0" w:line="263" w:lineRule="auto"/>
        <w:rPr>
          <w:sz w:val="20"/>
          <w:szCs w:val="20"/>
          <w:color w:val="auto"/>
        </w:rPr>
      </w:pPr>
      <w:r>
        <w:rPr>
          <w:rFonts w:ascii="Arial" w:cs="Arial" w:eastAsia="Arial" w:hAnsi="Arial"/>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September 30, 2020 and December 31, 2019.</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478"/>
        <w:spacing w:after="0" w:line="293" w:lineRule="auto"/>
        <w:rPr>
          <w:sz w:val="20"/>
          <w:szCs w:val="20"/>
          <w:color w:val="auto"/>
        </w:rPr>
      </w:pPr>
      <w:r>
        <w:rPr>
          <w:rFonts w:ascii="Arial" w:cs="Arial" w:eastAsia="Arial" w:hAnsi="Arial"/>
          <w:sz w:val="16"/>
          <w:szCs w:val="16"/>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3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87" w:lineRule="exact"/>
        <w:rPr>
          <w:sz w:val="20"/>
          <w:szCs w:val="20"/>
          <w:color w:val="auto"/>
        </w:rPr>
      </w:pPr>
    </w:p>
    <w:p>
      <w:pPr>
        <w:ind w:right="680" w:firstLine="47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A 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11,736,119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23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7,628,846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awards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1,312,024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1,394,056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6,649,882</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2,189,333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7,961,906</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22,948,354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right="180" w:firstLine="478"/>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40" w:firstLine="478"/>
        <w:spacing w:after="0" w:line="275"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beginning January 1, 2022, with early adoption permitted. The Company is currently evaluating the expected impact that the standard will have on its financial statements and related disclosures.</w:t>
      </w:r>
    </w:p>
    <w:p>
      <w:pPr>
        <w:spacing w:after="0" w:line="176" w:lineRule="exact"/>
        <w:rPr>
          <w:sz w:val="20"/>
          <w:szCs w:val="20"/>
          <w:color w:val="auto"/>
        </w:rPr>
      </w:pPr>
    </w:p>
    <w:p>
      <w:pPr>
        <w:jc w:val="both"/>
        <w:ind w:right="120" w:firstLine="478"/>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Framework—Changes to the Disclosure Requirements for Fair Value Measurements,</w:t>
      </w:r>
      <w:r>
        <w:rPr>
          <w:rFonts w:ascii="Arial" w:cs="Arial" w:eastAsia="Arial" w:hAnsi="Arial"/>
          <w:sz w:val="16"/>
          <w:szCs w:val="16"/>
          <w:color w:val="auto"/>
        </w:rPr>
        <w:t xml:space="preserve"> which changes the fair value measurement disclosure requirements of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The goal of the ASU is to improve the effectiveness of ASC 820’s disclosure requirements. The standard is effective for fiscal years beginning after December 15, 2019 and interim periods therein. The adoption of this standard on January 1, 2020 did not have a material impact on the Company’s unaudited interim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60" w:firstLine="478"/>
        <w:spacing w:after="0" w:line="273" w:lineRule="auto"/>
        <w:rPr>
          <w:sz w:val="20"/>
          <w:szCs w:val="20"/>
          <w:color w:val="auto"/>
        </w:rPr>
      </w:pPr>
      <w:r>
        <w:rPr>
          <w:rFonts w:ascii="Arial" w:cs="Arial" w:eastAsia="Arial" w:hAnsi="Arial"/>
          <w:sz w:val="17"/>
          <w:szCs w:val="17"/>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0" w:lineRule="exact"/>
        <w:rPr>
          <w:sz w:val="20"/>
          <w:szCs w:val="20"/>
          <w:color w:val="auto"/>
        </w:rPr>
      </w:pPr>
    </w:p>
    <w:p>
      <w:pPr>
        <w:ind w:left="5580" w:right="140" w:hanging="5100"/>
        <w:spacing w:after="0" w:line="527" w:lineRule="auto"/>
        <w:tabs>
          <w:tab w:leader="none" w:pos="95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that are accessible at the measurement date for identical, unrestricted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337" w:lineRule="exact"/>
        <w:rPr>
          <w:sz w:val="20"/>
          <w:szCs w:val="20"/>
          <w:color w:val="auto"/>
        </w:rPr>
      </w:pPr>
    </w:p>
    <w:p>
      <w:pPr>
        <w:ind w:left="960" w:right="20" w:hanging="480"/>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 or liabilities.</w:t>
      </w:r>
    </w:p>
    <w:p>
      <w:pPr>
        <w:spacing w:after="0" w:line="62" w:lineRule="exact"/>
        <w:rPr>
          <w:rFonts w:ascii="Arial" w:cs="Arial" w:eastAsia="Arial" w:hAnsi="Arial"/>
          <w:sz w:val="18"/>
          <w:szCs w:val="18"/>
          <w:color w:val="auto"/>
        </w:rPr>
      </w:pPr>
    </w:p>
    <w:p>
      <w:pPr>
        <w:ind w:left="960" w:right="900" w:hanging="480"/>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fair value hierarchy table presents information about the Company’s assets and liabilities measured at fair value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2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93"/>
              </w:rPr>
              <w:t>Fair value measurement at reporting date using</w:t>
            </w:r>
          </w:p>
        </w:tc>
        <w:tc>
          <w:tcPr>
            <w:tcW w:w="0" w:type="dxa"/>
            <w:vAlign w:val="bottom"/>
          </w:tcPr>
          <w:p>
            <w:pPr>
              <w:spacing w:after="0"/>
              <w:rPr>
                <w:sz w:val="1"/>
                <w:szCs w:val="1"/>
                <w:color w:val="auto"/>
              </w:rPr>
            </w:pPr>
          </w:p>
        </w:tc>
      </w:tr>
      <w:tr>
        <w:trPr>
          <w:trHeight w:val="133"/>
        </w:trPr>
        <w:tc>
          <w:tcPr>
            <w:tcW w:w="6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90"/>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center"/>
              <w:ind w:left="208"/>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40" w:type="dxa"/>
            <w:vAlign w:val="bottom"/>
          </w:tcPr>
          <w:p>
            <w:pPr>
              <w:spacing w:after="0"/>
              <w:rPr>
                <w:sz w:val="12"/>
                <w:szCs w:val="12"/>
                <w:color w:val="auto"/>
              </w:rPr>
            </w:pPr>
          </w:p>
        </w:tc>
        <w:tc>
          <w:tcPr>
            <w:tcW w:w="10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9"/>
              </w:rPr>
              <w:t>observable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06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2020:</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Assets: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(Money Market Funds)</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233,364</w:t>
            </w:r>
          </w:p>
        </w:tc>
        <w:tc>
          <w:tcPr>
            <w:tcW w:w="130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Cash equivalents (Money Market Funds)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18,779</w:t>
            </w:r>
          </w:p>
        </w:tc>
        <w:tc>
          <w:tcPr>
            <w:tcW w:w="130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6"/>
        </w:trPr>
        <w:tc>
          <w:tcPr>
            <w:tcW w:w="620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tcPr>
          <w:p>
            <w:pPr>
              <w:ind w:left="480"/>
              <w:spacing w:after="0"/>
              <w:rPr>
                <w:sz w:val="20"/>
                <w:szCs w:val="20"/>
                <w:color w:val="auto"/>
              </w:rPr>
            </w:pPr>
            <w:r>
              <w:rPr>
                <w:rFonts w:ascii="Arial" w:cs="Arial" w:eastAsia="Arial" w:hAnsi="Arial"/>
                <w:sz w:val="18"/>
                <w:szCs w:val="18"/>
                <w:color w:val="auto"/>
                <w:w w:val="99"/>
              </w:rPr>
              <w:t>Accrued expenses and other current liabilities consisted of the following:</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CFF0FC"/>
            </w:tcBorders>
            <w:vMerge w:val="continue"/>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3,763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Offering costs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 and other</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and Common Stock</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Preferred Stock Financings</w:t>
      </w:r>
    </w:p>
    <w:p>
      <w:pPr>
        <w:spacing w:after="0" w:line="117" w:lineRule="exact"/>
        <w:rPr>
          <w:sz w:val="20"/>
          <w:szCs w:val="20"/>
          <w:color w:val="auto"/>
        </w:rPr>
      </w:pPr>
    </w:p>
    <w:p>
      <w:pPr>
        <w:ind w:right="60" w:firstLine="478"/>
        <w:spacing w:after="0" w:line="277" w:lineRule="auto"/>
        <w:rPr>
          <w:sz w:val="20"/>
          <w:szCs w:val="20"/>
          <w:color w:val="auto"/>
        </w:rPr>
      </w:pPr>
      <w:r>
        <w:rPr>
          <w:rFonts w:ascii="Arial" w:cs="Arial" w:eastAsia="Arial" w:hAnsi="Arial"/>
          <w:sz w:val="18"/>
          <w:szCs w:val="18"/>
          <w:color w:val="auto"/>
        </w:rPr>
        <w:t>In August 2020, the Company’s existing Convertible Preferred Stock investors as well as a new investor purchased 3,443,612 shares of Series C at a price of $14.5197 per share for net proceeds of approximately $49.8 million.</w:t>
      </w:r>
    </w:p>
    <w:p>
      <w:pPr>
        <w:spacing w:after="0" w:line="170" w:lineRule="exact"/>
        <w:rPr>
          <w:sz w:val="20"/>
          <w:szCs w:val="20"/>
          <w:color w:val="auto"/>
        </w:rPr>
      </w:pPr>
    </w:p>
    <w:p>
      <w:pPr>
        <w:ind w:right="100" w:firstLine="478"/>
        <w:spacing w:after="0" w:line="277" w:lineRule="auto"/>
        <w:rPr>
          <w:sz w:val="20"/>
          <w:szCs w:val="20"/>
          <w:color w:val="auto"/>
        </w:rPr>
      </w:pPr>
      <w:r>
        <w:rPr>
          <w:rFonts w:ascii="Arial" w:cs="Arial" w:eastAsia="Arial" w:hAnsi="Arial"/>
          <w:sz w:val="18"/>
          <w:szCs w:val="18"/>
          <w:color w:val="auto"/>
        </w:rPr>
        <w:t>In March 2020, the Company’s Series B investors exercised their Future Tranche Right and purchased 7,628,846 shares of Series B for net proceeds of approximately $29.9 million.</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478"/>
        <w:spacing w:after="0" w:line="255" w:lineRule="auto"/>
        <w:rPr>
          <w:sz w:val="20"/>
          <w:szCs w:val="20"/>
          <w:color w:val="auto"/>
        </w:rPr>
      </w:pPr>
      <w:r>
        <w:rPr>
          <w:rFonts w:ascii="Arial" w:cs="Arial" w:eastAsia="Arial" w:hAnsi="Arial"/>
          <w:sz w:val="18"/>
          <w:szCs w:val="18"/>
          <w:color w:val="auto"/>
        </w:rPr>
        <w:t>In September 2020, the Company completed its IPO in which the Company sold 9,573,750 shares of its common stock at a public offering price of $19.00 per share. The Company received net proceeds of $166.6 million after deducting underwriting discounts, commissions, and other offering expenses paid by the Company. In addition, immediately prior to the closing of the IPO on September 29, 2020, (i) all of the Company’s outstanding shares of convertible preferred stock converted into an aggregate of 30,437,423 shares of common stock (of which, 11,110,371 shares are non-voting common stock) and (ii) the Company filed an amended and restated certificate of incorporation to, among other things, increase the number of authorized shares of common stock to 500,000,000.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478"/>
        <w:spacing w:after="0" w:line="269" w:lineRule="auto"/>
        <w:rPr>
          <w:sz w:val="20"/>
          <w:szCs w:val="20"/>
          <w:color w:val="auto"/>
        </w:rPr>
      </w:pPr>
      <w:r>
        <w:rPr>
          <w:rFonts w:ascii="Arial" w:cs="Arial" w:eastAsia="Arial" w:hAnsi="Arial"/>
          <w:sz w:val="17"/>
          <w:szCs w:val="17"/>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20" w:firstLine="478"/>
        <w:spacing w:after="0" w:line="287" w:lineRule="auto"/>
        <w:rPr>
          <w:sz w:val="20"/>
          <w:szCs w:val="20"/>
          <w:color w:val="auto"/>
        </w:rPr>
      </w:pPr>
      <w:r>
        <w:rPr>
          <w:rFonts w:ascii="Arial" w:cs="Arial" w:eastAsia="Arial" w:hAnsi="Arial"/>
          <w:sz w:val="16"/>
          <w:szCs w:val="16"/>
          <w:color w:val="auto"/>
        </w:rPr>
        <w:t>The Company has two equity incentive plans: the 2016 Equity Incentive Plan, as amended, and the 2020 Equity Incentive Plan. New awards can only be granted under the 2020 Equity Incentive Plan (the “Plan”). The total number of shares initially authorized under the Plan was 4,680,000. Of this amount, 4,677,407 shares were available for future grants as of September 30, 2020.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 In September 2020, the Company also adopted the 2020 Employee Stock Purchase Plan (the “ESPP”), which includes 520,000 shares of common stock reserved for future issuance. No shares have been issued from the ESPP as of September 30, 2020.</w:t>
      </w:r>
    </w:p>
    <w:p>
      <w:pPr>
        <w:spacing w:after="0" w:line="172" w:lineRule="exact"/>
        <w:rPr>
          <w:sz w:val="20"/>
          <w:szCs w:val="20"/>
          <w:color w:val="auto"/>
        </w:rPr>
      </w:pPr>
    </w:p>
    <w:p>
      <w:pPr>
        <w:ind w:right="120" w:firstLine="478"/>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40" w:type="dxa"/>
            <w:vAlign w:val="bottom"/>
            <w:tcBorders>
              <w:bottom w:val="single" w:sz="8" w:color="CFF0FC"/>
            </w:tcBorders>
            <w:vMerge w:val="continue"/>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stock option activity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jc w:val="center"/>
              <w:ind w:left="284"/>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9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980" w:type="dxa"/>
            <w:vAlign w:val="bottom"/>
          </w:tcPr>
          <w:p>
            <w:pPr>
              <w:jc w:val="center"/>
              <w:ind w:left="284"/>
              <w:spacing w:after="0"/>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(years)</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2020</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2,269,742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0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1.66</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4,594,130</w:t>
            </w:r>
          </w:p>
        </w:tc>
        <w:tc>
          <w:tcPr>
            <w:tcW w:w="160" w:type="dxa"/>
            <w:vAlign w:val="bottom"/>
          </w:tcPr>
          <w:p>
            <w:pPr>
              <w:spacing w:after="0"/>
              <w:rPr>
                <w:sz w:val="19"/>
                <w:szCs w:val="19"/>
                <w:color w:val="auto"/>
              </w:rPr>
            </w:pPr>
          </w:p>
        </w:tc>
        <w:tc>
          <w:tcPr>
            <w:tcW w:w="1060" w:type="dxa"/>
            <w:vAlign w:val="bottom"/>
            <w:gridSpan w:val="2"/>
          </w:tcPr>
          <w:p>
            <w:pPr>
              <w:jc w:val="right"/>
              <w:ind w:right="80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9.38</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(98,254)</w:t>
            </w:r>
          </w:p>
        </w:tc>
        <w:tc>
          <w:tcPr>
            <w:tcW w:w="1060" w:type="dxa"/>
            <w:vAlign w:val="bottom"/>
            <w:gridSpan w:val="2"/>
            <w:shd w:val="clear" w:color="auto" w:fill="CFF0FC"/>
          </w:tcPr>
          <w:p>
            <w:pPr>
              <w:jc w:val="right"/>
              <w:ind w:right="804"/>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0.98</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(115,736)</w:t>
            </w:r>
          </w:p>
        </w:tc>
        <w:tc>
          <w:tcPr>
            <w:tcW w:w="1060" w:type="dxa"/>
            <w:vAlign w:val="bottom"/>
            <w:gridSpan w:val="2"/>
          </w:tcPr>
          <w:p>
            <w:pPr>
              <w:jc w:val="right"/>
              <w:ind w:right="80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1.37</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6,649,882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80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7.00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Exercisable at September 30, 2020</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restart"/>
          </w:tcPr>
          <w:p>
            <w:pPr>
              <w:jc w:val="right"/>
              <w:ind w:right="804"/>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91"/>
              </w:rPr>
              <w:t>1.64</w:t>
            </w:r>
          </w:p>
        </w:tc>
        <w:tc>
          <w:tcPr>
            <w:tcW w:w="24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783,236</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80" w:firstLine="478"/>
        <w:spacing w:after="0" w:line="277" w:lineRule="auto"/>
        <w:rPr>
          <w:sz w:val="20"/>
          <w:szCs w:val="20"/>
          <w:color w:val="auto"/>
        </w:rPr>
      </w:pPr>
      <w:r>
        <w:rPr>
          <w:rFonts w:ascii="Arial" w:cs="Arial" w:eastAsia="Arial" w:hAnsi="Arial"/>
          <w:sz w:val="18"/>
          <w:szCs w:val="18"/>
          <w:color w:val="auto"/>
        </w:rPr>
        <w:t>At September 30, 2020, the aggregate intrinsic value of outstanding options and exercisable options was $153.7 million and $22.3 million, respectively.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at September 30, 2020 under the Plan: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4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years)</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right"/>
              <w:ind w:right="78"/>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$0.31 - $1.02</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253,931</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162,037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$1.43 - $1.89</w:t>
            </w:r>
          </w:p>
        </w:tc>
        <w:tc>
          <w:tcPr>
            <w:tcW w:w="1000" w:type="dxa"/>
            <w:vAlign w:val="bottom"/>
          </w:tcPr>
          <w:p>
            <w:pPr>
              <w:jc w:val="right"/>
              <w:spacing w:after="0"/>
              <w:rPr>
                <w:sz w:val="20"/>
                <w:szCs w:val="20"/>
                <w:color w:val="auto"/>
              </w:rPr>
            </w:pPr>
            <w:r>
              <w:rPr>
                <w:rFonts w:ascii="Arial" w:cs="Arial" w:eastAsia="Arial" w:hAnsi="Arial"/>
                <w:sz w:val="18"/>
                <w:szCs w:val="18"/>
                <w:color w:val="auto"/>
              </w:rPr>
              <w:t>3,259,095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619,998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$12.85 - $19.00</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3,136,856</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6,649,882</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783,236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478"/>
        <w:spacing w:after="0" w:line="293" w:lineRule="auto"/>
        <w:rPr>
          <w:sz w:val="20"/>
          <w:szCs w:val="20"/>
          <w:color w:val="auto"/>
        </w:rPr>
      </w:pPr>
      <w:r>
        <w:rPr>
          <w:rFonts w:ascii="Arial" w:cs="Arial" w:eastAsia="Arial" w:hAnsi="Arial"/>
          <w:sz w:val="16"/>
          <w:szCs w:val="16"/>
          <w:color w:val="auto"/>
        </w:rPr>
        <w:t>The weighted-average grant date fair value of options granted was $8.44 and $1.40 per share for the nine months ended September 30, 2020 and 2019, respectively. The aggregate intrinsic value of options exercised was $2.9 million for the nine months ended September 30, 2020. The Company recorded stock-based compensation expense of $1.2 million and $0.2 million for the three months ended September 30, 2020 and 2019, respectively, related to stock options. The Company recorded stock-based compensation expense of $1.9 million and $0.3 million for the nine months ended September 30, 2020 and 2019, respectively, related to stock options. As of September 30, 2020, the total unrecognized compensation expense related to unvested stock option awards was $39.1 million, which the Company expects to recognize over a weighted-average period of 3.74 years.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57"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Nine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115.09%</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91.60%</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30"/>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3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80" w:firstLine="478"/>
        <w:spacing w:after="0" w:line="286" w:lineRule="auto"/>
        <w:rPr>
          <w:sz w:val="20"/>
          <w:szCs w:val="20"/>
          <w:color w:val="auto"/>
        </w:rPr>
      </w:pPr>
      <w:r>
        <w:rPr>
          <w:rFonts w:ascii="Arial" w:cs="Arial" w:eastAsia="Arial" w:hAnsi="Arial"/>
          <w:sz w:val="17"/>
          <w:szCs w:val="17"/>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amortized straight-line over the vesting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January 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1,335,349</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432,301</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(455,626)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balance at September 30, 2020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1,312,024</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478"/>
        <w:spacing w:after="0" w:line="279" w:lineRule="auto"/>
        <w:rPr>
          <w:sz w:val="20"/>
          <w:szCs w:val="20"/>
          <w:color w:val="auto"/>
        </w:rPr>
      </w:pPr>
      <w:r>
        <w:rPr>
          <w:rFonts w:ascii="Arial" w:cs="Arial" w:eastAsia="Arial" w:hAnsi="Arial"/>
          <w:sz w:val="17"/>
          <w:szCs w:val="17"/>
          <w:color w:val="auto"/>
        </w:rPr>
        <w:t>The Company recorded stock-based compensation expense of $0.3 million and $0.1 million for the three months ended September 30, 2020 and 2019, respectively, related to RSAs. The Company recorded stock-based compensation expense of $0.6 million and $0.3 million for the nine months ended September 30, 2020 and 2019, respectively, related to RSAs. As of September 30, 2020, the total unrecognized expense related to all RSAs was $2.4 million, which the Company expects to recognize over a weighted-average period of 2.94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337"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On November 1, 2020, the Company entered into a Second Amended and Restated Entrepreneur Client License Agreement (the “Amendment”) with Delaware Innovation Space, Inc. (“DISI”) to amend the Amended and Restated Entrepreneur Client License Agreement dated June 1, 2020 (the “Original Agreement”) relating to the Company’s office and laboratory space in Wilmington, Delaware. The Amendment provides for the expansion of the premises by approximately 8,800 rentable square feet (the “Expansion Space”). Upon inclusion of the Expansion Space, the Company will license approximately 19,800 rentable square feet of office space (the “Premises”) from DISI (the “License”). Pursuant to the Amendment, the initial term of the License is twenty-six months commencing on November 1, 2020 and terminating on December 31, 2022 (the “Initial Term”).</w:t>
      </w:r>
    </w:p>
    <w:p>
      <w:pPr>
        <w:spacing w:after="0" w:line="164" w:lineRule="exact"/>
        <w:rPr>
          <w:sz w:val="20"/>
          <w:szCs w:val="20"/>
          <w:color w:val="auto"/>
        </w:rPr>
      </w:pPr>
    </w:p>
    <w:p>
      <w:pPr>
        <w:jc w:val="both"/>
        <w:ind w:right="440" w:firstLine="749"/>
        <w:spacing w:after="0" w:line="263" w:lineRule="auto"/>
        <w:rPr>
          <w:sz w:val="20"/>
          <w:szCs w:val="20"/>
          <w:color w:val="auto"/>
        </w:rPr>
      </w:pPr>
      <w:r>
        <w:rPr>
          <w:rFonts w:ascii="Arial" w:cs="Arial" w:eastAsia="Arial" w:hAnsi="Arial"/>
          <w:sz w:val="18"/>
          <w:szCs w:val="18"/>
          <w:color w:val="auto"/>
        </w:rPr>
        <w:t>The total base license fee for the Premises through the Initial Term is expected to be $3.0 million (the “License Fee”). The Company has an option to renew the License for twelve months commencing on January 1, 2023 at a monthly renewal license fee increased by 5.0% for a total of $1.4 million payable during the renewal term.</w:t>
      </w:r>
    </w:p>
    <w:p>
      <w:pPr>
        <w:spacing w:after="0" w:line="184"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Pursuant to the Amendment, the Company was granted a right of first offer (the “ROFO”) in connection with certain licensable additional space on the Premises that becomes vacant prior to October 31, 2021 (“Available ROFO Space”). If the Company exercises its ROFO, the Company will pay to DISI an increased monthly license fee not to exceed $0.2 million per month at any time during the Initial Term. As consideration for the ROFO, the Company paid DISI a one-time payment of $0.2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478"/>
        <w:spacing w:after="0" w:line="28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titled “Selected Financial Data” in this Quarterly Report on Form 10-Q and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II, Item 1A below. These forward-looking statements may include, but are not limited to, statements regarding our future results of operations and financial position, the impact of the COVID-19 pandemic,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74" w:lineRule="exact"/>
        <w:rPr>
          <w:sz w:val="20"/>
          <w:szCs w:val="20"/>
          <w:color w:val="auto"/>
        </w:rPr>
      </w:pPr>
    </w:p>
    <w:p>
      <w:pPr>
        <w:ind w:right="360" w:firstLine="478"/>
        <w:spacing w:after="0" w:line="259" w:lineRule="auto"/>
        <w:rPr>
          <w:sz w:val="20"/>
          <w:szCs w:val="20"/>
          <w:color w:val="auto"/>
        </w:rPr>
      </w:pPr>
      <w:r>
        <w:rPr>
          <w:rFonts w:ascii="Arial" w:cs="Arial" w:eastAsia="Arial" w:hAnsi="Arial"/>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78"/>
        <w:spacing w:after="0" w:line="271" w:lineRule="auto"/>
        <w:rPr>
          <w:sz w:val="20"/>
          <w:szCs w:val="20"/>
          <w:color w:val="auto"/>
        </w:rPr>
      </w:pPr>
      <w:r>
        <w:rPr>
          <w:rFonts w:ascii="Arial" w:cs="Arial" w:eastAsia="Arial" w:hAnsi="Arial"/>
          <w:sz w:val="17"/>
          <w:szCs w:val="17"/>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three investigational new drug applications, or INDs, and successfully advanced these three programs into clinical development. In addition, we have three unique programs in various stages of preclinical development that we plan to advance into clinical development beginning in 2021.</w:t>
      </w:r>
    </w:p>
    <w:p>
      <w:pPr>
        <w:spacing w:after="0" w:line="178" w:lineRule="exact"/>
        <w:rPr>
          <w:sz w:val="20"/>
          <w:szCs w:val="20"/>
          <w:color w:val="auto"/>
        </w:rPr>
      </w:pPr>
    </w:p>
    <w:p>
      <w:pPr>
        <w:ind w:right="40" w:firstLine="478"/>
        <w:spacing w:after="0" w:line="255" w:lineRule="auto"/>
        <w:rPr>
          <w:sz w:val="20"/>
          <w:szCs w:val="20"/>
          <w:color w:val="auto"/>
        </w:rPr>
      </w:pPr>
      <w:r>
        <w:rPr>
          <w:rFonts w:ascii="Arial" w:cs="Arial" w:eastAsia="Arial" w:hAnsi="Arial"/>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92" w:lineRule="exact"/>
        <w:rPr>
          <w:sz w:val="20"/>
          <w:szCs w:val="20"/>
          <w:color w:val="auto"/>
        </w:rPr>
      </w:pPr>
    </w:p>
    <w:p>
      <w:pPr>
        <w:ind w:firstLine="478"/>
        <w:spacing w:after="0" w:line="288" w:lineRule="auto"/>
        <w:rPr>
          <w:sz w:val="20"/>
          <w:szCs w:val="20"/>
          <w:color w:val="auto"/>
        </w:rPr>
      </w:pPr>
      <w:r>
        <w:rPr>
          <w:rFonts w:ascii="Arial" w:cs="Arial" w:eastAsia="Arial" w:hAnsi="Arial"/>
          <w:sz w:val="16"/>
          <w:szCs w:val="16"/>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 confirmed complete response, or CR, in a patient with HRD+ high grade serous ovarian cancer. A complete response is defined as the disappearance of all target lesions. While we need to enroll and demonstrate objective responses in additional patients to support further development, and potential approval by FDA or other regulatory authorities is not guaranteed, we are encouraged by the clinical activity to date. We expect to begin patient enrollment into the select solid tumor expansion cohorts of our ongoing Phase 1 trial during the fourth quarter of 2020 and into the select myeloid malignancies cohorts early in 2021. We anticipate obtaining initial clinical data from these expansion cohorts in the first half of 2021 and presenting these data at medical meetings in 2021.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firstLine="478"/>
        <w:spacing w:after="0" w:line="270" w:lineRule="auto"/>
        <w:rPr>
          <w:sz w:val="20"/>
          <w:szCs w:val="20"/>
          <w:color w:val="auto"/>
        </w:rPr>
      </w:pPr>
      <w:r>
        <w:rPr>
          <w:rFonts w:ascii="Arial" w:cs="Arial" w:eastAsia="Arial" w:hAnsi="Arial"/>
          <w:sz w:val="17"/>
          <w:szCs w:val="17"/>
          <w:color w:val="auto"/>
        </w:rPr>
        <w:t>We are also advancing PRT811, a second PRMT5 inhibitor that we have optimized for high brain exposure, in a Phase 1 clinical trial in solid tumors, including GBM. To date, the trial has demonstrated early signs of clinical activity and tolerability. The previously disclosed refractory GBM patient whose tumor had demonstrated a 66% reduction on monotherapy PRT811 has subsequently undergone a follow-up MRI at week 16 confirming a partial response (PR) per RANO (response assessment in neuro-oncology) criteria. We expect to begin enrolling patients in the dose expansion portion of the Phase 1 clinical trial in the first half of 2021 and anticipate initial clinical data from these expansion cohorts by the end of 2021. We have also received FDA clearance of our IND for PRT1419, which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recently initiated a Phase 1 clinical trial in relapsed/refractory patients with myelodysplastic syndrome, or MDS, acute myeloid leukemia, or AML, non-Hodgkin’s lymphoma, or NHL, and multiple myeloma, or MM.</w:t>
      </w:r>
    </w:p>
    <w:p>
      <w:pPr>
        <w:spacing w:after="0" w:line="181" w:lineRule="exact"/>
        <w:rPr>
          <w:sz w:val="20"/>
          <w:szCs w:val="20"/>
          <w:color w:val="auto"/>
        </w:rPr>
      </w:pPr>
    </w:p>
    <w:p>
      <w:pPr>
        <w:ind w:right="60" w:firstLine="478"/>
        <w:spacing w:after="0" w:line="286" w:lineRule="auto"/>
        <w:rPr>
          <w:sz w:val="20"/>
          <w:szCs w:val="20"/>
          <w:color w:val="auto"/>
        </w:rPr>
      </w:pPr>
      <w:r>
        <w:rPr>
          <w:rFonts w:ascii="Arial" w:cs="Arial" w:eastAsia="Arial" w:hAnsi="Arial"/>
          <w:sz w:val="16"/>
          <w:szCs w:val="16"/>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through our IPO. Our net loss was $14.7 million and $27.6 million for the years ended December 31, 2018 and 2019, respectively, and $16.8 and $37.7 million for the three and nine months ended September 30, 2020. As of September 30, 2020, we had an accumulated deficit of $88.2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71" w:lineRule="exact"/>
        <w:rPr>
          <w:sz w:val="20"/>
          <w:szCs w:val="20"/>
          <w:color w:val="auto"/>
        </w:rPr>
      </w:pPr>
    </w:p>
    <w:p>
      <w:pPr>
        <w:ind w:right="20" w:firstLine="478"/>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ind w:right="320" w:firstLine="478"/>
        <w:spacing w:after="0" w:line="277" w:lineRule="auto"/>
        <w:rPr>
          <w:sz w:val="20"/>
          <w:szCs w:val="20"/>
          <w:color w:val="auto"/>
        </w:rPr>
      </w:pPr>
      <w:r>
        <w:rPr>
          <w:rFonts w:ascii="Arial" w:cs="Arial" w:eastAsia="Arial" w:hAnsi="Arial"/>
          <w:sz w:val="18"/>
          <w:szCs w:val="18"/>
          <w:color w:val="auto"/>
        </w:rPr>
        <w:t>As of September 30, 2020, we had $234.8 million in cash and cash equivalents. We expect our existing cash and cash equivalents to enable us to fund our operating expenses and capital expenditure requirements into the second half of 2022.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31"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We are continuing to proactively monitor and assess the current coronavirus disease 2019, or COVID-19, global pandemic. Since early March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478"/>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as incurred, including:</w:t>
      </w:r>
    </w:p>
    <w:p>
      <w:pPr>
        <w:spacing w:after="0" w:line="103" w:lineRule="exact"/>
        <w:rPr>
          <w:sz w:val="20"/>
          <w:szCs w:val="20"/>
          <w:color w:val="auto"/>
        </w:rPr>
      </w:pPr>
    </w:p>
    <w:p>
      <w:pPr>
        <w:ind w:left="960" w:right="20" w:hanging="480"/>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62" w:lineRule="exact"/>
        <w:rPr>
          <w:rFonts w:ascii="Arial" w:cs="Arial" w:eastAsia="Arial" w:hAnsi="Arial"/>
          <w:sz w:val="18"/>
          <w:szCs w:val="18"/>
          <w:color w:val="auto"/>
        </w:rPr>
      </w:pPr>
    </w:p>
    <w:p>
      <w:pPr>
        <w:ind w:left="960" w:right="880" w:hanging="480"/>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62" w:lineRule="exact"/>
        <w:rPr>
          <w:rFonts w:ascii="Arial" w:cs="Arial" w:eastAsia="Arial" w:hAnsi="Arial"/>
          <w:sz w:val="18"/>
          <w:szCs w:val="18"/>
          <w:color w:val="auto"/>
        </w:rPr>
      </w:pPr>
    </w:p>
    <w:p>
      <w:pPr>
        <w:ind w:left="960" w:right="400" w:hanging="480"/>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5" w:lineRule="exact"/>
        <w:rPr>
          <w:rFonts w:ascii="Arial" w:cs="Arial" w:eastAsia="Arial" w:hAnsi="Arial"/>
          <w:sz w:val="16"/>
          <w:szCs w:val="16"/>
          <w:color w:val="auto"/>
        </w:rPr>
      </w:pPr>
    </w:p>
    <w:p>
      <w:pPr>
        <w:ind w:left="960" w:right="40" w:hanging="480"/>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right="100" w:firstLine="478"/>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57" w:lineRule="exact"/>
        <w:rPr>
          <w:sz w:val="20"/>
          <w:szCs w:val="20"/>
          <w:color w:val="auto"/>
        </w:rPr>
      </w:pPr>
    </w:p>
    <w:p>
      <w:pPr>
        <w:ind w:right="160" w:firstLine="478"/>
        <w:spacing w:after="0" w:line="300" w:lineRule="auto"/>
        <w:rPr>
          <w:sz w:val="20"/>
          <w:szCs w:val="20"/>
          <w:color w:val="auto"/>
        </w:rPr>
      </w:pPr>
      <w:r>
        <w:rPr>
          <w:rFonts w:ascii="Arial" w:cs="Arial" w:eastAsia="Arial" w:hAnsi="Arial"/>
          <w:sz w:val="16"/>
          <w:szCs w:val="16"/>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Other income, net consists primarily of interest earned on our cash equivalents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from the IPO.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48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2020 and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3"/>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15,293</w:t>
            </w:r>
          </w:p>
        </w:tc>
        <w:tc>
          <w:tcPr>
            <w:tcW w:w="160" w:type="dxa"/>
            <w:vAlign w:val="bottom"/>
          </w:tcPr>
          <w:p>
            <w:pPr>
              <w:spacing w:after="0"/>
              <w:rPr>
                <w:sz w:val="19"/>
                <w:szCs w:val="19"/>
                <w:color w:val="auto"/>
              </w:rPr>
            </w:pP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5,490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478"/>
        <w:spacing w:after="0" w:line="291" w:lineRule="auto"/>
        <w:rPr>
          <w:sz w:val="20"/>
          <w:szCs w:val="20"/>
          <w:color w:val="auto"/>
        </w:rPr>
      </w:pPr>
      <w:r>
        <w:rPr>
          <w:rFonts w:ascii="Arial" w:cs="Arial" w:eastAsia="Arial" w:hAnsi="Arial"/>
          <w:sz w:val="16"/>
          <w:szCs w:val="16"/>
          <w:color w:val="auto"/>
        </w:rPr>
        <w:t>Research and development expenses increased by $9.8 million to $15.3 million for the three months ended September 30, 2020 from $5.5 million for the three months ended September 30, 2019. The increase was mainly due to increased clinical research costs for the PRT543 and PRT811 clinical trials and increased costs associated with the initiation of the clinical trial for PRT1419, which began in the third quarter of 2020. We also incurred an increase in chemistry, manufacturing and other costs for those trials.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PRT543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PRT811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PRT1419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478"/>
        <w:spacing w:after="0" w:line="259" w:lineRule="auto"/>
        <w:rPr>
          <w:sz w:val="20"/>
          <w:szCs w:val="20"/>
          <w:color w:val="auto"/>
        </w:rPr>
      </w:pPr>
      <w:r>
        <w:rPr>
          <w:rFonts w:ascii="Arial" w:cs="Arial" w:eastAsia="Arial" w:hAnsi="Arial"/>
          <w:sz w:val="18"/>
          <w:szCs w:val="18"/>
          <w:color w:val="auto"/>
        </w:rPr>
        <w:t>General and administrative expenses increased by $1.5 million to $2.9 million for the three months ended September 30, 2020 from $1.4 million for the three months ended September 30, 2019. The increase was primarily due to an increase in personnel related expense due to increases in employee headcount and an increase in our professional fees as we expanded our operations to support our research and development efforts and incurred additional costs to operate as a public company.</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Other income, net increased by $1.2 million primarily due to the receipt and recognition of a research and development tax credit from the State of Delaware in the third quarter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ind w:left="48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2020 and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33,605</w:t>
            </w:r>
          </w:p>
        </w:tc>
        <w:tc>
          <w:tcPr>
            <w:tcW w:w="160" w:type="dxa"/>
            <w:vAlign w:val="bottom"/>
          </w:tcPr>
          <w:p>
            <w:pPr>
              <w:spacing w:after="0"/>
              <w:rPr>
                <w:sz w:val="19"/>
                <w:szCs w:val="19"/>
                <w:color w:val="auto"/>
              </w:rPr>
            </w:pP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15,430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478"/>
        <w:spacing w:after="0" w:line="291" w:lineRule="auto"/>
        <w:rPr>
          <w:sz w:val="20"/>
          <w:szCs w:val="20"/>
          <w:color w:val="auto"/>
        </w:rPr>
      </w:pPr>
      <w:r>
        <w:rPr>
          <w:rFonts w:ascii="Arial" w:cs="Arial" w:eastAsia="Arial" w:hAnsi="Arial"/>
          <w:sz w:val="16"/>
          <w:szCs w:val="16"/>
          <w:color w:val="auto"/>
        </w:rPr>
        <w:t>Research and development expenses increased by $18.2 million to $33.6 million for the nine months ended September 30, 2020 from $15.4 million for the nine months ended September 30, 2019. The increase was mainly due to increased patient enrollment and monitoring costs for the PRT543 and PRT811 clinical trials and increased costs associated with the initiation of the clinical trial for PRT1419, which began in the third quarter of 2020. We also incurred an increase in chemistry, manufacturing and other costs for those trials.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PRT543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PRT811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PRT1419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33,605</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478"/>
        <w:spacing w:after="0" w:line="259" w:lineRule="auto"/>
        <w:rPr>
          <w:sz w:val="20"/>
          <w:szCs w:val="20"/>
          <w:color w:val="auto"/>
        </w:rPr>
      </w:pPr>
      <w:r>
        <w:rPr>
          <w:rFonts w:ascii="Arial" w:cs="Arial" w:eastAsia="Arial" w:hAnsi="Arial"/>
          <w:sz w:val="18"/>
          <w:szCs w:val="18"/>
          <w:color w:val="auto"/>
        </w:rPr>
        <w:t>General and administrative expenses increased by $3.1 million to $5.7 million for the nine months ended September 30, 2020 from $2.6 million for the nine months ended September 30, 2019. The increase was primarily due to an increase in personnel related expense due to increases in employee headcount and an increase in our professional fees as we expanded our operations to support our research and development efforts. We also incurred additional expenses as we began to operate as a public company.</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Other income, net increased by $1.2 million primarily due to the receipt and recognition of a research and development tax credit from the State of Delaware in the third quarter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78"/>
        <w:spacing w:after="0" w:line="272" w:lineRule="auto"/>
        <w:rPr>
          <w:sz w:val="20"/>
          <w:szCs w:val="20"/>
          <w:color w:val="auto"/>
        </w:rPr>
      </w:pPr>
      <w:r>
        <w:rPr>
          <w:rFonts w:ascii="Arial" w:cs="Arial" w:eastAsia="Arial" w:hAnsi="Arial"/>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through August 2020, we have funded our operations through the sale of convertible preferred stock, receiving aggregate net proceeds of $144.4 million. Upon the completion of our IPO in September 2020, we received net proceeds of $166.6 million. As of September 30, 2020, we had $234.8 million in cash and cash equivalents and had an accumulated deficit of $88.2 million. We expect our existing cash and cash equivalents to enable us to fund our operating expenses and capital expenditure requirements into the second half of 2022. We have based these estimates on assumptions that may prove to be imprecise, and we could utilize our available capital resources sooner than we expect.</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60" w:firstLine="478"/>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960" w:hanging="480"/>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timing, progress and results of discovery, preclinical development, laboratory testing and clinical trials for our product candidates;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8" w:lineRule="exact"/>
        <w:rPr>
          <w:rFonts w:ascii="Arial" w:cs="Arial" w:eastAsia="Arial" w:hAnsi="Arial"/>
          <w:sz w:val="17"/>
          <w:szCs w:val="17"/>
          <w:color w:val="auto"/>
        </w:rPr>
      </w:pPr>
    </w:p>
    <w:p>
      <w:pPr>
        <w:ind w:left="960" w:right="38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62" w:lineRule="exact"/>
        <w:rPr>
          <w:rFonts w:ascii="Arial" w:cs="Arial" w:eastAsia="Arial" w:hAnsi="Arial"/>
          <w:sz w:val="18"/>
          <w:szCs w:val="18"/>
          <w:color w:val="auto"/>
        </w:rPr>
      </w:pPr>
    </w:p>
    <w:p>
      <w:pPr>
        <w:ind w:left="960" w:right="36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7"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w:t>
      </w:r>
    </w:p>
    <w:p>
      <w:pPr>
        <w:spacing w:after="0" w:line="248" w:lineRule="exact"/>
        <w:rPr>
          <w:sz w:val="20"/>
          <w:szCs w:val="20"/>
          <w:color w:val="auto"/>
        </w:rPr>
      </w:pPr>
    </w:p>
    <w:p>
      <w:pPr>
        <w:ind w:right="140" w:firstLine="478"/>
        <w:spacing w:after="0" w:line="259"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7" w:lineRule="exact"/>
        <w:rPr>
          <w:sz w:val="20"/>
          <w:szCs w:val="20"/>
          <w:color w:val="auto"/>
        </w:rPr>
      </w:pPr>
    </w:p>
    <w:p>
      <w:pPr>
        <w:ind w:firstLine="478"/>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4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247,535</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215,913</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478"/>
        <w:spacing w:after="0" w:line="259" w:lineRule="auto"/>
        <w:rPr>
          <w:sz w:val="20"/>
          <w:szCs w:val="20"/>
          <w:color w:val="auto"/>
        </w:rPr>
      </w:pPr>
      <w:r>
        <w:rPr>
          <w:rFonts w:ascii="Arial" w:cs="Arial" w:eastAsia="Arial" w:hAnsi="Arial"/>
          <w:sz w:val="18"/>
          <w:szCs w:val="18"/>
          <w:color w:val="auto"/>
        </w:rPr>
        <w:t>During the nine months ended September 30, 2020, we used $31.3 million of cash in operating activities. Cash used in operating activities reflected our net loss of $37.7 million, offset by a $3.5 million net decrease in our operating assets and liabilities and noncash charges of $2.9 million, which consisted of $0.4 million in depreciation and $2.5 million in stock-based compensation. The primary use of cash was to fund our operations related to the development of our product candidates.</w:t>
      </w:r>
    </w:p>
    <w:p>
      <w:pPr>
        <w:spacing w:after="0" w:line="187" w:lineRule="exact"/>
        <w:rPr>
          <w:sz w:val="20"/>
          <w:szCs w:val="20"/>
          <w:color w:val="auto"/>
        </w:rPr>
      </w:pPr>
    </w:p>
    <w:p>
      <w:pPr>
        <w:ind w:right="140" w:firstLine="478"/>
        <w:spacing w:after="0" w:line="259" w:lineRule="auto"/>
        <w:rPr>
          <w:sz w:val="20"/>
          <w:szCs w:val="20"/>
          <w:color w:val="auto"/>
        </w:rPr>
      </w:pPr>
      <w:r>
        <w:rPr>
          <w:rFonts w:ascii="Arial" w:cs="Arial" w:eastAsia="Arial" w:hAnsi="Arial"/>
          <w:sz w:val="18"/>
          <w:szCs w:val="18"/>
          <w:color w:val="auto"/>
        </w:rPr>
        <w:t>During the nine months ended September 30, 2019, we used $17.2 million of cash in operating activities. Cash used in operating activities reflected our net loss of $17.5 million and a net increase of $0.4 million in our operating assets and liabilities, offset by $0.8 million of noncash charges, which consisted of $0.3 million in depreciation and amortization and $0.5 million in stock-based compensation. The primary use of cash was to fund our operations related to the development of our product candidates.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00" w:firstLine="478"/>
        <w:spacing w:after="0" w:line="277" w:lineRule="auto"/>
        <w:rPr>
          <w:sz w:val="20"/>
          <w:szCs w:val="20"/>
          <w:color w:val="auto"/>
        </w:rPr>
      </w:pPr>
      <w:r>
        <w:rPr>
          <w:rFonts w:ascii="Arial" w:cs="Arial" w:eastAsia="Arial" w:hAnsi="Arial"/>
          <w:sz w:val="18"/>
          <w:szCs w:val="18"/>
          <w:color w:val="auto"/>
        </w:rPr>
        <w:t>During the nine months ended September 30, 2020 and 2019, we used $0.3 million and $0.6 million of cash, respectively, for the purchase of property and equipment.</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78"/>
        <w:spacing w:after="0" w:line="273" w:lineRule="auto"/>
        <w:rPr>
          <w:sz w:val="20"/>
          <w:szCs w:val="20"/>
          <w:color w:val="auto"/>
        </w:rPr>
      </w:pPr>
      <w:r>
        <w:rPr>
          <w:rFonts w:ascii="Arial" w:cs="Arial" w:eastAsia="Arial" w:hAnsi="Arial"/>
          <w:sz w:val="17"/>
          <w:szCs w:val="17"/>
          <w:color w:val="auto"/>
        </w:rPr>
        <w:t>During the nine months ended September 30, 2020, financing activities provided $247.5 million. During the nine months ended September 30, 2020, we completed our IPO and received net cash of $167.9 million. We also received $49.8 million from the sale of our Series C convertible preferred stock, $29.9 million from the sale of our Series B convertible preferred stock and $96,000 from the exercise of stock options. During the nine months ended September 30, 2020, we made $0.3 million in payments for our capital lease obligation. During the nine months ended September 30, 2019 net cash provided by financing activities consisted of $29.8 million from the sale of our Series B convertible preferred stock and $5,000 of proceeds received from the exercise of stock options, offset by payments of $31,000 for our capital lease obligation.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78"/>
        <w:spacing w:after="0" w:line="257"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20" w:firstLine="478"/>
        <w:spacing w:after="0" w:line="263" w:lineRule="auto"/>
        <w:rPr>
          <w:sz w:val="20"/>
          <w:szCs w:val="20"/>
          <w:color w:val="auto"/>
        </w:rPr>
      </w:pPr>
      <w:r>
        <w:rPr>
          <w:rFonts w:ascii="Arial" w:cs="Arial" w:eastAsia="Arial" w:hAnsi="Arial"/>
          <w:sz w:val="18"/>
          <w:szCs w:val="18"/>
          <w:color w:val="auto"/>
        </w:rPr>
        <w:t>During the nine months ended September 30, 2020, there were no material changes to our critical accounting policies and estimates from those described under the heading “Management’s Discussion and Analysis of Financial Condition and Results of Operations-Critical Accounting Policies and Estimates” in the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right="80" w:firstLine="478"/>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60" w:firstLine="478"/>
        <w:spacing w:after="0" w:line="277" w:lineRule="auto"/>
        <w:rPr>
          <w:sz w:val="20"/>
          <w:szCs w:val="20"/>
          <w:color w:val="auto"/>
        </w:rPr>
      </w:pPr>
      <w:r>
        <w:rPr>
          <w:rFonts w:ascii="Arial" w:cs="Arial" w:eastAsia="Arial" w:hAnsi="Arial"/>
          <w:sz w:val="18"/>
          <w:szCs w:val="18"/>
          <w:color w:val="auto"/>
        </w:rPr>
        <w:t>See Note 3 to our interim financial statements included elsewhere in this Quarterly Report on Form 10-Q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ind w:right="220" w:firstLine="478"/>
        <w:spacing w:after="0" w:line="286"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w:t>
      </w:r>
    </w:p>
    <w:p>
      <w:pPr>
        <w:spacing w:after="0" w:line="1" w:lineRule="exact"/>
        <w:rPr>
          <w:sz w:val="20"/>
          <w:szCs w:val="20"/>
          <w:color w:val="auto"/>
        </w:rPr>
      </w:pPr>
    </w:p>
    <w:p>
      <w:pPr>
        <w:ind w:right="20" w:firstLine="8"/>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0" w:lineRule="exact"/>
        <w:rPr>
          <w:sz w:val="20"/>
          <w:szCs w:val="20"/>
          <w:color w:val="auto"/>
        </w:rPr>
      </w:pPr>
    </w:p>
    <w:p>
      <w:pPr>
        <w:ind w:right="240" w:firstLine="478"/>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47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121"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As of September 30, 2020,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2020, the design and operation of our disclosure controls and procedures were effective at a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478"/>
        <w:spacing w:after="0" w:line="342" w:lineRule="auto"/>
        <w:rPr>
          <w:sz w:val="20"/>
          <w:szCs w:val="20"/>
          <w:color w:val="auto"/>
        </w:rPr>
      </w:pPr>
      <w:r>
        <w:rPr>
          <w:rFonts w:ascii="Arial" w:cs="Arial" w:eastAsia="Arial" w:hAnsi="Arial"/>
          <w:sz w:val="16"/>
          <w:szCs w:val="16"/>
          <w:color w:val="auto"/>
        </w:rPr>
        <w:t>Management determined that, as of September 30, 2020,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478"/>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78"/>
        <w:spacing w:after="0" w:line="296" w:lineRule="auto"/>
        <w:rPr>
          <w:sz w:val="20"/>
          <w:szCs w:val="20"/>
          <w:color w:val="auto"/>
        </w:rPr>
      </w:pPr>
      <w:r>
        <w:rPr>
          <w:rFonts w:ascii="Arial" w:cs="Arial" w:eastAsia="Arial" w:hAnsi="Arial"/>
          <w:sz w:val="16"/>
          <w:szCs w:val="16"/>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Quarterly Report on Form 10-Q, including our financial statements and the related notes appearing at the end of this Quarterly Report on Form 10-Q.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firstLine="478"/>
        <w:spacing w:after="0" w:line="272" w:lineRule="auto"/>
        <w:rPr>
          <w:sz w:val="20"/>
          <w:szCs w:val="20"/>
          <w:color w:val="auto"/>
        </w:rPr>
      </w:pPr>
      <w:r>
        <w:rPr>
          <w:rFonts w:ascii="Arial" w:cs="Arial" w:eastAsia="Arial" w:hAnsi="Arial"/>
          <w:sz w:val="17"/>
          <w:szCs w:val="17"/>
          <w:color w:val="auto"/>
        </w:rPr>
        <w:t>The below summary risks provide an overview of many of the risks we are exposed to in the normal course of our business activities.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Quarterly Report on Form 10-Q under the heading “Management’s Discussion and Analysis of Financial Condition and Results of Operations.” Additional risks, beyond those summarized below or discussed in “Risk Factors” and “Management’s Discussion and Analysis of Financial Condition and Results of Operations,” may apply to our activities or operations as currently conducted or as we may conduct them in the future or in the markets in which we operate or may in the future operate. Consistent with the foregoing, we are exposed to a variety of risks, including risks associated with:</w:t>
      </w:r>
    </w:p>
    <w:p>
      <w:pPr>
        <w:spacing w:after="0" w:line="69" w:lineRule="exact"/>
        <w:rPr>
          <w:sz w:val="20"/>
          <w:szCs w:val="20"/>
          <w:color w:val="auto"/>
        </w:rPr>
      </w:pPr>
    </w:p>
    <w:p>
      <w:pPr>
        <w:ind w:left="960" w:right="8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75" w:lineRule="exact"/>
        <w:rPr>
          <w:rFonts w:ascii="Arial" w:cs="Arial" w:eastAsia="Arial" w:hAnsi="Arial"/>
          <w:sz w:val="18"/>
          <w:szCs w:val="18"/>
          <w:color w:val="auto"/>
        </w:rPr>
      </w:pPr>
    </w:p>
    <w:p>
      <w:pPr>
        <w:ind w:left="960" w:right="2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pursue our business objectives. If we are unable to raise capital when needed or on terms acceptable to us, we could be forced to delay, reduce or eliminate our research or drug development programs or any future commercialization efforts or other operations.</w:t>
      </w:r>
    </w:p>
    <w:p>
      <w:pPr>
        <w:spacing w:after="0" w:line="75" w:lineRule="exact"/>
        <w:rPr>
          <w:rFonts w:ascii="Arial" w:cs="Arial" w:eastAsia="Arial" w:hAnsi="Arial"/>
          <w:sz w:val="18"/>
          <w:szCs w:val="18"/>
          <w:color w:val="auto"/>
        </w:rPr>
      </w:pPr>
    </w:p>
    <w:p>
      <w:pPr>
        <w:ind w:left="960" w:right="140" w:hanging="480"/>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stockholders, restrict our operations or require us to relinquish rights to our technologies or product candidates.</w:t>
      </w:r>
    </w:p>
    <w:p>
      <w:pPr>
        <w:spacing w:after="0" w:line="62" w:lineRule="exact"/>
        <w:rPr>
          <w:rFonts w:ascii="Arial" w:cs="Arial" w:eastAsia="Arial" w:hAnsi="Arial"/>
          <w:sz w:val="18"/>
          <w:szCs w:val="18"/>
          <w:color w:val="auto"/>
        </w:rPr>
      </w:pPr>
    </w:p>
    <w:p>
      <w:pPr>
        <w:jc w:val="both"/>
        <w:ind w:left="960" w:right="16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the success of our product candidates, PRT543, PRT811 and PRT1419,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75" w:lineRule="exact"/>
        <w:rPr>
          <w:rFonts w:ascii="Arial" w:cs="Arial" w:eastAsia="Arial" w:hAnsi="Arial"/>
          <w:sz w:val="18"/>
          <w:szCs w:val="18"/>
          <w:color w:val="auto"/>
        </w:rPr>
      </w:pPr>
    </w:p>
    <w:p>
      <w:pPr>
        <w:ind w:left="960" w:right="300" w:hanging="480"/>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and commercialization of pharmaceutical products are subject to extensive regulation, and we may not obtain regulatory approvals for PRT543, PRT811, PRT1419 or any other product candidates, on a timely basis or at all.</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rely, and intend to continue to rely, on third parties to conduct our clinical trials and perform some of our research and preclinical studies.</w:t>
      </w:r>
    </w:p>
    <w:p>
      <w:pPr>
        <w:spacing w:after="0" w:line="140" w:lineRule="exact"/>
        <w:rPr>
          <w:rFonts w:ascii="Arial" w:cs="Arial" w:eastAsia="Arial" w:hAnsi="Arial"/>
          <w:sz w:val="16"/>
          <w:szCs w:val="16"/>
          <w:color w:val="auto"/>
        </w:rPr>
      </w:pPr>
    </w:p>
    <w:p>
      <w:pPr>
        <w:ind w:left="960" w:right="260" w:hanging="480"/>
        <w:spacing w:after="0" w:line="30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currently rely on third-party suppliers, including single source suppliers, to manufacture preclinical and clinical supplies of our product candidates and we intend to rely on third parties to produce commercial supplies of any approved product candidate.</w:t>
      </w:r>
    </w:p>
    <w:p>
      <w:pPr>
        <w:spacing w:after="0" w:line="38" w:lineRule="exact"/>
        <w:rPr>
          <w:rFonts w:ascii="Arial" w:cs="Arial" w:eastAsia="Arial" w:hAnsi="Arial"/>
          <w:sz w:val="17"/>
          <w:szCs w:val="17"/>
          <w:color w:val="auto"/>
        </w:rPr>
      </w:pPr>
    </w:p>
    <w:p>
      <w:pPr>
        <w:ind w:left="960" w:right="26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5"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left="960" w:hanging="48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117" w:lineRule="exact"/>
        <w:rPr>
          <w:rFonts w:ascii="Arial" w:cs="Arial" w:eastAsia="Arial" w:hAnsi="Arial"/>
          <w:sz w:val="18"/>
          <w:szCs w:val="18"/>
          <w:color w:val="auto"/>
        </w:rPr>
      </w:pPr>
    </w:p>
    <w:p>
      <w:pPr>
        <w:ind w:left="960" w:right="16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Delaware law and provisions in our restated certificate of incorporation and amended and restated bylaws could make a merger, tender offer, or proxy contest difficult, thereby depressing the market price of our common stock.</w:t>
      </w:r>
    </w:p>
    <w:p>
      <w:pPr>
        <w:spacing w:after="0" w:line="62" w:lineRule="exact"/>
        <w:rPr>
          <w:rFonts w:ascii="Arial" w:cs="Arial" w:eastAsia="Arial" w:hAnsi="Arial"/>
          <w:sz w:val="18"/>
          <w:szCs w:val="18"/>
          <w:color w:val="auto"/>
        </w:rPr>
      </w:pPr>
    </w:p>
    <w:p>
      <w:pPr>
        <w:ind w:left="960" w:right="160" w:hanging="480"/>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left="480" w:right="100"/>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76" w:lineRule="exact"/>
        <w:rPr>
          <w:sz w:val="20"/>
          <w:szCs w:val="20"/>
          <w:color w:val="auto"/>
        </w:rPr>
      </w:pPr>
    </w:p>
    <w:p>
      <w:pPr>
        <w:ind w:firstLine="478"/>
        <w:spacing w:after="0" w:line="272" w:lineRule="auto"/>
        <w:rPr>
          <w:sz w:val="20"/>
          <w:szCs w:val="20"/>
          <w:color w:val="auto"/>
        </w:rPr>
      </w:pPr>
      <w:r>
        <w:rPr>
          <w:rFonts w:ascii="Arial" w:cs="Arial" w:eastAsia="Arial" w:hAnsi="Arial"/>
          <w:sz w:val="17"/>
          <w:szCs w:val="17"/>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and predictions about our future success or viability may not be as accurate as they could be if we had a longer operating history or a history of successfully developing and commercializing cancer therapies. For the three and nine months ended September 30, 2020, we reported a net loss of $16.8 million and $37.7 million, respectively. As of September 30, 2020, we had an accumulated deficit of $88.2 million. We expect to continue to incur significant research and development and other expenses related to our ongoing operations.</w:t>
      </w:r>
    </w:p>
    <w:p>
      <w:pPr>
        <w:spacing w:after="0" w:line="177" w:lineRule="exact"/>
        <w:rPr>
          <w:sz w:val="20"/>
          <w:szCs w:val="20"/>
          <w:color w:val="auto"/>
        </w:rPr>
      </w:pPr>
    </w:p>
    <w:p>
      <w:pPr>
        <w:ind w:firstLine="478"/>
        <w:spacing w:after="0" w:line="255"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research, preclinical and clinical development of our product candidates, PRT543, PRT811 and PRT1419, and our research efforts on other potential product candidates targeting Protein Arginine Methyltransferase 5, or PRMT5, Myeloid Cell Leukemia Sequence 1, or MCL1, Cyclin-dependent kinase 9, or CDK9, and Brahma homologue, or BRM, otherwise known as SMARCA2. To date, we have funded our operations with proceeds from sales of shares of our convertible preferred stock and common stock upon our IPO. From inception through September 30, 2020, we received an aggregate of $311.0 million in net proceeds from such sales. As of September 30, 2020, our cash and cash equivalents were $234.8 million.</w:t>
      </w:r>
    </w:p>
    <w:p>
      <w:pPr>
        <w:spacing w:after="0" w:line="192" w:lineRule="exact"/>
        <w:rPr>
          <w:sz w:val="20"/>
          <w:szCs w:val="20"/>
          <w:color w:val="auto"/>
        </w:rPr>
      </w:pPr>
    </w:p>
    <w:p>
      <w:pPr>
        <w:ind w:right="40" w:firstLine="478"/>
        <w:spacing w:after="0" w:line="271" w:lineRule="auto"/>
        <w:rPr>
          <w:sz w:val="20"/>
          <w:szCs w:val="20"/>
          <w:color w:val="auto"/>
        </w:rPr>
      </w:pPr>
      <w:r>
        <w:rPr>
          <w:rFonts w:ascii="Arial" w:cs="Arial" w:eastAsia="Arial" w:hAnsi="Arial"/>
          <w:sz w:val="17"/>
          <w:szCs w:val="17"/>
          <w:color w:val="auto"/>
        </w:rPr>
        <w:t>We expect to incur increasing levels of operating losses for the foreseeable future, particularly as we advance PRT543, PRT811 and PRT1419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current Phase 1 clinical trial for PRT1419 and development and subsequent INDs of other future product candidates we may choose to pursue, including PRT2527, our CDK9 inhibitor, a SMARCA2 protein degrader and a kinase inhibitor. In addition, if we obtain marketing approval for PRT543, PRT811, PRT1419 or another product candidate, we will incur significant sales, marketing and outsourced manufacturing expenses in connection with the commercialization of PRT543, PRT811, PRT1419 or such other product candidate, respectively. We will also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77"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or another product candidate. Our ability to generate revenue depends on a number of factors, including, but not limited to, our ability to:</w:t>
      </w:r>
    </w:p>
    <w:p>
      <w:pPr>
        <w:spacing w:after="0" w:line="79" w:lineRule="exact"/>
        <w:rPr>
          <w:sz w:val="20"/>
          <w:szCs w:val="20"/>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successful Phase 1 portions of PRT543 and PRT811 clinical trials;</w:t>
      </w:r>
    </w:p>
    <w:p>
      <w:pPr>
        <w:spacing w:after="0" w:line="117" w:lineRule="exact"/>
        <w:rPr>
          <w:rFonts w:ascii="Arial" w:cs="Arial" w:eastAsia="Arial" w:hAnsi="Arial"/>
          <w:sz w:val="18"/>
          <w:szCs w:val="18"/>
          <w:color w:val="auto"/>
        </w:rPr>
      </w:pPr>
    </w:p>
    <w:p>
      <w:pPr>
        <w:ind w:left="960" w:right="160" w:hanging="480"/>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and other studies required to obtain U.S. and foreign marketing approval for PRT543 as a treatment for patients with hematological malignancies and advanced solid tumors, and PRT811 as a treatment for patients with glioblastoma and advanced solid tumors;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favorable results from our clinical trials and apply for and obtain marketing approval for PRT543 and PRT811;</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 a successful Phase 1 clinical trial of PRT1419 as a treatment for patients with certain hematological malignancies;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manufacture or contract with others to manufacture PRT543, PRT811, PRT1419 and our other product candidates;</w:t>
      </w:r>
    </w:p>
    <w:p>
      <w:pPr>
        <w:spacing w:after="0" w:line="117" w:lineRule="exact"/>
        <w:rPr>
          <w:rFonts w:ascii="Arial" w:cs="Arial" w:eastAsia="Arial" w:hAnsi="Arial"/>
          <w:sz w:val="18"/>
          <w:szCs w:val="18"/>
          <w:color w:val="auto"/>
        </w:rPr>
      </w:pPr>
    </w:p>
    <w:p>
      <w:pPr>
        <w:ind w:left="960" w:right="480" w:hanging="480"/>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commercialize PRT543, PRT811, PRT1419, if approved, respectively, by building a sales force or entering into collaborations with third parties;</w:t>
      </w:r>
    </w:p>
    <w:p>
      <w:pPr>
        <w:spacing w:after="0" w:line="62" w:lineRule="exact"/>
        <w:rPr>
          <w:rFonts w:ascii="Arial" w:cs="Arial" w:eastAsia="Arial" w:hAnsi="Arial"/>
          <w:sz w:val="18"/>
          <w:szCs w:val="18"/>
          <w:color w:val="auto"/>
        </w:rPr>
      </w:pPr>
    </w:p>
    <w:p>
      <w:pPr>
        <w:ind w:left="960" w:right="380" w:hanging="480"/>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 INDs for PRT2527 and the SMARCA2 protein degrader that are made effective by the U.S. Food and Drug Administration, or the FDA;</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 and</w:t>
      </w:r>
    </w:p>
    <w:p>
      <w:pPr>
        <w:spacing w:after="0" w:line="117"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market acceptance of PRT543, PRT811, PRT1419 and our other successful product candidates with the medical community and with third-party payors.</w:t>
      </w:r>
    </w:p>
    <w:p>
      <w:pPr>
        <w:spacing w:after="0" w:line="170" w:lineRule="exact"/>
        <w:rPr>
          <w:sz w:val="20"/>
          <w:szCs w:val="20"/>
          <w:color w:val="auto"/>
        </w:rPr>
      </w:pPr>
    </w:p>
    <w:p>
      <w:pPr>
        <w:ind w:right="80" w:firstLine="478"/>
        <w:spacing w:after="0" w:line="273"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78" w:lineRule="exact"/>
        <w:rPr>
          <w:sz w:val="20"/>
          <w:szCs w:val="20"/>
          <w:color w:val="auto"/>
        </w:rPr>
      </w:pPr>
    </w:p>
    <w:p>
      <w:pPr>
        <w:ind w:firstLine="478"/>
        <w:spacing w:after="0" w:line="275"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ind w:right="40" w:firstLine="478"/>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76"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95" w:lineRule="exact"/>
        <w:rPr>
          <w:sz w:val="20"/>
          <w:szCs w:val="20"/>
          <w:color w:val="auto"/>
        </w:rPr>
      </w:pPr>
    </w:p>
    <w:p>
      <w:pPr>
        <w:ind w:left="480" w:right="36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6"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our product candidates, PRT543, PRT811 and PRT1419,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180" w:firstLine="478"/>
        <w:spacing w:after="0" w:line="313"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into the second half of 2022.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39" w:lineRule="exact"/>
        <w:rPr>
          <w:sz w:val="20"/>
          <w:szCs w:val="20"/>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7" w:lineRule="exact"/>
        <w:rPr>
          <w:rFonts w:ascii="Arial" w:cs="Arial" w:eastAsia="Arial" w:hAnsi="Arial"/>
          <w:sz w:val="18"/>
          <w:szCs w:val="18"/>
          <w:color w:val="auto"/>
        </w:rPr>
      </w:pPr>
    </w:p>
    <w:p>
      <w:pPr>
        <w:ind w:left="960" w:right="44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2"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960" w:right="82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and distribution capabilities;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17" w:lineRule="exact"/>
        <w:rPr>
          <w:rFonts w:ascii="Arial" w:cs="Arial" w:eastAsia="Arial" w:hAnsi="Arial"/>
          <w:sz w:val="18"/>
          <w:szCs w:val="18"/>
          <w:color w:val="auto"/>
        </w:rPr>
      </w:pPr>
    </w:p>
    <w:p>
      <w:pPr>
        <w:ind w:left="960" w:right="44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PRT543, PRT811, or PRT1419, if any are approved, or our other pipeline product candidates that receive marketing approval;</w:t>
      </w:r>
    </w:p>
    <w:p>
      <w:pPr>
        <w:spacing w:after="0" w:line="62" w:lineRule="exact"/>
        <w:rPr>
          <w:rFonts w:ascii="Arial" w:cs="Arial" w:eastAsia="Arial" w:hAnsi="Arial"/>
          <w:sz w:val="18"/>
          <w:szCs w:val="18"/>
          <w:color w:val="auto"/>
        </w:rPr>
      </w:pPr>
    </w:p>
    <w:p>
      <w:pPr>
        <w:ind w:left="960" w:right="340" w:hanging="480"/>
        <w:spacing w:after="0" w:line="342"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15" w:lineRule="exact"/>
        <w:rPr>
          <w:rFonts w:ascii="Arial" w:cs="Arial" w:eastAsia="Arial" w:hAnsi="Arial"/>
          <w:sz w:val="16"/>
          <w:szCs w:val="16"/>
          <w:color w:val="auto"/>
        </w:rPr>
      </w:pPr>
    </w:p>
    <w:p>
      <w:pPr>
        <w:ind w:left="960" w:right="30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62" w:lineRule="exact"/>
        <w:rPr>
          <w:rFonts w:ascii="Arial" w:cs="Arial" w:eastAsia="Arial" w:hAnsi="Arial"/>
          <w:sz w:val="18"/>
          <w:szCs w:val="18"/>
          <w:color w:val="auto"/>
        </w:rPr>
      </w:pPr>
    </w:p>
    <w:p>
      <w:pPr>
        <w:ind w:left="960" w:right="100" w:hanging="480"/>
        <w:spacing w:after="0" w:line="286"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extent we pursue strategic collaborations, including collaborations to commercialize PRT543, PRT811, PRT1419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65" w:lineRule="exact"/>
        <w:rPr>
          <w:sz w:val="20"/>
          <w:szCs w:val="20"/>
          <w:color w:val="auto"/>
        </w:rPr>
      </w:pPr>
    </w:p>
    <w:p>
      <w:pPr>
        <w:ind w:right="140" w:firstLine="478"/>
        <w:spacing w:after="0" w:line="273" w:lineRule="auto"/>
        <w:rPr>
          <w:sz w:val="20"/>
          <w:szCs w:val="20"/>
          <w:color w:val="auto"/>
        </w:rPr>
      </w:pPr>
      <w:r>
        <w:rPr>
          <w:rFonts w:ascii="Arial" w:cs="Arial" w:eastAsia="Arial" w:hAnsi="Arial"/>
          <w:sz w:val="17"/>
          <w:szCs w:val="17"/>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86" w:lineRule="exact"/>
        <w:rPr>
          <w:sz w:val="20"/>
          <w:szCs w:val="20"/>
          <w:color w:val="auto"/>
        </w:rPr>
      </w:pPr>
    </w:p>
    <w:p>
      <w:pPr>
        <w:ind w:left="480"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80" w:firstLine="478"/>
        <w:spacing w:after="0" w:line="277"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firstLine="478"/>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Design and Development of our Product Candidates</w:t>
      </w:r>
    </w:p>
    <w:p>
      <w:pPr>
        <w:spacing w:after="0" w:line="121" w:lineRule="exact"/>
        <w:rPr>
          <w:sz w:val="20"/>
          <w:szCs w:val="20"/>
          <w:color w:val="auto"/>
        </w:rPr>
      </w:pPr>
    </w:p>
    <w:p>
      <w:pPr>
        <w:ind w:left="480" w:right="60"/>
        <w:spacing w:after="0" w:line="263"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PRT543, PRT811 and PRT1419,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76"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Our future success is highly dependent on our ability to obtain regulatory approval for, and then successfully commercialize, our product candidates, PRT543, PRT811 and PRT1419. We are early in our development efforts and our lead product candidates, PRT543, PRT811 and PRT1419, are each currently in a Phase 1 clinical trial. Our other product candidates are in earlier stages of development. We currently have no products that are approved for sale in any jurisdiction. There can be no assurance that PRT543, PRT811, PRT1419 or our other product candidates in development will achieve success in their clinical trials or obtain regulatory approval.</w:t>
      </w:r>
    </w:p>
    <w:p>
      <w:pPr>
        <w:spacing w:after="0" w:line="188" w:lineRule="exact"/>
        <w:rPr>
          <w:sz w:val="20"/>
          <w:szCs w:val="20"/>
          <w:color w:val="auto"/>
        </w:rPr>
      </w:pPr>
    </w:p>
    <w:p>
      <w:pPr>
        <w:ind w:right="480" w:firstLine="478"/>
        <w:spacing w:after="0" w:line="286" w:lineRule="auto"/>
        <w:rPr>
          <w:sz w:val="20"/>
          <w:szCs w:val="20"/>
          <w:color w:val="auto"/>
        </w:rPr>
      </w:pPr>
      <w:r>
        <w:rPr>
          <w:rFonts w:ascii="Arial" w:cs="Arial" w:eastAsia="Arial" w:hAnsi="Arial"/>
          <w:sz w:val="17"/>
          <w:szCs w:val="17"/>
          <w:color w:val="auto"/>
        </w:rPr>
        <w:t>Our ability to generate product revenues, which we do not expect will occur for many years, if ever, will depend heavily on the successful development and eventual commercialization of PRT543, PRT811, PRT1419 or other product candidates in development. The success of our product candidates, including PRT543, PRT811 and PRT1419, will depend on several factors, including the following:</w:t>
      </w:r>
    </w:p>
    <w:p>
      <w:pPr>
        <w:spacing w:after="0" w:line="57" w:lineRule="exact"/>
        <w:rPr>
          <w:sz w:val="20"/>
          <w:szCs w:val="20"/>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INDs by the FDA or other similar clinical trial applications from foreign regulatory authorities for our future clinical trials for our pipeline product candidates;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7" w:lineRule="exact"/>
        <w:rPr>
          <w:rFonts w:ascii="Arial" w:cs="Arial" w:eastAsia="Arial" w:hAnsi="Arial"/>
          <w:sz w:val="18"/>
          <w:szCs w:val="18"/>
          <w:color w:val="auto"/>
        </w:rPr>
      </w:pPr>
    </w:p>
    <w:p>
      <w:pPr>
        <w:ind w:left="960" w:right="40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or that of our collaborators, to develop and obtain clearance or approval of companion diagnostics, on a timely basis, or at all;</w:t>
      </w:r>
    </w:p>
    <w:p>
      <w:pPr>
        <w:spacing w:after="0" w:line="128" w:lineRule="exact"/>
        <w:rPr>
          <w:rFonts w:ascii="Arial" w:cs="Arial" w:eastAsia="Arial" w:hAnsi="Arial"/>
          <w:sz w:val="17"/>
          <w:szCs w:val="17"/>
          <w:color w:val="auto"/>
        </w:rPr>
      </w:pPr>
    </w:p>
    <w:p>
      <w:pPr>
        <w:ind w:left="960" w:right="58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960" w:right="8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17" w:lineRule="exact"/>
        <w:rPr>
          <w:rFonts w:ascii="Arial" w:cs="Arial" w:eastAsia="Arial" w:hAnsi="Arial"/>
          <w:sz w:val="18"/>
          <w:szCs w:val="18"/>
          <w:color w:val="auto"/>
        </w:rPr>
      </w:pPr>
    </w:p>
    <w:p>
      <w:pPr>
        <w:ind w:left="960" w:right="340" w:hanging="480"/>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firstLine="478"/>
        <w:spacing w:after="0" w:line="301" w:lineRule="auto"/>
        <w:rPr>
          <w:sz w:val="20"/>
          <w:szCs w:val="20"/>
          <w:color w:val="auto"/>
        </w:rPr>
      </w:pPr>
      <w:r>
        <w:rPr>
          <w:rFonts w:ascii="Arial" w:cs="Arial" w:eastAsia="Arial" w:hAnsi="Arial"/>
          <w:sz w:val="16"/>
          <w:szCs w:val="16"/>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PRT811 or PRT1419, vary adversely from our expectations.</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Drug development involves a lengthy and expensive process, and clinical testing is uncertain as to the outcome.</w:t>
      </w:r>
    </w:p>
    <w:p>
      <w:pPr>
        <w:spacing w:after="0" w:line="117" w:lineRule="exact"/>
        <w:rPr>
          <w:sz w:val="20"/>
          <w:szCs w:val="20"/>
          <w:color w:val="auto"/>
        </w:rPr>
      </w:pPr>
    </w:p>
    <w:p>
      <w:pPr>
        <w:ind w:right="160" w:firstLine="478"/>
        <w:spacing w:after="0" w:line="255" w:lineRule="auto"/>
        <w:rPr>
          <w:sz w:val="20"/>
          <w:szCs w:val="20"/>
          <w:color w:val="auto"/>
        </w:rPr>
      </w:pPr>
      <w:r>
        <w:rPr>
          <w:rFonts w:ascii="Arial" w:cs="Arial" w:eastAsia="Arial" w:hAnsi="Arial"/>
          <w:sz w:val="18"/>
          <w:szCs w:val="18"/>
          <w:color w:val="auto"/>
        </w:rPr>
        <w:t>We currently have two product candidates in Phase 1 clinical development, one product candidate preparing to enter into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92" w:lineRule="exact"/>
        <w:rPr>
          <w:sz w:val="20"/>
          <w:szCs w:val="20"/>
          <w:color w:val="auto"/>
        </w:rPr>
      </w:pPr>
    </w:p>
    <w:p>
      <w:pPr>
        <w:ind w:right="20" w:firstLine="478"/>
        <w:spacing w:after="0" w:line="268" w:lineRule="auto"/>
        <w:rPr>
          <w:sz w:val="20"/>
          <w:szCs w:val="20"/>
          <w:color w:val="auto"/>
        </w:rPr>
      </w:pPr>
      <w:r>
        <w:rPr>
          <w:rFonts w:ascii="Arial" w:cs="Arial" w:eastAsia="Arial" w:hAnsi="Arial"/>
          <w:sz w:val="17"/>
          <w:szCs w:val="17"/>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w:t>
      </w:r>
    </w:p>
    <w:p>
      <w:pPr>
        <w:spacing w:after="0" w:line="294"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and/or commercialization of PRT543, PRT811, PRT1419 or our other product candidates.</w:t>
      </w:r>
    </w:p>
    <w:p>
      <w:pPr>
        <w:spacing w:after="0" w:line="62" w:lineRule="exact"/>
        <w:rPr>
          <w:sz w:val="20"/>
          <w:szCs w:val="20"/>
          <w:color w:val="auto"/>
        </w:rPr>
      </w:pPr>
    </w:p>
    <w:p>
      <w:pPr>
        <w:ind w:right="200" w:firstLine="478"/>
        <w:spacing w:after="0" w:line="263" w:lineRule="auto"/>
        <w:rPr>
          <w:sz w:val="20"/>
          <w:szCs w:val="20"/>
          <w:color w:val="auto"/>
        </w:rPr>
      </w:pPr>
      <w:r>
        <w:rPr>
          <w:rFonts w:ascii="Arial" w:cs="Arial" w:eastAsia="Arial" w:hAnsi="Arial"/>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84" w:lineRule="exact"/>
        <w:rPr>
          <w:sz w:val="20"/>
          <w:szCs w:val="20"/>
          <w:color w:val="auto"/>
        </w:rPr>
      </w:pPr>
    </w:p>
    <w:p>
      <w:pPr>
        <w:ind w:right="240" w:firstLine="478"/>
        <w:spacing w:after="0" w:line="277" w:lineRule="auto"/>
        <w:rPr>
          <w:sz w:val="20"/>
          <w:szCs w:val="20"/>
          <w:color w:val="auto"/>
        </w:rPr>
      </w:pPr>
      <w:r>
        <w:rPr>
          <w:rFonts w:ascii="Arial" w:cs="Arial" w:eastAsia="Arial" w:hAnsi="Arial"/>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70" w:lineRule="exact"/>
        <w:rPr>
          <w:sz w:val="20"/>
          <w:szCs w:val="20"/>
          <w:color w:val="auto"/>
        </w:rPr>
      </w:pPr>
    </w:p>
    <w:p>
      <w:pPr>
        <w:ind w:right="140" w:firstLine="478"/>
        <w:spacing w:after="0" w:line="263" w:lineRule="auto"/>
        <w:rPr>
          <w:sz w:val="20"/>
          <w:szCs w:val="20"/>
          <w:color w:val="auto"/>
        </w:rPr>
      </w:pPr>
      <w:r>
        <w:rPr>
          <w:rFonts w:ascii="Arial" w:cs="Arial" w:eastAsia="Arial" w:hAnsi="Arial"/>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76" w:lineRule="exact"/>
        <w:rPr>
          <w:sz w:val="20"/>
          <w:szCs w:val="20"/>
          <w:color w:val="auto"/>
        </w:rPr>
      </w:pPr>
    </w:p>
    <w:p>
      <w:pPr>
        <w:ind w:left="960" w:right="56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 or with our recommended Phase 2 doses for any of our pipeline programs;</w:t>
      </w:r>
    </w:p>
    <w:p>
      <w:pPr>
        <w:spacing w:after="0" w:line="62" w:lineRule="exact"/>
        <w:rPr>
          <w:rFonts w:ascii="Arial" w:cs="Arial" w:eastAsia="Arial" w:hAnsi="Arial"/>
          <w:sz w:val="18"/>
          <w:szCs w:val="18"/>
          <w:color w:val="auto"/>
        </w:rPr>
      </w:pPr>
    </w:p>
    <w:p>
      <w:pPr>
        <w:ind w:left="960" w:right="74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62" w:lineRule="exact"/>
        <w:rPr>
          <w:rFonts w:ascii="Arial" w:cs="Arial" w:eastAsia="Arial" w:hAnsi="Arial"/>
          <w:sz w:val="18"/>
          <w:szCs w:val="18"/>
          <w:color w:val="auto"/>
        </w:rPr>
      </w:pPr>
    </w:p>
    <w:p>
      <w:pPr>
        <w:ind w:left="960" w:right="30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960" w:hanging="480"/>
        <w:spacing w:after="0" w:line="25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8" w:lineRule="exact"/>
        <w:rPr>
          <w:rFonts w:ascii="Arial" w:cs="Arial" w:eastAsia="Arial" w:hAnsi="Arial"/>
          <w:sz w:val="18"/>
          <w:szCs w:val="18"/>
          <w:color w:val="auto"/>
        </w:rPr>
      </w:pPr>
    </w:p>
    <w:p>
      <w:pPr>
        <w:ind w:left="960" w:right="46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for clinical trial participants from investigational and approved therapies may make it more difficult to enroll patients in our clinical trials;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difficulties in maintaining contact with patients after treatment, resulting in incomplete data;</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or third-party collaborators may fail to obtain regulatory approval of companion diagnostic tests, if required, on a timely basis, or at all;</w:t>
      </w:r>
    </w:p>
    <w:p>
      <w:pPr>
        <w:spacing w:after="0" w:line="140" w:lineRule="exact"/>
        <w:rPr>
          <w:rFonts w:ascii="Arial" w:cs="Arial" w:eastAsia="Arial" w:hAnsi="Arial"/>
          <w:sz w:val="16"/>
          <w:szCs w:val="16"/>
          <w:color w:val="auto"/>
        </w:rPr>
      </w:pPr>
    </w:p>
    <w:p>
      <w:pPr>
        <w:ind w:left="960" w:right="66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62" w:lineRule="exact"/>
        <w:rPr>
          <w:rFonts w:ascii="Arial" w:cs="Arial" w:eastAsia="Arial" w:hAnsi="Arial"/>
          <w:sz w:val="18"/>
          <w:szCs w:val="18"/>
          <w:color w:val="auto"/>
        </w:rPr>
      </w:pPr>
    </w:p>
    <w:p>
      <w:pPr>
        <w:ind w:left="960" w:right="44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62"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have undesirable or unexpected side effects or other unexpected characteristics, causing us or our investigators, regulators or IRBs/ECs to suspend or terminate the trials;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for our product candidates may be greater than we anticipate;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17" w:lineRule="exact"/>
        <w:rPr>
          <w:rFonts w:ascii="Arial" w:cs="Arial" w:eastAsia="Arial" w:hAnsi="Arial"/>
          <w:sz w:val="18"/>
          <w:szCs w:val="18"/>
          <w:color w:val="auto"/>
        </w:rPr>
      </w:pPr>
    </w:p>
    <w:p>
      <w:pPr>
        <w:ind w:left="960" w:right="56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62" w:lineRule="exact"/>
        <w:rPr>
          <w:rFonts w:ascii="Arial" w:cs="Arial" w:eastAsia="Arial" w:hAnsi="Arial"/>
          <w:sz w:val="18"/>
          <w:szCs w:val="18"/>
          <w:color w:val="auto"/>
        </w:rPr>
      </w:pPr>
    </w:p>
    <w:p>
      <w:pPr>
        <w:ind w:left="960" w:right="40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70" w:lineRule="exact"/>
        <w:rPr>
          <w:sz w:val="20"/>
          <w:szCs w:val="20"/>
          <w:color w:val="auto"/>
        </w:rPr>
      </w:pPr>
    </w:p>
    <w:p>
      <w:pPr>
        <w:ind w:firstLine="478"/>
        <w:spacing w:after="0" w:line="275" w:lineRule="auto"/>
        <w:rPr>
          <w:sz w:val="20"/>
          <w:szCs w:val="20"/>
          <w:color w:val="auto"/>
        </w:rPr>
      </w:pPr>
      <w:r>
        <w:rPr>
          <w:rFonts w:ascii="Arial" w:cs="Arial" w:eastAsia="Arial" w:hAnsi="Arial"/>
          <w:sz w:val="17"/>
          <w:szCs w:val="17"/>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76" w:lineRule="exact"/>
        <w:rPr>
          <w:sz w:val="20"/>
          <w:szCs w:val="20"/>
          <w:color w:val="auto"/>
        </w:rPr>
      </w:pPr>
    </w:p>
    <w:p>
      <w:pPr>
        <w:jc w:val="both"/>
        <w:ind w:right="340" w:firstLine="478"/>
        <w:spacing w:after="0" w:line="26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2" w:lineRule="exact"/>
        <w:rPr>
          <w:sz w:val="20"/>
          <w:szCs w:val="20"/>
          <w:color w:val="auto"/>
        </w:rPr>
      </w:pPr>
    </w:p>
    <w:p>
      <w:pPr>
        <w:ind w:left="480" w:right="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62" w:lineRule="exact"/>
        <w:rPr>
          <w:sz w:val="20"/>
          <w:szCs w:val="20"/>
          <w:color w:val="auto"/>
        </w:rPr>
      </w:pPr>
    </w:p>
    <w:p>
      <w:pPr>
        <w:ind w:right="60" w:firstLine="478"/>
        <w:spacing w:after="0" w:line="254" w:lineRule="auto"/>
        <w:rPr>
          <w:sz w:val="20"/>
          <w:szCs w:val="20"/>
          <w:color w:val="auto"/>
        </w:rPr>
      </w:pPr>
      <w:r>
        <w:rPr>
          <w:rFonts w:ascii="Arial" w:cs="Arial" w:eastAsia="Arial" w:hAnsi="Arial"/>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87" w:lineRule="exact"/>
        <w:rPr>
          <w:sz w:val="20"/>
          <w:szCs w:val="20"/>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17"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left="960" w:hanging="480"/>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ind w:right="200" w:firstLine="478"/>
        <w:spacing w:after="0" w:line="286"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firstLine="478"/>
        <w:spacing w:after="0" w:line="308"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38" w:lineRule="exact"/>
        <w:rPr>
          <w:sz w:val="20"/>
          <w:szCs w:val="20"/>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17" w:lineRule="exact"/>
        <w:rPr>
          <w:rFonts w:ascii="Arial" w:cs="Arial" w:eastAsia="Arial" w:hAnsi="Arial"/>
          <w:sz w:val="18"/>
          <w:szCs w:val="18"/>
          <w:color w:val="auto"/>
        </w:rPr>
      </w:pPr>
    </w:p>
    <w:p>
      <w:pPr>
        <w:ind w:left="960" w:right="460" w:hanging="480"/>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960" w:right="280" w:hanging="480"/>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75" w:lineRule="exact"/>
        <w:rPr>
          <w:rFonts w:ascii="Arial" w:cs="Arial" w:eastAsia="Arial" w:hAnsi="Arial"/>
          <w:sz w:val="18"/>
          <w:szCs w:val="18"/>
          <w:color w:val="auto"/>
        </w:rPr>
      </w:pPr>
    </w:p>
    <w:p>
      <w:pPr>
        <w:ind w:left="960" w:right="300" w:hanging="480"/>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raw material supply or manufacturing capabilities domestically and abroad;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rFonts w:ascii="Arial" w:cs="Arial" w:eastAsia="Arial" w:hAnsi="Arial"/>
          <w:sz w:val="18"/>
          <w:szCs w:val="18"/>
          <w:color w:val="auto"/>
        </w:rPr>
      </w:pPr>
    </w:p>
    <w:p>
      <w:pPr>
        <w:ind w:left="960" w:right="140" w:hanging="480"/>
        <w:spacing w:after="0" w:line="308"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our clinical trials are conducted, which may result in unexpected costs, delays, or to discontinue the clinical trials altogether;</w:t>
      </w:r>
    </w:p>
    <w:p>
      <w:pPr>
        <w:spacing w:after="0" w:line="38" w:lineRule="exact"/>
        <w:rPr>
          <w:rFonts w:ascii="Arial" w:cs="Arial" w:eastAsia="Arial" w:hAnsi="Arial"/>
          <w:sz w:val="17"/>
          <w:szCs w:val="17"/>
          <w:color w:val="auto"/>
        </w:rPr>
      </w:pPr>
    </w:p>
    <w:p>
      <w:pPr>
        <w:ind w:left="960" w:right="300" w:hanging="480"/>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ind w:left="960" w:right="780" w:hanging="480"/>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regulatory authorities such as FDA or European Medicines Agency, or EMA, to accept data from clinical trials in affected geographies; and</w:t>
      </w:r>
    </w:p>
    <w:p>
      <w:pPr>
        <w:spacing w:after="0" w:line="62" w:lineRule="exact"/>
        <w:rPr>
          <w:rFonts w:ascii="Arial" w:cs="Arial" w:eastAsia="Arial" w:hAnsi="Arial"/>
          <w:sz w:val="18"/>
          <w:szCs w:val="18"/>
          <w:color w:val="auto"/>
        </w:rPr>
      </w:pPr>
    </w:p>
    <w:p>
      <w:pPr>
        <w:ind w:left="960" w:right="660" w:hanging="480"/>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right="40" w:firstLine="478"/>
        <w:spacing w:after="0" w:line="286"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COVID-19 on our studies and current timelines. Measures we have taken in response to COVID-19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79" w:lineRule="exact"/>
        <w:rPr>
          <w:sz w:val="20"/>
          <w:szCs w:val="20"/>
          <w:color w:val="auto"/>
        </w:rPr>
      </w:pPr>
    </w:p>
    <w:p>
      <w:pPr>
        <w:ind w:left="480"/>
        <w:spacing w:after="0" w:line="28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PRT543, PRT811, PRT1419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57" w:lineRule="exact"/>
        <w:rPr>
          <w:sz w:val="20"/>
          <w:szCs w:val="20"/>
          <w:color w:val="auto"/>
        </w:rPr>
      </w:pPr>
    </w:p>
    <w:p>
      <w:pPr>
        <w:ind w:right="100" w:firstLine="478"/>
        <w:spacing w:after="0" w:line="255"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192"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88" w:lineRule="exact"/>
        <w:rPr>
          <w:sz w:val="20"/>
          <w:szCs w:val="20"/>
          <w:color w:val="auto"/>
        </w:rPr>
      </w:pPr>
    </w:p>
    <w:p>
      <w:pPr>
        <w:ind w:right="180" w:firstLine="478"/>
        <w:spacing w:after="0" w:line="300" w:lineRule="auto"/>
        <w:rPr>
          <w:sz w:val="20"/>
          <w:szCs w:val="20"/>
          <w:color w:val="auto"/>
        </w:rPr>
      </w:pPr>
      <w:r>
        <w:rPr>
          <w:rFonts w:ascii="Arial" w:cs="Arial" w:eastAsia="Arial" w:hAnsi="Arial"/>
          <w:sz w:val="16"/>
          <w:szCs w:val="16"/>
          <w:color w:val="auto"/>
        </w:rPr>
        <w:t>Additionally, due to the high mortality rates of the cancers for which we are initially pursuing development and the pretreated nature of many patients in our ongoing and planned clinical trials of PRT543, PRT811 and PRT1419, a material percentage of patients in these clinical trials may die during a trial, which could impact development of PRT543, PRT811 and PRT1419,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159" w:lineRule="exact"/>
        <w:rPr>
          <w:sz w:val="20"/>
          <w:szCs w:val="20"/>
          <w:color w:val="auto"/>
        </w:rPr>
      </w:pPr>
    </w:p>
    <w:p>
      <w:pPr>
        <w:ind w:right="80" w:firstLine="478"/>
        <w:spacing w:after="0" w:line="291" w:lineRule="auto"/>
        <w:rPr>
          <w:sz w:val="20"/>
          <w:szCs w:val="20"/>
          <w:color w:val="auto"/>
        </w:rPr>
      </w:pPr>
      <w:r>
        <w:rPr>
          <w:rFonts w:ascii="Arial" w:cs="Arial" w:eastAsia="Arial" w:hAnsi="Arial"/>
          <w:sz w:val="16"/>
          <w:szCs w:val="16"/>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80" w:firstLine="478"/>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8" w:lineRule="exact"/>
        <w:rPr>
          <w:sz w:val="20"/>
          <w:szCs w:val="20"/>
          <w:color w:val="auto"/>
        </w:rPr>
      </w:pPr>
    </w:p>
    <w:p>
      <w:pPr>
        <w:ind w:right="80" w:firstLine="478"/>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2" w:lineRule="exact"/>
        <w:rPr>
          <w:sz w:val="20"/>
          <w:szCs w:val="20"/>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17" w:lineRule="exact"/>
        <w:rPr>
          <w:rFonts w:ascii="Arial" w:cs="Arial" w:eastAsia="Arial" w:hAnsi="Arial"/>
          <w:sz w:val="18"/>
          <w:szCs w:val="18"/>
          <w:color w:val="auto"/>
        </w:rPr>
      </w:pPr>
    </w:p>
    <w:p>
      <w:pPr>
        <w:ind w:left="960" w:right="180" w:hanging="480"/>
        <w:spacing w:after="0" w:line="342"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960" w:right="34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firstLine="47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78" w:lineRule="exact"/>
        <w:rPr>
          <w:sz w:val="20"/>
          <w:szCs w:val="20"/>
          <w:color w:val="auto"/>
        </w:rPr>
      </w:pPr>
    </w:p>
    <w:p>
      <w:pPr>
        <w:ind w:left="480" w:right="280"/>
        <w:spacing w:after="0" w:line="34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jc w:val="both"/>
        <w:ind w:firstLine="484"/>
        <w:spacing w:after="0" w:line="287"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w:t>
      </w:r>
    </w:p>
    <w:p>
      <w:pPr>
        <w:spacing w:after="0" w:line="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86" w:lineRule="exact"/>
        <w:rPr>
          <w:sz w:val="20"/>
          <w:szCs w:val="20"/>
          <w:color w:val="auto"/>
        </w:rPr>
      </w:pPr>
    </w:p>
    <w:p>
      <w:pPr>
        <w:ind w:firstLine="484"/>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or PRT1419, or any other product candidates may be harmed, which could harm our business, financial condition, results of operations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left="480" w:right="4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40" w:firstLine="478"/>
        <w:spacing w:after="0" w:line="291"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not be successful in our efforts to design additional potential product candidates.</w:t>
      </w:r>
    </w:p>
    <w:p>
      <w:pPr>
        <w:spacing w:after="0" w:line="117" w:lineRule="exact"/>
        <w:rPr>
          <w:sz w:val="20"/>
          <w:szCs w:val="20"/>
          <w:color w:val="auto"/>
        </w:rPr>
      </w:pPr>
    </w:p>
    <w:p>
      <w:pPr>
        <w:ind w:right="20" w:firstLine="478"/>
        <w:spacing w:after="0" w:line="296" w:lineRule="auto"/>
        <w:rPr>
          <w:sz w:val="20"/>
          <w:szCs w:val="20"/>
          <w:color w:val="auto"/>
        </w:rPr>
      </w:pPr>
      <w:r>
        <w:rPr>
          <w:rFonts w:ascii="Arial" w:cs="Arial" w:eastAsia="Arial" w:hAnsi="Arial"/>
          <w:sz w:val="16"/>
          <w:szCs w:val="16"/>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53" w:lineRule="exact"/>
        <w:rPr>
          <w:sz w:val="20"/>
          <w:szCs w:val="20"/>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target selection methodology used may not be successful in identifying potential product candidates;</w:t>
      </w:r>
    </w:p>
    <w:p>
      <w:pPr>
        <w:spacing w:after="0" w:line="117" w:lineRule="exact"/>
        <w:rPr>
          <w:rFonts w:ascii="Arial" w:cs="Arial" w:eastAsia="Arial" w:hAnsi="Arial"/>
          <w:sz w:val="18"/>
          <w:szCs w:val="18"/>
          <w:color w:val="auto"/>
        </w:rPr>
      </w:pPr>
    </w:p>
    <w:p>
      <w:pPr>
        <w:ind w:left="960" w:right="280" w:hanging="480"/>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225"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480" w:right="460"/>
        <w:spacing w:after="0" w:line="308" w:lineRule="auto"/>
        <w:rPr>
          <w:sz w:val="20"/>
          <w:szCs w:val="20"/>
          <w:color w:val="auto"/>
        </w:rPr>
      </w:pPr>
      <w:r>
        <w:rPr>
          <w:rFonts w:ascii="Arial" w:cs="Arial" w:eastAsia="Arial" w:hAnsi="Arial"/>
          <w:sz w:val="17"/>
          <w:szCs w:val="17"/>
          <w:b w:val="1"/>
          <w:bCs w:val="1"/>
          <w:i w:val="1"/>
          <w:iCs w:val="1"/>
          <w:color w:val="auto"/>
        </w:rPr>
        <w:t>The development and commercialization of pharmaceutical products are subject to extensive regulation, and we may not obtain regulatory approvals for PRT543, PRT811, PRT1419 or any other product candidates, on a timely basis or at all.</w:t>
      </w:r>
    </w:p>
    <w:p>
      <w:pPr>
        <w:spacing w:after="0" w:line="38" w:lineRule="exact"/>
        <w:rPr>
          <w:sz w:val="20"/>
          <w:szCs w:val="20"/>
          <w:color w:val="auto"/>
        </w:rPr>
      </w:pPr>
    </w:p>
    <w:p>
      <w:pPr>
        <w:ind w:right="80" w:firstLine="478"/>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and PRT1419,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right="20" w:firstLine="478"/>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7" w:lineRule="exact"/>
        <w:rPr>
          <w:sz w:val="20"/>
          <w:szCs w:val="20"/>
          <w:color w:val="auto"/>
        </w:rPr>
      </w:pPr>
    </w:p>
    <w:p>
      <w:pPr>
        <w:ind w:firstLine="478"/>
        <w:spacing w:after="0" w:line="274" w:lineRule="auto"/>
        <w:rPr>
          <w:sz w:val="20"/>
          <w:szCs w:val="20"/>
          <w:color w:val="auto"/>
        </w:rPr>
      </w:pPr>
      <w:r>
        <w:rPr>
          <w:rFonts w:ascii="Arial" w:cs="Arial" w:eastAsia="Arial" w:hAnsi="Arial"/>
          <w:sz w:val="17"/>
          <w:szCs w:val="17"/>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 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or any other product candidate may not be predictive of the results of our later-stage clinical trials.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4" w:name="page35"/>
    <w:bookmarkEnd w:id="34"/>
    <w:p>
      <w:pPr>
        <w:ind w:right="20" w:firstLine="478"/>
        <w:spacing w:after="0" w:line="273"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17" w:lineRule="exact"/>
        <w:rPr>
          <w:rFonts w:ascii="Arial" w:cs="Arial" w:eastAsia="Arial" w:hAnsi="Arial"/>
          <w:sz w:val="18"/>
          <w:szCs w:val="18"/>
          <w:color w:val="auto"/>
        </w:rPr>
      </w:pPr>
    </w:p>
    <w:p>
      <w:pPr>
        <w:ind w:left="960" w:right="10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that the objective response rate, or ORR, and duration of response are not clinically meaningful;</w:t>
      </w:r>
    </w:p>
    <w:p>
      <w:pPr>
        <w:spacing w:after="0" w:line="117" w:lineRule="exact"/>
        <w:rPr>
          <w:rFonts w:ascii="Arial" w:cs="Arial" w:eastAsia="Arial" w:hAnsi="Arial"/>
          <w:sz w:val="18"/>
          <w:szCs w:val="18"/>
          <w:color w:val="auto"/>
        </w:rPr>
      </w:pPr>
    </w:p>
    <w:p>
      <w:pPr>
        <w:ind w:left="960" w:right="260" w:hanging="480"/>
        <w:spacing w:after="0" w:line="342"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17"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determine that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960" w:right="48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17" w:lineRule="exact"/>
        <w:rPr>
          <w:rFonts w:ascii="Arial" w:cs="Arial" w:eastAsia="Arial" w:hAnsi="Arial"/>
          <w:sz w:val="18"/>
          <w:szCs w:val="18"/>
          <w:color w:val="auto"/>
        </w:rPr>
      </w:pPr>
    </w:p>
    <w:p>
      <w:pPr>
        <w:ind w:left="960" w:right="16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25" w:lineRule="exact"/>
        <w:rPr>
          <w:sz w:val="20"/>
          <w:szCs w:val="20"/>
          <w:color w:val="auto"/>
        </w:rPr>
      </w:pPr>
    </w:p>
    <w:p>
      <w:pPr>
        <w:ind w:right="120" w:firstLine="478"/>
        <w:spacing w:after="0" w:line="277"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right="320" w:firstLine="478"/>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PRT543, PRT811 or PRT1419, our commercial prospects will be harmed and our ability to generate revenues will be materially impaired which would adversely affect our business, prospects, financial condition and results of operations.</w:t>
      </w:r>
    </w:p>
    <w:p>
      <w:pPr>
        <w:spacing w:after="0" w:line="292" w:lineRule="exact"/>
        <w:rPr>
          <w:sz w:val="20"/>
          <w:szCs w:val="20"/>
          <w:color w:val="auto"/>
        </w:rPr>
      </w:pPr>
    </w:p>
    <w:p>
      <w:pPr>
        <w:ind w:left="480" w:right="8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right="180" w:firstLine="478"/>
        <w:spacing w:after="0" w:line="273" w:lineRule="auto"/>
        <w:rPr>
          <w:sz w:val="20"/>
          <w:szCs w:val="20"/>
          <w:color w:val="auto"/>
        </w:rPr>
      </w:pPr>
      <w:r>
        <w:rPr>
          <w:rFonts w:ascii="Arial" w:cs="Arial" w:eastAsia="Arial" w:hAnsi="Arial"/>
          <w:sz w:val="17"/>
          <w:szCs w:val="17"/>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78" w:lineRule="exact"/>
        <w:rPr>
          <w:sz w:val="20"/>
          <w:szCs w:val="20"/>
          <w:color w:val="auto"/>
        </w:rPr>
      </w:pPr>
    </w:p>
    <w:p>
      <w:pPr>
        <w:ind w:firstLine="478"/>
        <w:spacing w:after="0" w:line="293" w:lineRule="auto"/>
        <w:rPr>
          <w:sz w:val="20"/>
          <w:szCs w:val="20"/>
          <w:color w:val="auto"/>
        </w:rPr>
      </w:pPr>
      <w:r>
        <w:rPr>
          <w:rFonts w:ascii="Arial" w:cs="Arial" w:eastAsia="Arial" w:hAnsi="Arial"/>
          <w:sz w:val="16"/>
          <w:szCs w:val="16"/>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designated,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end and accelerated approval of our product candidate would be more difficult or may not occur. Moreover, the FDA may withdraw approval of our product candidate approved under the accelerated approval pathway if, for example:</w:t>
      </w:r>
    </w:p>
    <w:p>
      <w:pPr>
        <w:spacing w:after="0" w:line="56" w:lineRule="exact"/>
        <w:rPr>
          <w:sz w:val="20"/>
          <w:szCs w:val="20"/>
          <w:color w:val="auto"/>
        </w:rPr>
      </w:pPr>
    </w:p>
    <w:p>
      <w:pPr>
        <w:ind w:left="960" w:right="44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333" w:lineRule="exact"/>
        <w:rPr>
          <w:sz w:val="20"/>
          <w:szCs w:val="20"/>
          <w:color w:val="auto"/>
        </w:rPr>
      </w:pPr>
    </w:p>
    <w:p>
      <w:pPr>
        <w:ind w:left="480"/>
        <w:spacing w:after="0" w:line="375" w:lineRule="auto"/>
        <w:rPr>
          <w:sz w:val="20"/>
          <w:szCs w:val="20"/>
          <w:color w:val="auto"/>
        </w:rPr>
      </w:pPr>
      <w:r>
        <w:rPr>
          <w:rFonts w:ascii="Arial" w:cs="Arial" w:eastAsia="Arial" w:hAnsi="Arial"/>
          <w:sz w:val="15"/>
          <w:szCs w:val="15"/>
          <w:b w:val="1"/>
          <w:bCs w:val="1"/>
          <w:i w:val="1"/>
          <w:iCs w:val="1"/>
          <w:color w:val="auto"/>
        </w:rPr>
        <w:t>Our failure to obtain marketing approval in foreign jurisdictions would prevent our product candidates from being marketed abroad, and any approval we are granted for our product candidates in the United States would not assure approval of product candidates in foreign jurisdictions.</w:t>
      </w:r>
    </w:p>
    <w:p>
      <w:pPr>
        <w:spacing w:after="0" w:line="1" w:lineRule="exact"/>
        <w:rPr>
          <w:sz w:val="20"/>
          <w:szCs w:val="20"/>
          <w:color w:val="auto"/>
        </w:rPr>
      </w:pPr>
    </w:p>
    <w:p>
      <w:pPr>
        <w:ind w:right="40" w:firstLine="478"/>
        <w:spacing w:after="0" w:line="290" w:lineRule="auto"/>
        <w:rPr>
          <w:sz w:val="20"/>
          <w:szCs w:val="20"/>
          <w:color w:val="auto"/>
        </w:rPr>
      </w:pPr>
      <w:r>
        <w:rPr>
          <w:rFonts w:ascii="Arial" w:cs="Arial" w:eastAsia="Arial" w:hAnsi="Arial"/>
          <w:sz w:val="16"/>
          <w:szCs w:val="16"/>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17" w:lineRule="exact"/>
        <w:rPr>
          <w:sz w:val="20"/>
          <w:szCs w:val="20"/>
          <w:color w:val="auto"/>
        </w:rPr>
      </w:pPr>
    </w:p>
    <w:p>
      <w:pPr>
        <w:ind w:right="300" w:firstLine="484"/>
        <w:spacing w:after="0" w:line="265"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0" w:lineRule="exact"/>
        <w:rPr>
          <w:sz w:val="20"/>
          <w:szCs w:val="20"/>
          <w:color w:val="auto"/>
        </w:rPr>
      </w:pPr>
    </w:p>
    <w:p>
      <w:pPr>
        <w:ind w:right="60" w:firstLine="484"/>
        <w:spacing w:after="0" w:line="291"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66" w:lineRule="exact"/>
        <w:rPr>
          <w:sz w:val="20"/>
          <w:szCs w:val="20"/>
          <w:color w:val="auto"/>
        </w:rPr>
      </w:pPr>
    </w:p>
    <w:p>
      <w:pPr>
        <w:ind w:right="40" w:firstLine="484"/>
        <w:spacing w:after="0" w:line="269" w:lineRule="auto"/>
        <w:rPr>
          <w:sz w:val="20"/>
          <w:szCs w:val="20"/>
          <w:color w:val="auto"/>
        </w:rPr>
      </w:pPr>
      <w:r>
        <w:rPr>
          <w:rFonts w:ascii="Arial" w:cs="Arial" w:eastAsia="Arial" w:hAnsi="Arial"/>
          <w:sz w:val="17"/>
          <w:szCs w:val="17"/>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93" w:lineRule="exact"/>
        <w:rPr>
          <w:sz w:val="20"/>
          <w:szCs w:val="20"/>
          <w:color w:val="auto"/>
        </w:rPr>
      </w:pPr>
    </w:p>
    <w:p>
      <w:pPr>
        <w:ind w:left="480" w:right="240"/>
        <w:spacing w:after="0" w:line="375" w:lineRule="auto"/>
        <w:rPr>
          <w:sz w:val="20"/>
          <w:szCs w:val="20"/>
          <w:color w:val="auto"/>
        </w:rPr>
      </w:pPr>
      <w:r>
        <w:rPr>
          <w:rFonts w:ascii="Arial" w:cs="Arial" w:eastAsia="Arial" w:hAnsi="Arial"/>
          <w:sz w:val="15"/>
          <w:szCs w:val="15"/>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1" w:lineRule="exact"/>
        <w:rPr>
          <w:sz w:val="20"/>
          <w:szCs w:val="20"/>
          <w:color w:val="auto"/>
        </w:rPr>
      </w:pPr>
    </w:p>
    <w:p>
      <w:pPr>
        <w:ind w:right="60" w:firstLine="478"/>
        <w:spacing w:after="0" w:line="272"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80" w:firstLine="478"/>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86" w:lineRule="exact"/>
        <w:rPr>
          <w:sz w:val="20"/>
          <w:szCs w:val="20"/>
          <w:color w:val="auto"/>
        </w:rPr>
      </w:pPr>
    </w:p>
    <w:p>
      <w:pPr>
        <w:ind w:left="480" w:right="10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right="160" w:firstLine="478"/>
        <w:spacing w:after="0" w:line="25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187" w:lineRule="exact"/>
        <w:rPr>
          <w:sz w:val="20"/>
          <w:szCs w:val="20"/>
          <w:color w:val="auto"/>
        </w:rPr>
      </w:pPr>
    </w:p>
    <w:p>
      <w:pPr>
        <w:ind w:right="80" w:firstLine="478"/>
        <w:spacing w:after="0" w:line="296"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all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1"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7" w:lineRule="exact"/>
        <w:rPr>
          <w:sz w:val="20"/>
          <w:szCs w:val="20"/>
          <w:color w:val="auto"/>
        </w:rPr>
      </w:pPr>
    </w:p>
    <w:p>
      <w:pPr>
        <w:ind w:right="40" w:firstLine="478"/>
        <w:spacing w:after="0" w:line="268" w:lineRule="auto"/>
        <w:rPr>
          <w:sz w:val="20"/>
          <w:szCs w:val="20"/>
          <w:color w:val="auto"/>
        </w:rPr>
      </w:pPr>
      <w:r>
        <w:rPr>
          <w:rFonts w:ascii="Arial" w:cs="Arial" w:eastAsia="Arial" w:hAnsi="Arial"/>
          <w:sz w:val="17"/>
          <w:szCs w:val="17"/>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right="20" w:firstLine="478"/>
        <w:spacing w:after="0" w:line="280"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left="480" w:right="22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right="80" w:firstLine="478"/>
        <w:spacing w:after="0" w:line="279" w:lineRule="auto"/>
        <w:rPr>
          <w:sz w:val="20"/>
          <w:szCs w:val="20"/>
          <w:color w:val="auto"/>
        </w:rPr>
      </w:pPr>
      <w:r>
        <w:rPr>
          <w:rFonts w:ascii="Arial" w:cs="Arial" w:eastAsia="Arial" w:hAnsi="Arial"/>
          <w:sz w:val="17"/>
          <w:szCs w:val="17"/>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71" w:lineRule="exact"/>
        <w:rPr>
          <w:sz w:val="20"/>
          <w:szCs w:val="20"/>
          <w:color w:val="auto"/>
        </w:rPr>
      </w:pPr>
    </w:p>
    <w:p>
      <w:pPr>
        <w:ind w:right="120" w:firstLine="478"/>
        <w:spacing w:after="0" w:line="263" w:lineRule="auto"/>
        <w:rPr>
          <w:sz w:val="20"/>
          <w:szCs w:val="20"/>
          <w:color w:val="auto"/>
        </w:rPr>
      </w:pPr>
      <w:r>
        <w:rPr>
          <w:rFonts w:ascii="Arial" w:cs="Arial" w:eastAsia="Arial" w:hAnsi="Arial"/>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84"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7"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In addition, manufacturers of approved products and those manufacturers’ facilities are required to ensure that quality control and manufacturing procedures conform to current good manufacturing practice,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57" w:lineRule="exact"/>
        <w:rPr>
          <w:sz w:val="20"/>
          <w:szCs w:val="20"/>
          <w:color w:val="auto"/>
        </w:rPr>
      </w:pPr>
    </w:p>
    <w:p>
      <w:pPr>
        <w:ind w:right="100" w:firstLine="478"/>
        <w:spacing w:after="0" w:line="275"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84" w:lineRule="exact"/>
        <w:rPr>
          <w:sz w:val="20"/>
          <w:szCs w:val="20"/>
          <w:color w:val="auto"/>
        </w:rPr>
      </w:pPr>
    </w:p>
    <w:p>
      <w:pPr>
        <w:ind w:left="480" w:right="180"/>
        <w:spacing w:after="0" w:line="340" w:lineRule="auto"/>
        <w:rPr>
          <w:sz w:val="20"/>
          <w:szCs w:val="20"/>
          <w:color w:val="auto"/>
        </w:rPr>
      </w:pPr>
      <w:r>
        <w:rPr>
          <w:rFonts w:ascii="Arial" w:cs="Arial" w:eastAsia="Arial" w:hAnsi="Arial"/>
          <w:sz w:val="15"/>
          <w:szCs w:val="15"/>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23" w:lineRule="exact"/>
        <w:rPr>
          <w:sz w:val="20"/>
          <w:szCs w:val="20"/>
          <w:color w:val="auto"/>
        </w:rPr>
      </w:pPr>
    </w:p>
    <w:p>
      <w:pPr>
        <w:ind w:right="260" w:firstLine="478"/>
        <w:spacing w:after="0" w:line="255"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92" w:lineRule="exact"/>
        <w:rPr>
          <w:sz w:val="20"/>
          <w:szCs w:val="20"/>
          <w:color w:val="auto"/>
        </w:rPr>
      </w:pPr>
    </w:p>
    <w:p>
      <w:pPr>
        <w:ind w:right="80" w:firstLine="478"/>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70" w:lineRule="exact"/>
        <w:rPr>
          <w:sz w:val="20"/>
          <w:szCs w:val="20"/>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700" w:firstLine="478"/>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54" w:lineRule="exact"/>
        <w:rPr>
          <w:sz w:val="20"/>
          <w:szCs w:val="20"/>
          <w:color w:val="auto"/>
        </w:rPr>
      </w:pPr>
    </w:p>
    <w:p>
      <w:pPr>
        <w:ind w:left="480" w:right="4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41" w:lineRule="exact"/>
        <w:rPr>
          <w:sz w:val="20"/>
          <w:szCs w:val="20"/>
          <w:color w:val="auto"/>
        </w:rPr>
      </w:pPr>
    </w:p>
    <w:p>
      <w:pPr>
        <w:ind w:right="120" w:firstLine="478"/>
        <w:spacing w:after="0" w:line="305"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46" w:lineRule="exact"/>
        <w:rPr>
          <w:sz w:val="20"/>
          <w:szCs w:val="20"/>
          <w:color w:val="auto"/>
        </w:rPr>
      </w:pPr>
    </w:p>
    <w:p>
      <w:pPr>
        <w:ind w:left="960" w:right="40" w:hanging="480"/>
        <w:spacing w:after="0" w:line="259"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960" w:hanging="480"/>
        <w:spacing w:after="0" w:line="301"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civil,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49" w:lineRule="exact"/>
        <w:rPr>
          <w:rFonts w:ascii="Arial" w:cs="Arial" w:eastAsia="Arial" w:hAnsi="Arial"/>
          <w:sz w:val="16"/>
          <w:szCs w:val="16"/>
          <w:color w:val="auto"/>
        </w:rPr>
      </w:pPr>
    </w:p>
    <w:p>
      <w:pPr>
        <w:ind w:left="960" w:right="180" w:hanging="480"/>
        <w:spacing w:after="0" w:line="25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9" w:lineRule="exact"/>
        <w:rPr>
          <w:rFonts w:ascii="Arial" w:cs="Arial" w:eastAsia="Arial" w:hAnsi="Arial"/>
          <w:sz w:val="18"/>
          <w:szCs w:val="18"/>
          <w:color w:val="auto"/>
        </w:rPr>
      </w:pPr>
    </w:p>
    <w:p>
      <w:pPr>
        <w:ind w:left="960" w:hanging="480"/>
        <w:spacing w:after="0" w:line="279"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such individually identifiable health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960" w:right="280" w:hanging="480"/>
        <w:spacing w:after="0" w:line="301" w:lineRule="auto"/>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report to the Centers for Medicare &amp; Medicaid Services, or CMS, information related to payments and other transfers of value provided to, and ownership and investment interests held by, physicians, as defined by such law, and their immediate family members; and</w:t>
      </w:r>
    </w:p>
    <w:p>
      <w:pPr>
        <w:spacing w:after="0" w:line="49" w:lineRule="exact"/>
        <w:rPr>
          <w:rFonts w:ascii="Arial" w:cs="Arial" w:eastAsia="Arial" w:hAnsi="Arial"/>
          <w:sz w:val="16"/>
          <w:szCs w:val="16"/>
          <w:color w:val="auto"/>
        </w:rPr>
      </w:pPr>
    </w:p>
    <w:p>
      <w:pPr>
        <w:ind w:left="960" w:hanging="480"/>
        <w:spacing w:after="0" w:line="290" w:lineRule="auto"/>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right="80" w:firstLine="478"/>
        <w:spacing w:after="0" w:line="292"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73" w:lineRule="exact"/>
        <w:rPr>
          <w:sz w:val="20"/>
          <w:szCs w:val="20"/>
          <w:color w:val="auto"/>
        </w:rPr>
      </w:pPr>
    </w:p>
    <w:p>
      <w:pPr>
        <w:ind w:left="480" w:right="5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right="100" w:firstLine="478"/>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4" w:lineRule="exact"/>
        <w:rPr>
          <w:sz w:val="20"/>
          <w:szCs w:val="20"/>
          <w:color w:val="auto"/>
        </w:rPr>
      </w:pPr>
    </w:p>
    <w:p>
      <w:pPr>
        <w:jc w:val="both"/>
        <w:ind w:right="300" w:firstLine="478"/>
        <w:spacing w:after="0" w:line="311" w:lineRule="auto"/>
        <w:rPr>
          <w:sz w:val="20"/>
          <w:szCs w:val="20"/>
          <w:color w:val="auto"/>
        </w:rPr>
      </w:pPr>
      <w:r>
        <w:rPr>
          <w:rFonts w:ascii="Arial" w:cs="Arial" w:eastAsia="Arial" w:hAnsi="Arial"/>
          <w:sz w:val="16"/>
          <w:szCs w:val="16"/>
          <w:color w:val="auto"/>
        </w:rPr>
        <w:t>For example, in March 2010, the former U.S. President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products;</w:t>
      </w:r>
    </w:p>
    <w:p>
      <w:pPr>
        <w:spacing w:after="0" w:line="128" w:lineRule="exact"/>
        <w:rPr>
          <w:rFonts w:ascii="Arial" w:cs="Arial" w:eastAsia="Arial" w:hAnsi="Arial"/>
          <w:sz w:val="17"/>
          <w:szCs w:val="17"/>
          <w:color w:val="auto"/>
        </w:rPr>
      </w:pPr>
    </w:p>
    <w:p>
      <w:pPr>
        <w:ind w:left="960" w:right="320" w:hanging="480"/>
        <w:spacing w:after="0" w:line="263"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960" w:right="48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960" w:right="42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960" w:right="64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960" w:right="380" w:hanging="480"/>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478"/>
        <w:spacing w:after="0" w:line="268" w:lineRule="auto"/>
        <w:rPr>
          <w:sz w:val="20"/>
          <w:szCs w:val="20"/>
          <w:color w:val="auto"/>
        </w:rPr>
      </w:pPr>
      <w:r>
        <w:rPr>
          <w:rFonts w:ascii="Arial" w:cs="Arial" w:eastAsia="Arial" w:hAnsi="Arial"/>
          <w:sz w:val="17"/>
          <w:szCs w:val="17"/>
          <w:color w:val="auto"/>
        </w:rPr>
        <w:t>There remain judicial and Congressional challenges as well as efforts by the current U.S. President’s administration to repeal or replace certain aspects of the ACA. Since January 2017, the current U.S. President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of 2020. It is unclear how such litigation and other efforts to repeal and replace the ACA will impact the ACA and our business.</w:t>
      </w:r>
    </w:p>
    <w:p>
      <w:pPr>
        <w:spacing w:after="0" w:line="186" w:lineRule="exact"/>
        <w:rPr>
          <w:sz w:val="20"/>
          <w:szCs w:val="20"/>
          <w:color w:val="auto"/>
        </w:rPr>
      </w:pPr>
    </w:p>
    <w:p>
      <w:pPr>
        <w:ind w:right="20" w:firstLine="478"/>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68"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current U.S. President’s administration issued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current U.S. President’s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has solicited feedback on some of these measures and has implemented others under its existing authority. Although some of these measures may require additional authorization to become effective, Congress and the current U.S. President’s administration have each indicated that it will continue to seek new legislative and/or administrative measures to control drug costs.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firstLine="478"/>
        <w:spacing w:after="0" w:line="28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65" w:lineRule="exact"/>
        <w:rPr>
          <w:sz w:val="20"/>
          <w:szCs w:val="20"/>
          <w:color w:val="auto"/>
        </w:rPr>
      </w:pPr>
    </w:p>
    <w:p>
      <w:pPr>
        <w:ind w:right="20" w:firstLine="478"/>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to address the COVID-19 pandemic.</w:t>
      </w:r>
    </w:p>
    <w:p>
      <w:pPr>
        <w:spacing w:after="0" w:line="30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if any.</w:t>
      </w:r>
    </w:p>
    <w:p>
      <w:pPr>
        <w:spacing w:after="0" w:line="129" w:lineRule="exact"/>
        <w:rPr>
          <w:sz w:val="20"/>
          <w:szCs w:val="20"/>
          <w:color w:val="auto"/>
        </w:rPr>
      </w:pPr>
    </w:p>
    <w:p>
      <w:pPr>
        <w:ind w:right="160" w:firstLine="478"/>
        <w:spacing w:after="0" w:line="286" w:lineRule="auto"/>
        <w:rPr>
          <w:sz w:val="20"/>
          <w:szCs w:val="20"/>
          <w:color w:val="auto"/>
        </w:rPr>
      </w:pPr>
      <w:r>
        <w:rPr>
          <w:rFonts w:ascii="Arial" w:cs="Arial" w:eastAsia="Arial" w:hAnsi="Arial"/>
          <w:sz w:val="16"/>
          <w:szCs w:val="16"/>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82" w:lineRule="exact"/>
        <w:rPr>
          <w:sz w:val="20"/>
          <w:szCs w:val="20"/>
          <w:color w:val="auto"/>
        </w:rPr>
      </w:pPr>
    </w:p>
    <w:p>
      <w:pPr>
        <w:ind w:left="480" w:right="200"/>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76" w:lineRule="exact"/>
        <w:rPr>
          <w:sz w:val="20"/>
          <w:szCs w:val="20"/>
          <w:color w:val="auto"/>
        </w:rPr>
      </w:pPr>
    </w:p>
    <w:p>
      <w:pPr>
        <w:ind w:right="40" w:firstLine="478"/>
        <w:spacing w:after="0" w:line="260"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5" w:lineRule="exact"/>
        <w:rPr>
          <w:sz w:val="20"/>
          <w:szCs w:val="20"/>
          <w:color w:val="auto"/>
        </w:rPr>
      </w:pPr>
    </w:p>
    <w:p>
      <w:pPr>
        <w:jc w:val="both"/>
        <w:ind w:right="60" w:firstLine="478"/>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8"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480"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180" w:firstLine="478"/>
        <w:spacing w:after="0" w:line="273"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78"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7" w:lineRule="exact"/>
        <w:rPr>
          <w:sz w:val="20"/>
          <w:szCs w:val="20"/>
          <w:color w:val="auto"/>
        </w:rPr>
      </w:pPr>
    </w:p>
    <w:p>
      <w:pPr>
        <w:ind w:firstLine="478"/>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65" w:lineRule="exact"/>
        <w:rPr>
          <w:sz w:val="20"/>
          <w:szCs w:val="20"/>
          <w:color w:val="auto"/>
        </w:rPr>
      </w:pPr>
    </w:p>
    <w:p>
      <w:pPr>
        <w:jc w:val="both"/>
        <w:ind w:right="220" w:firstLine="478"/>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4" w:lineRule="exact"/>
        <w:rPr>
          <w:sz w:val="20"/>
          <w:szCs w:val="20"/>
          <w:color w:val="auto"/>
        </w:rPr>
      </w:pPr>
    </w:p>
    <w:p>
      <w:pPr>
        <w:jc w:val="both"/>
        <w:ind w:right="200" w:firstLine="478"/>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73" w:lineRule="exact"/>
        <w:rPr>
          <w:sz w:val="20"/>
          <w:szCs w:val="20"/>
          <w:color w:val="auto"/>
        </w:rPr>
      </w:pPr>
    </w:p>
    <w:p>
      <w:pPr>
        <w:ind w:left="480" w:right="30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60" w:firstLine="478"/>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1" w:lineRule="exact"/>
        <w:rPr>
          <w:sz w:val="20"/>
          <w:szCs w:val="20"/>
          <w:color w:val="auto"/>
        </w:rPr>
      </w:pPr>
    </w:p>
    <w:p>
      <w:pPr>
        <w:ind w:right="80" w:firstLine="478"/>
        <w:spacing w:after="0" w:line="342" w:lineRule="auto"/>
        <w:rPr>
          <w:sz w:val="20"/>
          <w:szCs w:val="20"/>
          <w:color w:val="auto"/>
        </w:rPr>
      </w:pPr>
      <w:r>
        <w:rPr>
          <w:rFonts w:ascii="Arial" w:cs="Arial" w:eastAsia="Arial" w:hAnsi="Arial"/>
          <w:sz w:val="16"/>
          <w:szCs w:val="16"/>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80" w:right="60"/>
        <w:spacing w:after="0" w:line="301"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9" w:lineRule="exact"/>
        <w:rPr>
          <w:sz w:val="20"/>
          <w:szCs w:val="20"/>
          <w:color w:val="auto"/>
        </w:rPr>
      </w:pPr>
    </w:p>
    <w:p>
      <w:pPr>
        <w:ind w:firstLine="478"/>
        <w:spacing w:after="0" w:line="286" w:lineRule="auto"/>
        <w:rPr>
          <w:sz w:val="20"/>
          <w:szCs w:val="20"/>
          <w:color w:val="auto"/>
        </w:rPr>
      </w:pPr>
      <w:r>
        <w:rPr>
          <w:rFonts w:ascii="Arial" w:cs="Arial" w:eastAsia="Arial" w:hAnsi="Arial"/>
          <w:sz w:val="16"/>
          <w:szCs w:val="16"/>
          <w:color w:val="auto"/>
        </w:rPr>
        <w:t>We do not have the ability to independently conduct all aspects of our preclinical testing or clinical trials ourselves. As a result, we are dependent on third parties to conduct our ongoing and planned clinical trials of PRT543, PRT811 and PRT1419,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71" w:lineRule="exact"/>
        <w:rPr>
          <w:sz w:val="20"/>
          <w:szCs w:val="20"/>
          <w:color w:val="auto"/>
        </w:rPr>
      </w:pPr>
    </w:p>
    <w:p>
      <w:pPr>
        <w:ind w:right="60" w:firstLine="478"/>
        <w:spacing w:after="0" w:line="273"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8" w:lineRule="exact"/>
        <w:rPr>
          <w:sz w:val="20"/>
          <w:szCs w:val="20"/>
          <w:color w:val="auto"/>
        </w:rPr>
      </w:pPr>
    </w:p>
    <w:p>
      <w:pPr>
        <w:ind w:right="200" w:firstLine="478"/>
        <w:spacing w:after="0" w:line="275"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or any other product candidates and will not be able to, or may be delayed in our efforts to, successfully commercialize our products.</w:t>
      </w:r>
    </w:p>
    <w:p>
      <w:pPr>
        <w:spacing w:after="0" w:line="284" w:lineRule="exact"/>
        <w:rPr>
          <w:sz w:val="20"/>
          <w:szCs w:val="20"/>
          <w:color w:val="auto"/>
        </w:rPr>
      </w:pPr>
    </w:p>
    <w:p>
      <w:pPr>
        <w:ind w:left="480" w:right="100"/>
        <w:spacing w:after="0" w:line="275"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ind w:right="20" w:firstLine="478"/>
        <w:spacing w:after="0" w:line="254" w:lineRule="auto"/>
        <w:rPr>
          <w:sz w:val="20"/>
          <w:szCs w:val="20"/>
          <w:color w:val="auto"/>
        </w:rPr>
      </w:pPr>
      <w:r>
        <w:rPr>
          <w:rFonts w:ascii="Arial" w:cs="Arial" w:eastAsia="Arial" w:hAnsi="Arial"/>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95" w:lineRule="exact"/>
        <w:rPr>
          <w:sz w:val="20"/>
          <w:szCs w:val="20"/>
          <w:color w:val="auto"/>
        </w:rPr>
      </w:pPr>
    </w:p>
    <w:p>
      <w:pPr>
        <w:ind w:right="780" w:firstLine="478"/>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5540" w:right="4840" w:hanging="5060"/>
        <w:spacing w:after="0" w:line="623" w:lineRule="auto"/>
        <w:tabs>
          <w:tab w:leader="none" w:pos="9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reliance on the third party for regulatory, compliance and quality assurance;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7" w:lineRule="exact"/>
        <w:rPr>
          <w:rFonts w:ascii="Arial" w:cs="Arial" w:eastAsia="Arial" w:hAnsi="Arial"/>
          <w:sz w:val="18"/>
          <w:szCs w:val="18"/>
          <w:color w:val="auto"/>
        </w:rPr>
      </w:pPr>
    </w:p>
    <w:p>
      <w:pPr>
        <w:jc w:val="both"/>
        <w:ind w:left="960" w:hanging="480"/>
        <w:spacing w:after="0" w:line="263"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ind w:right="20" w:firstLine="478"/>
        <w:spacing w:after="0" w:line="275"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76"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71" w:lineRule="exact"/>
        <w:rPr>
          <w:sz w:val="20"/>
          <w:szCs w:val="20"/>
          <w:color w:val="auto"/>
        </w:rPr>
      </w:pPr>
    </w:p>
    <w:p>
      <w:pPr>
        <w:ind w:right="60" w:firstLine="478"/>
        <w:spacing w:after="0" w:line="288"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68" w:lineRule="exact"/>
        <w:rPr>
          <w:sz w:val="20"/>
          <w:szCs w:val="20"/>
          <w:color w:val="auto"/>
        </w:rPr>
      </w:pPr>
    </w:p>
    <w:p>
      <w:pPr>
        <w:ind w:right="120" w:firstLine="478"/>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8"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right="80" w:firstLine="478"/>
        <w:spacing w:after="0" w:line="255"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20" w:firstLine="478"/>
        <w:spacing w:after="0" w:line="27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recent COVID-19 pandemic. If our current third-party manufacturers cannot perform as agreed, we may be required to replace such manufacturers and we may be unable to replace them on a timely basis or at all.</w:t>
      </w:r>
    </w:p>
    <w:p>
      <w:pPr>
        <w:spacing w:after="0" w:line="178" w:lineRule="exact"/>
        <w:rPr>
          <w:sz w:val="20"/>
          <w:szCs w:val="20"/>
          <w:color w:val="auto"/>
        </w:rPr>
      </w:pPr>
    </w:p>
    <w:p>
      <w:pPr>
        <w:ind w:firstLine="478"/>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54" w:lineRule="exact"/>
        <w:rPr>
          <w:sz w:val="20"/>
          <w:szCs w:val="20"/>
          <w:color w:val="auto"/>
        </w:rPr>
      </w:pPr>
    </w:p>
    <w:p>
      <w:pPr>
        <w:ind w:left="480" w:right="2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ind w:right="100" w:firstLine="478"/>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92" w:lineRule="exact"/>
        <w:rPr>
          <w:sz w:val="20"/>
          <w:szCs w:val="20"/>
          <w:color w:val="auto"/>
        </w:rPr>
      </w:pPr>
    </w:p>
    <w:p>
      <w:pPr>
        <w:ind w:firstLine="478"/>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63" w:lineRule="exact"/>
        <w:rPr>
          <w:sz w:val="20"/>
          <w:szCs w:val="20"/>
          <w:color w:val="auto"/>
        </w:rPr>
      </w:pPr>
    </w:p>
    <w:p>
      <w:pPr>
        <w:ind w:left="960" w:right="440" w:hanging="480"/>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62" w:lineRule="exact"/>
        <w:rPr>
          <w:rFonts w:ascii="Arial" w:cs="Arial" w:eastAsia="Arial" w:hAnsi="Arial"/>
          <w:sz w:val="18"/>
          <w:szCs w:val="18"/>
          <w:color w:val="auto"/>
        </w:rPr>
      </w:pPr>
    </w:p>
    <w:p>
      <w:pPr>
        <w:ind w:left="960" w:right="100" w:hanging="480"/>
        <w:spacing w:after="0" w:line="259"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8" w:lineRule="exact"/>
        <w:rPr>
          <w:rFonts w:ascii="Arial" w:cs="Arial" w:eastAsia="Arial" w:hAnsi="Arial"/>
          <w:sz w:val="18"/>
          <w:szCs w:val="18"/>
          <w:color w:val="auto"/>
        </w:rPr>
      </w:pPr>
    </w:p>
    <w:p>
      <w:pPr>
        <w:ind w:left="960" w:right="520" w:hanging="480"/>
        <w:spacing w:after="0" w:line="308" w:lineRule="auto"/>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60" w:right="360" w:hanging="480"/>
        <w:spacing w:after="0" w:line="263"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60" w:right="800" w:hanging="480"/>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960" w:right="60" w:hanging="480"/>
        <w:spacing w:after="0" w:line="311"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40" w:lineRule="exact"/>
        <w:rPr>
          <w:rFonts w:ascii="Arial" w:cs="Arial" w:eastAsia="Arial" w:hAnsi="Arial"/>
          <w:sz w:val="16"/>
          <w:szCs w:val="16"/>
          <w:color w:val="auto"/>
        </w:rPr>
      </w:pPr>
    </w:p>
    <w:p>
      <w:pPr>
        <w:ind w:left="960" w:right="120" w:hanging="480"/>
        <w:spacing w:after="0" w:line="342"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960" w:right="1040" w:hanging="480"/>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960" w:right="20" w:hanging="480"/>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0" w:lineRule="exact"/>
        <w:rPr>
          <w:sz w:val="20"/>
          <w:szCs w:val="20"/>
          <w:color w:val="auto"/>
        </w:rPr>
      </w:pPr>
    </w:p>
    <w:p>
      <w:pPr>
        <w:ind w:right="340" w:firstLine="478"/>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480" w:right="160"/>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57" w:lineRule="exact"/>
        <w:rPr>
          <w:sz w:val="20"/>
          <w:szCs w:val="20"/>
          <w:color w:val="auto"/>
        </w:rPr>
      </w:pPr>
    </w:p>
    <w:p>
      <w:pPr>
        <w:ind w:right="40" w:firstLine="478"/>
        <w:spacing w:after="0" w:line="254" w:lineRule="auto"/>
        <w:rPr>
          <w:sz w:val="20"/>
          <w:szCs w:val="20"/>
          <w:color w:val="auto"/>
        </w:rPr>
      </w:pPr>
      <w:r>
        <w:rPr>
          <w:rFonts w:ascii="Arial" w:cs="Arial" w:eastAsia="Arial" w:hAnsi="Arial"/>
          <w:sz w:val="18"/>
          <w:szCs w:val="18"/>
          <w:color w:val="auto"/>
        </w:rPr>
        <w:t>The total addressable market opportunity for PRT543, PRT811, PRT1419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303"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80" w:firstLine="478"/>
        <w:spacing w:after="0" w:line="296" w:lineRule="auto"/>
        <w:rPr>
          <w:sz w:val="20"/>
          <w:szCs w:val="20"/>
          <w:color w:val="auto"/>
        </w:rPr>
      </w:pPr>
      <w:r>
        <w:rPr>
          <w:rFonts w:ascii="Arial" w:cs="Arial" w:eastAsia="Arial" w:hAnsi="Arial"/>
          <w:sz w:val="16"/>
          <w:szCs w:val="16"/>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53" w:lineRule="exact"/>
        <w:rPr>
          <w:sz w:val="20"/>
          <w:szCs w:val="20"/>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acceptance of our product candidates as front-line treatment for various indications;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ind w:left="480" w:right="14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57" w:lineRule="exact"/>
        <w:rPr>
          <w:sz w:val="20"/>
          <w:szCs w:val="20"/>
          <w:color w:val="auto"/>
        </w:rPr>
      </w:pPr>
    </w:p>
    <w:p>
      <w:pPr>
        <w:ind w:right="160" w:firstLine="478"/>
        <w:spacing w:after="0" w:line="263" w:lineRule="auto"/>
        <w:rPr>
          <w:sz w:val="20"/>
          <w:szCs w:val="20"/>
          <w:color w:val="auto"/>
        </w:rPr>
      </w:pPr>
      <w:r>
        <w:rPr>
          <w:rFonts w:ascii="Arial" w:cs="Arial" w:eastAsia="Arial" w:hAnsi="Arial"/>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84" w:lineRule="exact"/>
        <w:rPr>
          <w:sz w:val="20"/>
          <w:szCs w:val="20"/>
          <w:color w:val="auto"/>
        </w:rPr>
      </w:pPr>
    </w:p>
    <w:p>
      <w:pPr>
        <w:ind w:right="20" w:firstLine="478"/>
        <w:spacing w:after="0" w:line="301" w:lineRule="auto"/>
        <w:rPr>
          <w:sz w:val="20"/>
          <w:szCs w:val="20"/>
          <w:color w:val="auto"/>
        </w:rPr>
      </w:pPr>
      <w:r>
        <w:rPr>
          <w:rFonts w:ascii="Arial" w:cs="Arial" w:eastAsia="Arial" w:hAnsi="Arial"/>
          <w:sz w:val="16"/>
          <w:szCs w:val="16"/>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raise financing necessary to build our commercialization infrastructure;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educate an adequate number of physicians as to the benefits of our products;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third-party payor coverage and reimbursement in any geography;</w:t>
      </w:r>
    </w:p>
    <w:p>
      <w:pPr>
        <w:spacing w:after="0" w:line="117"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00" w:firstLine="478"/>
        <w:spacing w:after="0" w:line="273"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86" w:lineRule="exact"/>
        <w:rPr>
          <w:sz w:val="20"/>
          <w:szCs w:val="20"/>
          <w:color w:val="auto"/>
        </w:rPr>
      </w:pPr>
    </w:p>
    <w:p>
      <w:pPr>
        <w:ind w:left="480" w:right="3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20" w:firstLine="478"/>
        <w:spacing w:after="0" w:line="253" w:lineRule="auto"/>
        <w:rPr>
          <w:sz w:val="20"/>
          <w:szCs w:val="20"/>
          <w:color w:val="auto"/>
        </w:rPr>
      </w:pPr>
      <w:r>
        <w:rPr>
          <w:rFonts w:ascii="Arial" w:cs="Arial" w:eastAsia="Arial" w:hAnsi="Arial"/>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Black Diamond Therapeutics, Inc., Constellation Pharmaceuticals, Inc., Repare Therapeutics Inc., Revolution Medicines, Inc., Relay Therapeutics, Inc., and Zentalis Pharmaceuticals, LLC. In addition, we may face competition from companies pursuing the development of product candidates that are based on targeting pathways of adaptive resistance, including Amgen Inc., or Amgen, AbbVie Inc., or AbbVie, AstraZeneca PLC, or AstraZeneca, GlaxoSmithKline plc, or GlaxoSmithKline, Johnson &amp; Johnson, Pfizer Inc., or Pfizer, Bayer AG, or Bayer, and Novartis International AG, or Novartis.</w:t>
      </w:r>
    </w:p>
    <w:p>
      <w:pPr>
        <w:spacing w:after="0" w:line="194" w:lineRule="exact"/>
        <w:rPr>
          <w:sz w:val="20"/>
          <w:szCs w:val="20"/>
          <w:color w:val="auto"/>
        </w:rPr>
      </w:pPr>
    </w:p>
    <w:p>
      <w:pPr>
        <w:ind w:firstLine="478"/>
        <w:spacing w:after="0" w:line="272" w:lineRule="auto"/>
        <w:rPr>
          <w:sz w:val="20"/>
          <w:szCs w:val="20"/>
          <w:color w:val="auto"/>
        </w:rPr>
      </w:pPr>
      <w:r>
        <w:rPr>
          <w:rFonts w:ascii="Arial" w:cs="Arial" w:eastAsia="Arial" w:hAnsi="Arial"/>
          <w:sz w:val="17"/>
          <w:szCs w:val="17"/>
          <w:color w:val="auto"/>
        </w:rPr>
        <w:t>Specifically, with respect to our lead product candidates, we expect that our current product candidates PRT543 and PRT811 will compete against other PRMT5 inhibitors which are currently in clinical development, including those of GlaxoSmithKline (GSK3326595), Johnson &amp; Johnson (JNJ-64619178) and Pfizer (PF-06939999). Development efforts and clinical results of these other product candidates may be unsuccessful, which could result in a negative perception of PRMT5 inhibitors, for instance, and negatively impact the regulatory approval process of our product candidates, which would have a material and adverse effect on our business. For our product candidate PRT1419, other companies are developing MCL1 inhibitors with monotherapy and/or combination trials ongoing, including Amgen (AMG176), AstraZeneca (AZD5991) and Novartis (MIK665). For our preclinical CDK9 program, both AstraZeneca and Bayer have CDK9 programs in Phase 1 clinical trials.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20" w:firstLine="478"/>
        <w:spacing w:after="0" w:line="29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66" w:lineRule="exact"/>
        <w:rPr>
          <w:sz w:val="20"/>
          <w:szCs w:val="20"/>
          <w:color w:val="auto"/>
        </w:rPr>
      </w:pPr>
    </w:p>
    <w:p>
      <w:pPr>
        <w:ind w:right="20" w:firstLine="478"/>
        <w:spacing w:after="0" w:line="271" w:lineRule="auto"/>
        <w:rPr>
          <w:sz w:val="20"/>
          <w:szCs w:val="20"/>
          <w:color w:val="auto"/>
        </w:rPr>
      </w:pPr>
      <w:r>
        <w:rPr>
          <w:rFonts w:ascii="Arial" w:cs="Arial" w:eastAsia="Arial" w:hAnsi="Arial"/>
          <w:sz w:val="17"/>
          <w:szCs w:val="17"/>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78" w:lineRule="exact"/>
        <w:rPr>
          <w:sz w:val="20"/>
          <w:szCs w:val="20"/>
          <w:color w:val="auto"/>
        </w:rPr>
      </w:pPr>
    </w:p>
    <w:p>
      <w:pPr>
        <w:ind w:right="140" w:firstLine="478"/>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72" w:lineRule="exact"/>
        <w:rPr>
          <w:sz w:val="20"/>
          <w:szCs w:val="20"/>
          <w:color w:val="auto"/>
        </w:rPr>
      </w:pPr>
    </w:p>
    <w:p>
      <w:pPr>
        <w:ind w:left="480" w:right="2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40" w:firstLine="478"/>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66" w:lineRule="exact"/>
        <w:rPr>
          <w:sz w:val="20"/>
          <w:szCs w:val="20"/>
          <w:color w:val="auto"/>
        </w:rPr>
      </w:pPr>
    </w:p>
    <w:p>
      <w:pPr>
        <w:ind w:right="220" w:firstLine="478"/>
        <w:spacing w:after="0" w:line="25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92" w:lineRule="exact"/>
        <w:rPr>
          <w:sz w:val="20"/>
          <w:szCs w:val="20"/>
          <w:color w:val="auto"/>
        </w:rPr>
      </w:pPr>
    </w:p>
    <w:p>
      <w:pPr>
        <w:ind w:firstLine="478"/>
        <w:spacing w:after="0" w:line="295" w:lineRule="auto"/>
        <w:rPr>
          <w:sz w:val="20"/>
          <w:szCs w:val="20"/>
          <w:color w:val="auto"/>
        </w:rPr>
      </w:pPr>
      <w:r>
        <w:rPr>
          <w:rFonts w:ascii="Arial" w:cs="Arial" w:eastAsia="Arial" w:hAnsi="Arial"/>
          <w:sz w:val="16"/>
          <w:szCs w:val="16"/>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firstLine="478"/>
        <w:spacing w:after="0" w:line="257" w:lineRule="auto"/>
        <w:rPr>
          <w:sz w:val="20"/>
          <w:szCs w:val="20"/>
          <w:color w:val="auto"/>
        </w:rPr>
      </w:pPr>
      <w:r>
        <w:rPr>
          <w:rFonts w:ascii="Arial" w:cs="Arial" w:eastAsia="Arial" w:hAnsi="Arial"/>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8"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287" w:lineRule="exact"/>
        <w:rPr>
          <w:sz w:val="20"/>
          <w:szCs w:val="20"/>
          <w:color w:val="auto"/>
        </w:rPr>
      </w:pPr>
    </w:p>
    <w:p>
      <w:pPr>
        <w:ind w:left="480" w:right="3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right="240" w:firstLine="478"/>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41" w:lineRule="exact"/>
        <w:rPr>
          <w:sz w:val="20"/>
          <w:szCs w:val="20"/>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employees and to attract, retain and motivate qualified personnel.</w:t>
      </w:r>
    </w:p>
    <w:p>
      <w:pPr>
        <w:spacing w:after="0" w:line="117"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right="140" w:firstLine="478"/>
        <w:spacing w:after="0" w:line="289" w:lineRule="auto"/>
        <w:rPr>
          <w:sz w:val="20"/>
          <w:szCs w:val="20"/>
          <w:color w:val="auto"/>
        </w:rPr>
      </w:pPr>
      <w:r>
        <w:rPr>
          <w:rFonts w:ascii="Arial" w:cs="Arial" w:eastAsia="Arial" w:hAnsi="Arial"/>
          <w:sz w:val="16"/>
          <w:szCs w:val="16"/>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74" w:lineRule="exact"/>
        <w:rPr>
          <w:sz w:val="20"/>
          <w:szCs w:val="20"/>
          <w:color w:val="auto"/>
        </w:rPr>
      </w:pPr>
    </w:p>
    <w:p>
      <w:pPr>
        <w:ind w:left="480" w:right="20"/>
        <w:spacing w:after="0" w:line="308"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8" w:lineRule="exact"/>
        <w:rPr>
          <w:sz w:val="20"/>
          <w:szCs w:val="20"/>
          <w:color w:val="auto"/>
        </w:rPr>
      </w:pPr>
    </w:p>
    <w:p>
      <w:pPr>
        <w:ind w:right="60" w:firstLine="478"/>
        <w:spacing w:after="0" w:line="291" w:lineRule="auto"/>
        <w:rPr>
          <w:sz w:val="20"/>
          <w:szCs w:val="20"/>
          <w:color w:val="auto"/>
        </w:rPr>
      </w:pPr>
      <w:r>
        <w:rPr>
          <w:rFonts w:ascii="Arial" w:cs="Arial" w:eastAsia="Arial" w:hAnsi="Arial"/>
          <w:sz w:val="16"/>
          <w:szCs w:val="16"/>
          <w:color w:val="auto"/>
        </w:rPr>
        <w:t>As of September 30, 2020, we had 55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66" w:lineRule="exact"/>
        <w:rPr>
          <w:sz w:val="20"/>
          <w:szCs w:val="20"/>
          <w:color w:val="auto"/>
        </w:rPr>
      </w:pPr>
    </w:p>
    <w:p>
      <w:pPr>
        <w:ind w:firstLine="478"/>
        <w:spacing w:after="0" w:line="295"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and PRT1419,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62"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PRT543, PRT811 or PRT1419, our other pipeline product candidates or any future product candidates and, accordingly, may not achieve our research, development and commercialization goals.</w:t>
      </w:r>
    </w:p>
    <w:p>
      <w:pPr>
        <w:spacing w:after="0" w:line="292" w:lineRule="exact"/>
        <w:rPr>
          <w:sz w:val="20"/>
          <w:szCs w:val="20"/>
          <w:color w:val="auto"/>
        </w:rPr>
      </w:pPr>
    </w:p>
    <w:p>
      <w:pPr>
        <w:ind w:left="480" w:right="2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8" w:lineRule="exact"/>
        <w:rPr>
          <w:sz w:val="20"/>
          <w:szCs w:val="20"/>
          <w:color w:val="auto"/>
        </w:rPr>
      </w:pPr>
    </w:p>
    <w:p>
      <w:pPr>
        <w:ind w:right="60" w:firstLine="478"/>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92" w:lineRule="exact"/>
        <w:rPr>
          <w:sz w:val="20"/>
          <w:szCs w:val="20"/>
          <w:color w:val="auto"/>
        </w:rPr>
      </w:pPr>
    </w:p>
    <w:p>
      <w:pPr>
        <w:ind w:right="40" w:firstLine="478"/>
        <w:spacing w:after="0" w:line="253"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480" w:right="80"/>
        <w:spacing w:after="0" w:line="279" w:lineRule="auto"/>
        <w:rPr>
          <w:sz w:val="20"/>
          <w:szCs w:val="20"/>
          <w:color w:val="auto"/>
        </w:rPr>
      </w:pPr>
      <w:r>
        <w:rPr>
          <w:rFonts w:ascii="Arial" w:cs="Arial" w:eastAsia="Arial" w:hAnsi="Arial"/>
          <w:sz w:val="17"/>
          <w:szCs w:val="17"/>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63" w:lineRule="exact"/>
        <w:rPr>
          <w:sz w:val="20"/>
          <w:szCs w:val="20"/>
          <w:color w:val="auto"/>
        </w:rPr>
      </w:pPr>
    </w:p>
    <w:p>
      <w:pPr>
        <w:ind w:right="120" w:firstLine="478"/>
        <w:spacing w:after="0" w:line="274"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situation,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79" w:lineRule="exact"/>
        <w:rPr>
          <w:sz w:val="20"/>
          <w:szCs w:val="20"/>
          <w:color w:val="auto"/>
        </w:rPr>
      </w:pPr>
    </w:p>
    <w:p>
      <w:pPr>
        <w:ind w:firstLine="478"/>
        <w:spacing w:after="0" w:line="284" w:lineRule="auto"/>
        <w:rPr>
          <w:sz w:val="20"/>
          <w:szCs w:val="20"/>
          <w:color w:val="auto"/>
        </w:rPr>
      </w:pPr>
      <w:r>
        <w:rPr>
          <w:rFonts w:ascii="Arial" w:cs="Arial" w:eastAsia="Arial" w:hAnsi="Arial"/>
          <w:sz w:val="16"/>
          <w:szCs w:val="16"/>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391" w:lineRule="exact"/>
        <w:rPr>
          <w:sz w:val="20"/>
          <w:szCs w:val="20"/>
          <w:color w:val="auto"/>
        </w:rPr>
      </w:pPr>
    </w:p>
    <w:p>
      <w:pPr>
        <w:ind w:firstLine="478"/>
        <w:spacing w:after="0" w:line="272"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2" w:name="page53"/>
    <w:bookmarkEnd w:id="52"/>
    <w:p>
      <w:pPr>
        <w:ind w:right="140"/>
        <w:spacing w:after="0" w:line="296" w:lineRule="auto"/>
        <w:rPr>
          <w:sz w:val="20"/>
          <w:szCs w:val="20"/>
          <w:color w:val="auto"/>
        </w:rPr>
      </w:pPr>
      <w:r>
        <w:rPr>
          <w:rFonts w:ascii="Arial" w:cs="Arial" w:eastAsia="Arial" w:hAnsi="Arial"/>
          <w:sz w:val="16"/>
          <w:szCs w:val="16"/>
          <w:color w:val="auto"/>
        </w:rPr>
        <w:t>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69" w:lineRule="exact"/>
        <w:rPr>
          <w:sz w:val="20"/>
          <w:szCs w:val="20"/>
          <w:color w:val="auto"/>
        </w:rPr>
      </w:pPr>
    </w:p>
    <w:p>
      <w:pPr>
        <w:ind w:left="480" w:right="4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478"/>
        <w:spacing w:after="0" w:line="271"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78" w:lineRule="exact"/>
        <w:rPr>
          <w:sz w:val="20"/>
          <w:szCs w:val="20"/>
          <w:color w:val="auto"/>
        </w:rPr>
      </w:pPr>
    </w:p>
    <w:p>
      <w:pPr>
        <w:ind w:firstLine="478"/>
        <w:spacing w:after="0" w:line="285" w:lineRule="auto"/>
        <w:rPr>
          <w:sz w:val="20"/>
          <w:szCs w:val="20"/>
          <w:color w:val="auto"/>
        </w:rPr>
      </w:pPr>
      <w:r>
        <w:rPr>
          <w:rFonts w:ascii="Arial" w:cs="Arial" w:eastAsia="Arial" w:hAnsi="Arial"/>
          <w:sz w:val="16"/>
          <w:szCs w:val="16"/>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To the extent that we were to rely on Privacy Shield, we will not be able to do so in the future, which could increase our costs and our ability to efficiently process personal data from the EU.</w:t>
      </w:r>
    </w:p>
    <w:p>
      <w:pPr>
        <w:spacing w:after="0" w:line="176" w:lineRule="exact"/>
        <w:rPr>
          <w:sz w:val="20"/>
          <w:szCs w:val="20"/>
          <w:color w:val="auto"/>
        </w:rPr>
      </w:pPr>
    </w:p>
    <w:p>
      <w:pPr>
        <w:ind w:right="60" w:firstLine="478"/>
        <w:spacing w:after="0" w:line="254" w:lineRule="auto"/>
        <w:rPr>
          <w:sz w:val="20"/>
          <w:szCs w:val="20"/>
          <w:color w:val="auto"/>
        </w:rPr>
      </w:pPr>
      <w:r>
        <w:rPr>
          <w:rFonts w:ascii="Arial" w:cs="Arial" w:eastAsia="Arial" w:hAnsi="Arial"/>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United Kingdom law. Beginning in 2021, the United Kingdom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95" w:lineRule="exact"/>
        <w:rPr>
          <w:sz w:val="20"/>
          <w:szCs w:val="20"/>
          <w:color w:val="auto"/>
        </w:rPr>
      </w:pPr>
    </w:p>
    <w:p>
      <w:pPr>
        <w:ind w:right="40" w:firstLine="478"/>
        <w:spacing w:after="0" w:line="273" w:lineRule="auto"/>
        <w:rPr>
          <w:sz w:val="20"/>
          <w:szCs w:val="20"/>
          <w:color w:val="auto"/>
        </w:rPr>
      </w:pPr>
      <w:r>
        <w:rPr>
          <w:rFonts w:ascii="Arial" w:cs="Arial" w:eastAsia="Arial" w:hAnsi="Arial"/>
          <w:sz w:val="17"/>
          <w:szCs w:val="17"/>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may impact our business activities and exemplifies the vulnerability of our business to the evolving regulatory environment related to personal data and protected health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100" w:firstLine="478"/>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firstLine="478"/>
        <w:spacing w:after="0" w:line="287" w:lineRule="auto"/>
        <w:rPr>
          <w:sz w:val="20"/>
          <w:szCs w:val="20"/>
          <w:color w:val="auto"/>
        </w:rPr>
      </w:pPr>
      <w:r>
        <w:rPr>
          <w:rFonts w:ascii="Arial" w:cs="Arial" w:eastAsia="Arial" w:hAnsi="Arial"/>
          <w:sz w:val="16"/>
          <w:szCs w:val="16"/>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83" w:lineRule="exact"/>
        <w:rPr>
          <w:sz w:val="20"/>
          <w:szCs w:val="20"/>
          <w:color w:val="auto"/>
        </w:rPr>
      </w:pPr>
    </w:p>
    <w:p>
      <w:pPr>
        <w:ind w:left="480" w:right="4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40" w:firstLine="478"/>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legislation enacted in 2017, informally titled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478"/>
        <w:spacing w:after="0" w:line="290"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20"/>
        <w:spacing w:after="0" w:line="269" w:lineRule="auto"/>
        <w:rPr>
          <w:sz w:val="20"/>
          <w:szCs w:val="20"/>
          <w:color w:val="auto"/>
        </w:rPr>
      </w:pPr>
      <w:r>
        <w:rPr>
          <w:rFonts w:ascii="Arial" w:cs="Arial" w:eastAsia="Arial" w:hAnsi="Arial"/>
          <w:sz w:val="17"/>
          <w:szCs w:val="17"/>
          <w:color w:val="auto"/>
        </w:rPr>
        <w:t>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(particularly those generated in taxable years beginning after December 31, 2020),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0" w:lineRule="exact"/>
        <w:rPr>
          <w:sz w:val="20"/>
          <w:szCs w:val="20"/>
          <w:color w:val="auto"/>
        </w:rPr>
      </w:pPr>
    </w:p>
    <w:p>
      <w:pPr>
        <w:ind w:left="480" w:right="5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right="120" w:firstLine="478"/>
        <w:spacing w:after="0" w:line="255"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4" w:lineRule="exact"/>
        <w:rPr>
          <w:sz w:val="20"/>
          <w:szCs w:val="20"/>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960" w:right="80" w:hanging="480"/>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portfolio of investments may be subject to market, interest and credit risk that may reduce its value.</w:t>
      </w:r>
    </w:p>
    <w:p>
      <w:pPr>
        <w:spacing w:after="0" w:line="117" w:lineRule="exact"/>
        <w:rPr>
          <w:sz w:val="20"/>
          <w:szCs w:val="20"/>
          <w:color w:val="auto"/>
        </w:rPr>
      </w:pPr>
    </w:p>
    <w:p>
      <w:pPr>
        <w:ind w:firstLine="478"/>
        <w:spacing w:after="0" w:line="255" w:lineRule="auto"/>
        <w:rPr>
          <w:sz w:val="20"/>
          <w:szCs w:val="20"/>
          <w:color w:val="auto"/>
        </w:rPr>
      </w:pPr>
      <w:r>
        <w:rPr>
          <w:rFonts w:ascii="Arial" w:cs="Arial" w:eastAsia="Arial" w:hAnsi="Arial"/>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480"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6" w:lineRule="exact"/>
        <w:rPr>
          <w:sz w:val="20"/>
          <w:szCs w:val="20"/>
          <w:color w:val="auto"/>
        </w:rPr>
      </w:pPr>
    </w:p>
    <w:p>
      <w:pPr>
        <w:ind w:right="40" w:firstLine="478"/>
        <w:spacing w:after="0" w:line="300" w:lineRule="auto"/>
        <w:rPr>
          <w:sz w:val="20"/>
          <w:szCs w:val="20"/>
          <w:color w:val="auto"/>
        </w:rPr>
      </w:pPr>
      <w:r>
        <w:rPr>
          <w:rFonts w:ascii="Arial" w:cs="Arial" w:eastAsia="Arial" w:hAnsi="Arial"/>
          <w:sz w:val="16"/>
          <w:szCs w:val="16"/>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and PRT1419,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59" w:lineRule="exact"/>
        <w:rPr>
          <w:sz w:val="20"/>
          <w:szCs w:val="20"/>
          <w:color w:val="auto"/>
        </w:rPr>
      </w:pPr>
    </w:p>
    <w:p>
      <w:pPr>
        <w:ind w:right="20" w:firstLine="478"/>
        <w:spacing w:after="0" w:line="289" w:lineRule="auto"/>
        <w:rPr>
          <w:sz w:val="20"/>
          <w:szCs w:val="20"/>
          <w:color w:val="auto"/>
        </w:rPr>
      </w:pPr>
      <w:r>
        <w:rPr>
          <w:rFonts w:ascii="Arial" w:cs="Arial" w:eastAsia="Arial" w:hAnsi="Arial"/>
          <w:sz w:val="16"/>
          <w:szCs w:val="16"/>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abroad relating to PRT543. 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66" w:lineRule="exact"/>
        <w:rPr>
          <w:sz w:val="20"/>
          <w:szCs w:val="20"/>
          <w:color w:val="auto"/>
        </w:rPr>
      </w:pPr>
    </w:p>
    <w:p>
      <w:pPr>
        <w:ind w:right="60" w:firstLine="478"/>
        <w:spacing w:after="0" w:line="269" w:lineRule="auto"/>
        <w:rPr>
          <w:sz w:val="20"/>
          <w:szCs w:val="20"/>
          <w:color w:val="auto"/>
        </w:rPr>
      </w:pPr>
      <w:r>
        <w:rPr>
          <w:rFonts w:ascii="Arial" w:cs="Arial" w:eastAsia="Arial" w:hAnsi="Arial"/>
          <w:sz w:val="17"/>
          <w:szCs w:val="17"/>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 is expected to expire no earlier than August 9, 2038, and one issued U.S. patent covering PRT811 that is expected to expire no earlier than March 14, 2039. We do not yet have issued patents on all of our product candidates.</w:t>
      </w:r>
    </w:p>
    <w:p>
      <w:pPr>
        <w:spacing w:after="0" w:line="182"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79" w:lineRule="exact"/>
        <w:rPr>
          <w:sz w:val="20"/>
          <w:szCs w:val="20"/>
          <w:color w:val="auto"/>
        </w:rPr>
      </w:pPr>
    </w:p>
    <w:p>
      <w:pPr>
        <w:ind w:right="20" w:firstLine="478"/>
        <w:spacing w:after="0" w:line="260" w:lineRule="auto"/>
        <w:rPr>
          <w:sz w:val="20"/>
          <w:szCs w:val="20"/>
          <w:color w:val="auto"/>
        </w:rPr>
      </w:pPr>
      <w:r>
        <w:rPr>
          <w:rFonts w:ascii="Arial" w:cs="Arial" w:eastAsia="Arial" w:hAnsi="Arial"/>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line="254" w:lineRule="auto"/>
        <w:rPr>
          <w:sz w:val="20"/>
          <w:szCs w:val="20"/>
          <w:color w:val="auto"/>
        </w:rPr>
      </w:pPr>
      <w:r>
        <w:rPr>
          <w:rFonts w:ascii="Arial" w:cs="Arial" w:eastAsia="Arial" w:hAnsi="Arial"/>
          <w:sz w:val="18"/>
          <w:szCs w:val="18"/>
          <w:color w:val="auto"/>
        </w:rPr>
        <w:t>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5" w:lineRule="exact"/>
        <w:rPr>
          <w:sz w:val="20"/>
          <w:szCs w:val="20"/>
          <w:color w:val="auto"/>
        </w:rPr>
      </w:pPr>
    </w:p>
    <w:p>
      <w:pPr>
        <w:ind w:right="60" w:firstLine="478"/>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88" w:lineRule="exact"/>
        <w:rPr>
          <w:sz w:val="20"/>
          <w:szCs w:val="20"/>
          <w:color w:val="auto"/>
        </w:rPr>
      </w:pPr>
    </w:p>
    <w:p>
      <w:pPr>
        <w:ind w:firstLine="478"/>
        <w:spacing w:after="0" w:line="286" w:lineRule="auto"/>
        <w:rPr>
          <w:sz w:val="20"/>
          <w:szCs w:val="20"/>
          <w:color w:val="auto"/>
        </w:rPr>
      </w:pPr>
      <w:r>
        <w:rPr>
          <w:rFonts w:ascii="Arial" w:cs="Arial" w:eastAsia="Arial" w:hAnsi="Arial"/>
          <w:sz w:val="16"/>
          <w:szCs w:val="16"/>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74" w:lineRule="exact"/>
        <w:rPr>
          <w:sz w:val="20"/>
          <w:szCs w:val="20"/>
          <w:color w:val="auto"/>
        </w:rPr>
      </w:pPr>
    </w:p>
    <w:p>
      <w:pPr>
        <w:ind w:firstLine="478"/>
        <w:spacing w:after="0" w:line="288" w:lineRule="auto"/>
        <w:rPr>
          <w:sz w:val="20"/>
          <w:szCs w:val="20"/>
          <w:color w:val="auto"/>
        </w:rPr>
      </w:pPr>
      <w:r>
        <w:rPr>
          <w:rFonts w:ascii="Arial" w:cs="Arial" w:eastAsia="Arial" w:hAnsi="Arial"/>
          <w:sz w:val="16"/>
          <w:szCs w:val="16"/>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left="480" w:right="4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20" w:firstLine="478"/>
        <w:spacing w:after="0" w:line="268"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80" w:lineRule="exact"/>
        <w:rPr>
          <w:sz w:val="20"/>
          <w:szCs w:val="20"/>
          <w:color w:val="auto"/>
        </w:rPr>
      </w:pPr>
    </w:p>
    <w:p>
      <w:pPr>
        <w:ind w:right="20" w:firstLine="478"/>
        <w:spacing w:after="0" w:line="276"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81" w:lineRule="exact"/>
        <w:rPr>
          <w:sz w:val="20"/>
          <w:szCs w:val="20"/>
          <w:color w:val="auto"/>
        </w:rPr>
      </w:pPr>
    </w:p>
    <w:p>
      <w:pPr>
        <w:ind w:left="480" w:right="2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62" w:lineRule="exact"/>
        <w:rPr>
          <w:sz w:val="20"/>
          <w:szCs w:val="20"/>
          <w:color w:val="auto"/>
        </w:rPr>
      </w:pPr>
    </w:p>
    <w:p>
      <w:pPr>
        <w:ind w:right="100" w:firstLine="478"/>
        <w:spacing w:after="0" w:line="257" w:lineRule="auto"/>
        <w:rPr>
          <w:sz w:val="20"/>
          <w:szCs w:val="20"/>
          <w:color w:val="auto"/>
        </w:rPr>
      </w:pPr>
      <w:r>
        <w:rPr>
          <w:rFonts w:ascii="Arial" w:cs="Arial" w:eastAsia="Arial" w:hAnsi="Arial"/>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8" w:lineRule="exact"/>
        <w:rPr>
          <w:sz w:val="20"/>
          <w:szCs w:val="20"/>
          <w:color w:val="auto"/>
        </w:rPr>
      </w:pPr>
    </w:p>
    <w:p>
      <w:pPr>
        <w:ind w:right="320" w:firstLine="478"/>
        <w:spacing w:after="0" w:line="275" w:lineRule="auto"/>
        <w:rPr>
          <w:sz w:val="20"/>
          <w:szCs w:val="20"/>
          <w:color w:val="auto"/>
        </w:rPr>
      </w:pPr>
      <w:r>
        <w:rPr>
          <w:rFonts w:ascii="Arial" w:cs="Arial" w:eastAsia="Arial" w:hAnsi="Arial"/>
          <w:sz w:val="17"/>
          <w:szCs w:val="17"/>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76" w:lineRule="exact"/>
        <w:rPr>
          <w:sz w:val="20"/>
          <w:szCs w:val="20"/>
          <w:color w:val="auto"/>
        </w:rPr>
      </w:pPr>
    </w:p>
    <w:p>
      <w:pPr>
        <w:ind w:firstLine="478"/>
        <w:spacing w:after="0" w:line="287" w:lineRule="auto"/>
        <w:rPr>
          <w:sz w:val="20"/>
          <w:szCs w:val="20"/>
          <w:color w:val="auto"/>
        </w:rPr>
      </w:pPr>
      <w:r>
        <w:rPr>
          <w:rFonts w:ascii="Arial" w:cs="Arial" w:eastAsia="Arial" w:hAnsi="Arial"/>
          <w:sz w:val="16"/>
          <w:szCs w:val="16"/>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8" w:name="page59"/>
    <w:bookmarkEnd w:id="58"/>
    <w:p>
      <w:pPr>
        <w:ind w:firstLine="478"/>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8" w:lineRule="exact"/>
        <w:rPr>
          <w:sz w:val="20"/>
          <w:szCs w:val="20"/>
          <w:color w:val="auto"/>
        </w:rPr>
      </w:pPr>
    </w:p>
    <w:p>
      <w:pPr>
        <w:ind w:firstLine="478"/>
        <w:spacing w:after="0" w:line="268" w:lineRule="auto"/>
        <w:rPr>
          <w:sz w:val="20"/>
          <w:szCs w:val="20"/>
          <w:color w:val="auto"/>
        </w:rPr>
      </w:pPr>
      <w:r>
        <w:rPr>
          <w:rFonts w:ascii="Arial" w:cs="Arial" w:eastAsia="Arial" w:hAnsi="Arial"/>
          <w:sz w:val="17"/>
          <w:szCs w:val="17"/>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not be able to effectively protect or enforce our intellectual property and proprietary rights throughout the world.</w:t>
      </w:r>
    </w:p>
    <w:p>
      <w:pPr>
        <w:spacing w:after="0" w:line="117" w:lineRule="exact"/>
        <w:rPr>
          <w:sz w:val="20"/>
          <w:szCs w:val="20"/>
          <w:color w:val="auto"/>
        </w:rPr>
      </w:pPr>
    </w:p>
    <w:p>
      <w:pPr>
        <w:ind w:right="40" w:firstLine="484"/>
        <w:spacing w:after="0" w:line="270" w:lineRule="auto"/>
        <w:rPr>
          <w:sz w:val="20"/>
          <w:szCs w:val="20"/>
          <w:color w:val="auto"/>
        </w:rPr>
      </w:pPr>
      <w:r>
        <w:rPr>
          <w:rFonts w:ascii="Arial" w:cs="Arial" w:eastAsia="Arial" w:hAnsi="Arial"/>
          <w:sz w:val="17"/>
          <w:szCs w:val="17"/>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81" w:lineRule="exact"/>
        <w:rPr>
          <w:sz w:val="20"/>
          <w:szCs w:val="20"/>
          <w:color w:val="auto"/>
        </w:rPr>
      </w:pPr>
    </w:p>
    <w:p>
      <w:pPr>
        <w:ind w:firstLine="484"/>
        <w:spacing w:after="0" w:line="285" w:lineRule="auto"/>
        <w:rPr>
          <w:sz w:val="20"/>
          <w:szCs w:val="20"/>
          <w:color w:val="auto"/>
        </w:rPr>
      </w:pPr>
      <w:r>
        <w:rPr>
          <w:rFonts w:ascii="Arial" w:cs="Arial" w:eastAsia="Arial" w:hAnsi="Arial"/>
          <w:sz w:val="16"/>
          <w:szCs w:val="16"/>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left="480" w:right="20"/>
        <w:spacing w:after="0" w:line="342" w:lineRule="auto"/>
        <w:rPr>
          <w:sz w:val="20"/>
          <w:szCs w:val="20"/>
          <w:color w:val="auto"/>
        </w:rPr>
      </w:pPr>
      <w:r>
        <w:rPr>
          <w:rFonts w:ascii="Arial" w:cs="Arial" w:eastAsia="Arial" w:hAnsi="Arial"/>
          <w:sz w:val="16"/>
          <w:szCs w:val="16"/>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6" w:lineRule="exact"/>
        <w:rPr>
          <w:sz w:val="20"/>
          <w:szCs w:val="20"/>
          <w:color w:val="auto"/>
        </w:rPr>
      </w:pPr>
    </w:p>
    <w:p>
      <w:pPr>
        <w:ind w:right="80" w:firstLine="478"/>
        <w:spacing w:after="0" w:line="296"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61" w:lineRule="exact"/>
        <w:rPr>
          <w:sz w:val="20"/>
          <w:szCs w:val="20"/>
          <w:color w:val="auto"/>
        </w:rPr>
      </w:pPr>
    </w:p>
    <w:p>
      <w:pPr>
        <w:ind w:firstLine="478"/>
        <w:spacing w:after="0" w:line="290" w:lineRule="auto"/>
        <w:rPr>
          <w:sz w:val="20"/>
          <w:szCs w:val="20"/>
          <w:color w:val="auto"/>
        </w:rPr>
      </w:pPr>
      <w:r>
        <w:rPr>
          <w:rFonts w:ascii="Arial" w:cs="Arial" w:eastAsia="Arial" w:hAnsi="Arial"/>
          <w:sz w:val="16"/>
          <w:szCs w:val="16"/>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5" w:lineRule="exact"/>
        <w:rPr>
          <w:sz w:val="20"/>
          <w:szCs w:val="20"/>
          <w:color w:val="auto"/>
        </w:rPr>
      </w:pPr>
    </w:p>
    <w:p>
      <w:pPr>
        <w:ind w:right="20" w:firstLine="478"/>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82" w:lineRule="exact"/>
        <w:rPr>
          <w:sz w:val="20"/>
          <w:szCs w:val="20"/>
          <w:color w:val="auto"/>
        </w:rPr>
      </w:pPr>
    </w:p>
    <w:p>
      <w:pPr>
        <w:ind w:right="40" w:firstLine="478"/>
        <w:spacing w:after="0" w:line="288" w:lineRule="auto"/>
        <w:rPr>
          <w:sz w:val="20"/>
          <w:szCs w:val="20"/>
          <w:color w:val="auto"/>
        </w:rPr>
      </w:pPr>
      <w:r>
        <w:rPr>
          <w:rFonts w:ascii="Arial" w:cs="Arial" w:eastAsia="Arial" w:hAnsi="Arial"/>
          <w:sz w:val="16"/>
          <w:szCs w:val="16"/>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left="480" w:right="1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2" w:lineRule="exact"/>
        <w:rPr>
          <w:sz w:val="20"/>
          <w:szCs w:val="20"/>
          <w:color w:val="auto"/>
        </w:rPr>
      </w:pPr>
    </w:p>
    <w:p>
      <w:pPr>
        <w:ind w:firstLine="478"/>
        <w:spacing w:after="0" w:line="288" w:lineRule="auto"/>
        <w:rPr>
          <w:sz w:val="20"/>
          <w:szCs w:val="20"/>
          <w:color w:val="auto"/>
        </w:rPr>
      </w:pPr>
      <w:r>
        <w:rPr>
          <w:rFonts w:ascii="Arial" w:cs="Arial" w:eastAsia="Arial" w:hAnsi="Arial"/>
          <w:sz w:val="16"/>
          <w:szCs w:val="16"/>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68" w:lineRule="exact"/>
        <w:rPr>
          <w:sz w:val="20"/>
          <w:szCs w:val="20"/>
          <w:color w:val="auto"/>
        </w:rPr>
      </w:pPr>
    </w:p>
    <w:p>
      <w:pPr>
        <w:ind w:right="20" w:firstLine="478"/>
        <w:spacing w:after="0" w:line="287"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Rights to improvements to our product candidates may be held by third parties.</w:t>
      </w:r>
    </w:p>
    <w:p>
      <w:pPr>
        <w:spacing w:after="0" w:line="117" w:lineRule="exact"/>
        <w:rPr>
          <w:sz w:val="20"/>
          <w:szCs w:val="20"/>
          <w:color w:val="auto"/>
        </w:rPr>
      </w:pPr>
    </w:p>
    <w:p>
      <w:pPr>
        <w:ind w:right="40" w:firstLine="478"/>
        <w:spacing w:after="0" w:line="268" w:lineRule="auto"/>
        <w:rPr>
          <w:sz w:val="20"/>
          <w:szCs w:val="20"/>
          <w:color w:val="auto"/>
        </w:rPr>
      </w:pPr>
      <w:r>
        <w:rPr>
          <w:rFonts w:ascii="Arial" w:cs="Arial" w:eastAsia="Arial" w:hAnsi="Arial"/>
          <w:sz w:val="17"/>
          <w:szCs w:val="17"/>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term of our patents may be inadequate to protect our competitive position on our products.</w:t>
      </w:r>
    </w:p>
    <w:p>
      <w:pPr>
        <w:spacing w:after="0" w:line="117" w:lineRule="exact"/>
        <w:rPr>
          <w:sz w:val="20"/>
          <w:szCs w:val="20"/>
          <w:color w:val="auto"/>
        </w:rPr>
      </w:pPr>
    </w:p>
    <w:p>
      <w:pPr>
        <w:ind w:right="20" w:firstLine="478"/>
        <w:spacing w:after="0" w:line="293"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spacing w:after="0" w:line="287" w:lineRule="auto"/>
        <w:rPr>
          <w:sz w:val="20"/>
          <w:szCs w:val="20"/>
          <w:color w:val="auto"/>
        </w:rPr>
      </w:pPr>
      <w:r>
        <w:rPr>
          <w:rFonts w:ascii="Arial" w:cs="Arial" w:eastAsia="Arial" w:hAnsi="Arial"/>
          <w:sz w:val="16"/>
          <w:szCs w:val="16"/>
          <w:color w:val="auto"/>
        </w:rPr>
        <w:t>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76" w:lineRule="exact"/>
        <w:rPr>
          <w:sz w:val="20"/>
          <w:szCs w:val="20"/>
          <w:color w:val="auto"/>
        </w:rPr>
      </w:pPr>
    </w:p>
    <w:p>
      <w:pPr>
        <w:ind w:left="480" w:right="2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6" w:lineRule="exact"/>
        <w:rPr>
          <w:sz w:val="20"/>
          <w:szCs w:val="20"/>
          <w:color w:val="auto"/>
        </w:rPr>
      </w:pPr>
    </w:p>
    <w:p>
      <w:pPr>
        <w:ind w:right="80" w:firstLine="478"/>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76" w:lineRule="exact"/>
        <w:rPr>
          <w:sz w:val="20"/>
          <w:szCs w:val="20"/>
          <w:color w:val="auto"/>
        </w:rPr>
      </w:pPr>
    </w:p>
    <w:p>
      <w:pPr>
        <w:ind w:left="480" w:right="3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62" w:lineRule="exact"/>
        <w:rPr>
          <w:sz w:val="20"/>
          <w:szCs w:val="20"/>
          <w:color w:val="auto"/>
        </w:rPr>
      </w:pPr>
    </w:p>
    <w:p>
      <w:pPr>
        <w:ind w:right="60" w:firstLine="478"/>
        <w:spacing w:after="0" w:line="286" w:lineRule="auto"/>
        <w:rPr>
          <w:sz w:val="20"/>
          <w:szCs w:val="20"/>
          <w:color w:val="auto"/>
        </w:rPr>
      </w:pPr>
      <w:r>
        <w:rPr>
          <w:rFonts w:ascii="Arial" w:cs="Arial" w:eastAsia="Arial" w:hAnsi="Arial"/>
          <w:sz w:val="16"/>
          <w:szCs w:val="16"/>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left="48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47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60" w:right="240" w:hanging="480"/>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62"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60" w:right="1240" w:hanging="480"/>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7"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960" w:right="140" w:hanging="480"/>
        <w:spacing w:after="0" w:line="342" w:lineRule="auto"/>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60" w:right="360" w:hanging="480"/>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 how, and a third party may subsequently file a patent covering such intellectual property.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480" w:right="1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80" w:firstLine="478"/>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960" w:right="6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62"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future preclinical or clinical trials or funding support by us, or future collaborators or licensing partners;</w:t>
      </w:r>
    </w:p>
    <w:p>
      <w:pPr>
        <w:spacing w:after="0" w:line="62" w:lineRule="exact"/>
        <w:rPr>
          <w:rFonts w:ascii="Arial" w:cs="Arial" w:eastAsia="Arial" w:hAnsi="Arial"/>
          <w:sz w:val="18"/>
          <w:szCs w:val="18"/>
          <w:color w:val="auto"/>
        </w:rPr>
      </w:pPr>
    </w:p>
    <w:p>
      <w:pPr>
        <w:ind w:left="960" w:right="14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960" w:right="28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recent COVID-19 pandemic.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3" w:name="page64"/>
    <w:bookmarkEnd w:id="63"/>
    <w:p>
      <w:pPr>
        <w:ind w:right="60" w:firstLine="478"/>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left="480" w:right="3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which could result in substantial losses for purchasers of our common stock.</w:t>
      </w:r>
    </w:p>
    <w:p>
      <w:pPr>
        <w:spacing w:after="0" w:line="62" w:lineRule="exact"/>
        <w:rPr>
          <w:sz w:val="20"/>
          <w:szCs w:val="20"/>
          <w:color w:val="auto"/>
        </w:rPr>
      </w:pPr>
    </w:p>
    <w:p>
      <w:pPr>
        <w:ind w:right="20" w:firstLine="47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the Quarterly Report on Form 10-Q and the following:</w:t>
      </w:r>
    </w:p>
    <w:p>
      <w:pPr>
        <w:spacing w:after="0" w:line="79" w:lineRule="exact"/>
        <w:rPr>
          <w:sz w:val="20"/>
          <w:szCs w:val="20"/>
          <w:color w:val="auto"/>
        </w:rPr>
      </w:pPr>
    </w:p>
    <w:p>
      <w:pPr>
        <w:ind w:left="960" w:right="320" w:hanging="480"/>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enrollment or results of clinical trials of our product candidates, or those of our competitors or our future collaborators, or changes in the development status of our product candidates;</w:t>
      </w:r>
    </w:p>
    <w:p>
      <w:pPr>
        <w:spacing w:after="0" w:line="62"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developments concerning any future collaborations, including but not limited to those with development and commercialization partners;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960" w:right="120" w:hanging="480"/>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60" w:right="80" w:hanging="480"/>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 insiders or our stockholders;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64" w:name="page65"/>
    <w:bookmarkEnd w:id="64"/>
    <w:p>
      <w:pPr>
        <w:ind w:left="960" w:right="580" w:hanging="480"/>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0" w:lineRule="exact"/>
        <w:rPr>
          <w:sz w:val="20"/>
          <w:szCs w:val="20"/>
          <w:color w:val="auto"/>
        </w:rPr>
      </w:pPr>
    </w:p>
    <w:p>
      <w:pPr>
        <w:ind w:right="180" w:firstLine="478"/>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8" w:lineRule="exact"/>
        <w:rPr>
          <w:sz w:val="20"/>
          <w:szCs w:val="20"/>
          <w:color w:val="auto"/>
        </w:rPr>
      </w:pPr>
    </w:p>
    <w:p>
      <w:pPr>
        <w:ind w:right="120" w:firstLine="478"/>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right="60" w:firstLine="478"/>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If our stockholders sell, or the market perceives that our stockholders intend to sell, substantial amounts of our common stock in the public market before or after the lock-up and other legal restrictions on resale lapse in connection with our IPO, the market price of our common stock could decline significantly. Each of our officers, directors, and substantially all of our pre-IPO stockholders have entered into lock-up agreements with the underwriters in our IPO that restrict their ability to sell or transfer their shares. These lock-up agreements will expire March 23, 2021. However, the underwriters in our IPO may, in their sole discretion, permit our officers, directors, and other current stockholders who are subject to the contractual lock-up to sell shares prior to the expiration of the lock-up agreements. After the lock-up agreements expire, a substantial number of shares of common stock will be eligible for sale in the public market.</w:t>
      </w:r>
    </w:p>
    <w:p>
      <w:pPr>
        <w:spacing w:after="0" w:line="161" w:lineRule="exact"/>
        <w:rPr>
          <w:sz w:val="20"/>
          <w:szCs w:val="20"/>
          <w:color w:val="auto"/>
        </w:rPr>
      </w:pPr>
    </w:p>
    <w:p>
      <w:pPr>
        <w:ind w:right="280" w:firstLine="478"/>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165"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including conducting our planned clinical trials, manufacturing and commercialization efforts, expanded research and development activities and costs associated with operating as a public company.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jc w:val="both"/>
        <w:ind w:right="220" w:firstLine="478"/>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65"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96" w:lineRule="exact"/>
        <w:rPr>
          <w:sz w:val="20"/>
          <w:szCs w:val="20"/>
          <w:color w:val="auto"/>
        </w:rPr>
      </w:pPr>
    </w:p>
    <w:p>
      <w:pPr>
        <w:ind w:right="680" w:firstLine="47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40" w:firstLine="478"/>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left="480" w:right="1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76" w:lineRule="exact"/>
        <w:rPr>
          <w:sz w:val="20"/>
          <w:szCs w:val="20"/>
          <w:color w:val="auto"/>
        </w:rPr>
      </w:pPr>
    </w:p>
    <w:p>
      <w:pPr>
        <w:jc w:val="both"/>
        <w:ind w:right="400" w:firstLine="478"/>
        <w:spacing w:after="0" w:line="263" w:lineRule="auto"/>
        <w:rPr>
          <w:sz w:val="20"/>
          <w:szCs w:val="20"/>
          <w:color w:val="auto"/>
        </w:rPr>
      </w:pPr>
      <w:r>
        <w:rPr>
          <w:rFonts w:ascii="Arial" w:cs="Arial" w:eastAsia="Arial" w:hAnsi="Arial"/>
          <w:sz w:val="18"/>
          <w:szCs w:val="18"/>
          <w:color w:val="auto"/>
        </w:rPr>
        <w:t>As of September 30, 2020, our executive officers, directors, beneficial owners of 5% or more of our capital stock and their respective affiliates beneficially owned approximately 71.6% of our common stock. The voting power of this group may increase to the extent they convert shares of non-voting common stock they hold into common stock.</w:t>
      </w:r>
    </w:p>
    <w:p>
      <w:pPr>
        <w:spacing w:after="0" w:line="184" w:lineRule="exact"/>
        <w:rPr>
          <w:sz w:val="20"/>
          <w:szCs w:val="20"/>
          <w:color w:val="auto"/>
        </w:rPr>
      </w:pPr>
    </w:p>
    <w:p>
      <w:pPr>
        <w:ind w:right="160" w:firstLine="478"/>
        <w:spacing w:after="0" w:line="293" w:lineRule="auto"/>
        <w:rPr>
          <w:sz w:val="20"/>
          <w:szCs w:val="20"/>
          <w:color w:val="auto"/>
        </w:rPr>
      </w:pPr>
      <w:r>
        <w:rPr>
          <w:rFonts w:ascii="Arial" w:cs="Arial" w:eastAsia="Arial" w:hAnsi="Arial"/>
          <w:sz w:val="16"/>
          <w:szCs w:val="16"/>
          <w:color w:val="auto"/>
        </w:rPr>
        <w:t>This group of stockholders have the ability to control us through this ownership position and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2"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2" w:lineRule="exact"/>
        <w:rPr>
          <w:sz w:val="20"/>
          <w:szCs w:val="20"/>
          <w:color w:val="auto"/>
        </w:rPr>
      </w:pPr>
    </w:p>
    <w:p>
      <w:pPr>
        <w:ind w:firstLine="478"/>
        <w:spacing w:after="0" w:line="287" w:lineRule="auto"/>
        <w:rPr>
          <w:sz w:val="20"/>
          <w:szCs w:val="20"/>
          <w:color w:val="auto"/>
        </w:rPr>
      </w:pPr>
      <w:r>
        <w:rPr>
          <w:rFonts w:ascii="Arial" w:cs="Arial" w:eastAsia="Arial" w:hAnsi="Arial"/>
          <w:sz w:val="16"/>
          <w:szCs w:val="16"/>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to become effective.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September 30, 2020, the common stock will have 100% of the voting power, but if the holders of non-voting common stock were to convert all of their shares into common stock, the prior common stock would have 74.6% of the voting power, and the former non-voting common stock would represent 25.4%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60" w:firstLine="478"/>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60" w:firstLine="478"/>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300" w:lineRule="exact"/>
        <w:rPr>
          <w:sz w:val="20"/>
          <w:szCs w:val="20"/>
          <w:color w:val="auto"/>
        </w:rPr>
      </w:pPr>
    </w:p>
    <w:p>
      <w:pPr>
        <w:ind w:left="480" w:right="38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ind w:right="60" w:firstLine="478"/>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report.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6" w:name="page67"/>
    <w:bookmarkEnd w:id="66"/>
    <w:p>
      <w:pPr>
        <w:ind w:firstLine="478"/>
        <w:spacing w:after="0" w:line="286" w:lineRule="auto"/>
        <w:rPr>
          <w:sz w:val="20"/>
          <w:szCs w:val="20"/>
          <w:color w:val="auto"/>
        </w:rPr>
      </w:pPr>
      <w:r>
        <w:rPr>
          <w:rFonts w:ascii="Arial" w:cs="Arial" w:eastAsia="Arial" w:hAnsi="Arial"/>
          <w:sz w:val="16"/>
          <w:szCs w:val="16"/>
          <w:color w:val="auto"/>
        </w:rPr>
        <w:t>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64" w:lineRule="exact"/>
        <w:rPr>
          <w:sz w:val="20"/>
          <w:szCs w:val="20"/>
          <w:color w:val="auto"/>
        </w:rPr>
      </w:pPr>
    </w:p>
    <w:p>
      <w:pPr>
        <w:ind w:firstLine="478"/>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64" w:lineRule="exact"/>
        <w:rPr>
          <w:sz w:val="20"/>
          <w:szCs w:val="20"/>
          <w:color w:val="auto"/>
        </w:rPr>
      </w:pPr>
    </w:p>
    <w:p>
      <w:pPr>
        <w:ind w:right="360" w:firstLine="478"/>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w:t>
      </w:r>
    </w:p>
    <w:p>
      <w:pPr>
        <w:ind w:right="60" w:firstLine="8"/>
        <w:spacing w:after="0" w:line="252"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2" w:lineRule="exact"/>
        <w:rPr>
          <w:sz w:val="20"/>
          <w:szCs w:val="20"/>
          <w:color w:val="auto"/>
        </w:rPr>
      </w:pPr>
    </w:p>
    <w:p>
      <w:pPr>
        <w:ind w:left="480" w:right="6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38"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76" w:lineRule="exact"/>
        <w:rPr>
          <w:sz w:val="20"/>
          <w:szCs w:val="20"/>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960" w:right="90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jc w:val="both"/>
        <w:ind w:right="60" w:firstLine="478"/>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left="480" w:right="40"/>
        <w:spacing w:after="0" w:line="375" w:lineRule="auto"/>
        <w:rPr>
          <w:sz w:val="20"/>
          <w:szCs w:val="20"/>
          <w:color w:val="auto"/>
        </w:rPr>
      </w:pPr>
      <w:r>
        <w:rPr>
          <w:rFonts w:ascii="Arial" w:cs="Arial" w:eastAsia="Arial" w:hAnsi="Arial"/>
          <w:sz w:val="15"/>
          <w:szCs w:val="15"/>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1" w:lineRule="exact"/>
        <w:rPr>
          <w:sz w:val="20"/>
          <w:szCs w:val="20"/>
          <w:color w:val="auto"/>
        </w:rPr>
      </w:pPr>
    </w:p>
    <w:p>
      <w:pPr>
        <w:ind w:right="20" w:firstLine="478"/>
        <w:spacing w:after="0" w:line="275"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76"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20" w:firstLine="478"/>
        <w:spacing w:after="0" w:line="254"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92"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95" w:lineRule="exact"/>
        <w:rPr>
          <w:sz w:val="20"/>
          <w:szCs w:val="20"/>
          <w:color w:val="auto"/>
        </w:rPr>
      </w:pPr>
    </w:p>
    <w:p>
      <w:pPr>
        <w:ind w:left="480" w:right="3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478"/>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8" w:name="page69"/>
    <w:bookmarkEnd w:id="68"/>
    <w:p>
      <w:pPr>
        <w:ind w:firstLine="478"/>
        <w:spacing w:after="0" w:line="271"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the Nasdaq Global Market.</w:t>
      </w:r>
    </w:p>
    <w:p>
      <w:pPr>
        <w:spacing w:after="0" w:line="290" w:lineRule="exact"/>
        <w:rPr>
          <w:sz w:val="20"/>
          <w:szCs w:val="20"/>
          <w:color w:val="auto"/>
        </w:rPr>
      </w:pPr>
    </w:p>
    <w:p>
      <w:pPr>
        <w:ind w:left="480" w:right="1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00" w:firstLine="478"/>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60" w:firstLine="478"/>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66" w:lineRule="exact"/>
        <w:rPr>
          <w:sz w:val="20"/>
          <w:szCs w:val="20"/>
          <w:color w:val="auto"/>
        </w:rPr>
      </w:pPr>
    </w:p>
    <w:p>
      <w:pPr>
        <w:ind w:right="540" w:firstLine="47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34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Description</w:t>
            </w:r>
          </w:p>
        </w:tc>
        <w:tc>
          <w:tcPr>
            <w:tcW w:w="1760" w:type="dxa"/>
            <w:vAlign w:val="bottom"/>
          </w:tcPr>
          <w:p>
            <w:pPr>
              <w:ind w:left="1240"/>
              <w:spacing w:after="0"/>
              <w:rPr>
                <w:sz w:val="20"/>
                <w:szCs w:val="20"/>
                <w:color w:val="auto"/>
              </w:rPr>
            </w:pPr>
            <w:r>
              <w:rPr>
                <w:rFonts w:ascii="Arial" w:cs="Arial" w:eastAsia="Arial" w:hAnsi="Arial"/>
                <w:sz w:val="14"/>
                <w:szCs w:val="14"/>
                <w:b w:val="1"/>
                <w:bCs w:val="1"/>
                <w:color w:val="auto"/>
              </w:rPr>
              <w:t>Form</w:t>
            </w: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2000" w:type="dxa"/>
            <w:vAlign w:val="bottom"/>
          </w:tcPr>
          <w:p>
            <w:pPr>
              <w:ind w:left="180"/>
              <w:spacing w:after="0"/>
              <w:rPr>
                <w:sz w:val="20"/>
                <w:szCs w:val="20"/>
                <w:color w:val="auto"/>
              </w:rPr>
            </w:pPr>
            <w:r>
              <w:rPr>
                <w:rFonts w:ascii="Arial" w:cs="Arial" w:eastAsia="Arial" w:hAnsi="Arial"/>
                <w:sz w:val="14"/>
                <w:szCs w:val="14"/>
                <w:b w:val="1"/>
                <w:bCs w:val="1"/>
                <w:color w:val="auto"/>
              </w:rPr>
              <w:t>Exhibit No.  Exhibit Filing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4"/>
                <w:szCs w:val="14"/>
                <w:color w:val="auto"/>
              </w:rPr>
            </w:pPr>
          </w:p>
        </w:tc>
        <w:tc>
          <w:tcPr>
            <w:tcW w:w="434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5460" w:type="dxa"/>
            <w:vAlign w:val="bottom"/>
            <w:gridSpan w:val="10"/>
          </w:tcPr>
          <w:p>
            <w:pPr>
              <w:spacing w:after="0"/>
              <w:rPr>
                <w:rFonts w:ascii="Arial" w:cs="Arial" w:eastAsia="Arial" w:hAnsi="Arial"/>
                <w:sz w:val="18"/>
                <w:szCs w:val="18"/>
                <w:u w:val="single" w:color="auto"/>
                <w:color w:val="0000EE"/>
                <w:w w:val="92"/>
              </w:rPr>
            </w:pPr>
            <w:hyperlink w:anchor="page72">
              <w:r>
                <w:rPr>
                  <w:rFonts w:ascii="Arial" w:cs="Arial" w:eastAsia="Arial" w:hAnsi="Arial"/>
                  <w:sz w:val="18"/>
                  <w:szCs w:val="18"/>
                  <w:u w:val="single" w:color="auto"/>
                  <w:color w:val="0000EE"/>
                  <w:w w:val="92"/>
                </w:rPr>
                <w:t>Restated Certificate of Incorporation of Prelude Therapeutics Incorporated</w:t>
              </w:r>
            </w:hyperlink>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5460" w:type="dxa"/>
            <w:vAlign w:val="bottom"/>
            <w:gridSpan w:val="10"/>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Restated Bylaws of Prelude Therapeutics Incorporated</w:t>
              </w:r>
            </w:hyperlink>
          </w:p>
        </w:tc>
        <w:tc>
          <w:tcPr>
            <w:tcW w:w="520" w:type="dxa"/>
            <w:vAlign w:val="bottom"/>
          </w:tcPr>
          <w:p>
            <w:pPr>
              <w:spacing w:after="0"/>
              <w:rPr>
                <w:sz w:val="19"/>
                <w:szCs w:val="19"/>
                <w:color w:val="auto"/>
              </w:rPr>
            </w:pPr>
          </w:p>
        </w:tc>
        <w:tc>
          <w:tcPr>
            <w:tcW w:w="1380" w:type="dxa"/>
            <w:vAlign w:val="bottom"/>
            <w:vMerge w:val="restart"/>
          </w:tcPr>
          <w:p>
            <w:pPr>
              <w:ind w:left="60"/>
              <w:spacing w:after="0"/>
              <w:rPr>
                <w:sz w:val="20"/>
                <w:szCs w:val="20"/>
                <w:color w:val="auto"/>
              </w:rPr>
            </w:pPr>
            <w:r>
              <w:rPr>
                <w:rFonts w:ascii="Arial" w:cs="Arial" w:eastAsia="Arial" w:hAnsi="Arial"/>
                <w:sz w:val="18"/>
                <w:szCs w:val="18"/>
                <w:color w:val="auto"/>
                <w:w w:val="99"/>
              </w:rPr>
              <w:t>333-248628  4.1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5460" w:type="dxa"/>
            <w:vAlign w:val="bottom"/>
            <w:gridSpan w:val="10"/>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Form of Common Stock Certificate.</w:t>
              </w:r>
            </w:hyperlink>
          </w:p>
        </w:tc>
        <w:tc>
          <w:tcPr>
            <w:tcW w:w="520" w:type="dxa"/>
            <w:vAlign w:val="bottom"/>
          </w:tcPr>
          <w:p>
            <w:pPr>
              <w:ind w:left="20"/>
              <w:spacing w:after="0"/>
              <w:rPr>
                <w:sz w:val="20"/>
                <w:szCs w:val="20"/>
                <w:color w:val="auto"/>
              </w:rPr>
            </w:pPr>
            <w:r>
              <w:rPr>
                <w:rFonts w:ascii="Arial" w:cs="Arial" w:eastAsia="Arial" w:hAnsi="Arial"/>
                <w:sz w:val="18"/>
                <w:szCs w:val="18"/>
                <w:color w:val="auto"/>
              </w:rPr>
              <w:t>S-1/A</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5460" w:type="dxa"/>
            <w:vAlign w:val="bottom"/>
            <w:gridSpan w:val="10"/>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Form of Indemnification Agreement with directors and officers.</w:t>
              </w:r>
            </w:hyperlink>
          </w:p>
        </w:tc>
        <w:tc>
          <w:tcPr>
            <w:tcW w:w="520" w:type="dxa"/>
            <w:vAlign w:val="bottom"/>
          </w:tcPr>
          <w:p>
            <w:pPr>
              <w:ind w:left="20"/>
              <w:spacing w:after="0"/>
              <w:rPr>
                <w:sz w:val="20"/>
                <w:szCs w:val="20"/>
                <w:color w:val="auto"/>
              </w:rPr>
            </w:pPr>
            <w:r>
              <w:rPr>
                <w:rFonts w:ascii="Arial" w:cs="Arial" w:eastAsia="Arial" w:hAnsi="Arial"/>
                <w:sz w:val="18"/>
                <w:szCs w:val="18"/>
                <w:color w:val="auto"/>
              </w:rPr>
              <w:t>S-1</w:t>
            </w:r>
          </w:p>
        </w:tc>
        <w:tc>
          <w:tcPr>
            <w:tcW w:w="1380" w:type="dxa"/>
            <w:vAlign w:val="bottom"/>
          </w:tcPr>
          <w:p>
            <w:pPr>
              <w:ind w:left="60"/>
              <w:spacing w:after="0"/>
              <w:rPr>
                <w:sz w:val="20"/>
                <w:szCs w:val="20"/>
                <w:color w:val="auto"/>
              </w:rPr>
            </w:pPr>
            <w:r>
              <w:rPr>
                <w:rFonts w:ascii="Arial" w:cs="Arial" w:eastAsia="Arial" w:hAnsi="Arial"/>
                <w:sz w:val="18"/>
                <w:szCs w:val="18"/>
                <w:color w:val="auto"/>
                <w:w w:val="92"/>
              </w:rPr>
              <w:t>333-248628  10.1</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5460" w:type="dxa"/>
            <w:vAlign w:val="bottom"/>
            <w:gridSpan w:val="10"/>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2016 Stock Incentive Plan and forms of award agreements.</w:t>
              </w:r>
            </w:hyperlink>
          </w:p>
        </w:tc>
        <w:tc>
          <w:tcPr>
            <w:tcW w:w="520" w:type="dxa"/>
            <w:vAlign w:val="bottom"/>
          </w:tcPr>
          <w:p>
            <w:pPr>
              <w:ind w:left="20"/>
              <w:spacing w:after="0"/>
              <w:rPr>
                <w:sz w:val="20"/>
                <w:szCs w:val="20"/>
                <w:color w:val="auto"/>
              </w:rPr>
            </w:pPr>
            <w:r>
              <w:rPr>
                <w:rFonts w:ascii="Arial" w:cs="Arial" w:eastAsia="Arial" w:hAnsi="Arial"/>
                <w:sz w:val="18"/>
                <w:szCs w:val="18"/>
                <w:color w:val="auto"/>
              </w:rPr>
              <w:t>S-1</w:t>
            </w:r>
          </w:p>
        </w:tc>
        <w:tc>
          <w:tcPr>
            <w:tcW w:w="1380" w:type="dxa"/>
            <w:vAlign w:val="bottom"/>
          </w:tcPr>
          <w:p>
            <w:pPr>
              <w:ind w:left="60"/>
              <w:spacing w:after="0"/>
              <w:rPr>
                <w:sz w:val="20"/>
                <w:szCs w:val="20"/>
                <w:color w:val="auto"/>
              </w:rPr>
            </w:pPr>
            <w:r>
              <w:rPr>
                <w:rFonts w:ascii="Arial" w:cs="Arial" w:eastAsia="Arial" w:hAnsi="Arial"/>
                <w:sz w:val="18"/>
                <w:szCs w:val="18"/>
                <w:color w:val="auto"/>
                <w:w w:val="92"/>
              </w:rPr>
              <w:t>333-248628  10.2</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5460" w:type="dxa"/>
            <w:vAlign w:val="bottom"/>
            <w:gridSpan w:val="10"/>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2020 Equity Incentive Plan and forms of award agreements.</w:t>
              </w:r>
            </w:hyperlink>
          </w:p>
        </w:tc>
        <w:tc>
          <w:tcPr>
            <w:tcW w:w="1900" w:type="dxa"/>
            <w:vAlign w:val="bottom"/>
            <w:gridSpan w:val="2"/>
          </w:tcPr>
          <w:p>
            <w:pPr>
              <w:ind w:left="20"/>
              <w:spacing w:after="0"/>
              <w:rPr>
                <w:sz w:val="20"/>
                <w:szCs w:val="20"/>
                <w:color w:val="auto"/>
              </w:rPr>
            </w:pPr>
            <w:r>
              <w:rPr>
                <w:rFonts w:ascii="Arial" w:cs="Arial" w:eastAsia="Arial" w:hAnsi="Arial"/>
                <w:sz w:val="18"/>
                <w:szCs w:val="18"/>
                <w:color w:val="auto"/>
                <w:w w:val="94"/>
              </w:rPr>
              <w:t>S-1/A  333-248628  10.3</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5460" w:type="dxa"/>
            <w:vAlign w:val="bottom"/>
            <w:gridSpan w:val="10"/>
          </w:tcPr>
          <w:p>
            <w:pPr>
              <w:spacing w:after="0"/>
              <w:rPr>
                <w:rFonts w:ascii="Arial" w:cs="Arial" w:eastAsia="Arial" w:hAnsi="Arial"/>
                <w:sz w:val="18"/>
                <w:szCs w:val="18"/>
                <w:u w:val="single" w:color="auto"/>
                <w:color w:val="0000EE"/>
                <w:w w:val="96"/>
              </w:rPr>
            </w:pPr>
            <w:hyperlink r:id="rId93">
              <w:r>
                <w:rPr>
                  <w:rFonts w:ascii="Arial" w:cs="Arial" w:eastAsia="Arial" w:hAnsi="Arial"/>
                  <w:sz w:val="18"/>
                  <w:szCs w:val="18"/>
                  <w:u w:val="single" w:color="auto"/>
                  <w:color w:val="0000EE"/>
                  <w:w w:val="96"/>
                </w:rPr>
                <w:t>2020 Employee Stock Purchase Plan and forms of award agreements.</w:t>
              </w:r>
            </w:hyperlink>
          </w:p>
        </w:tc>
        <w:tc>
          <w:tcPr>
            <w:tcW w:w="520" w:type="dxa"/>
            <w:vAlign w:val="bottom"/>
          </w:tcPr>
          <w:p>
            <w:pPr>
              <w:ind w:left="20"/>
              <w:spacing w:after="0"/>
              <w:rPr>
                <w:sz w:val="20"/>
                <w:szCs w:val="20"/>
                <w:color w:val="auto"/>
              </w:rPr>
            </w:pPr>
            <w:r>
              <w:rPr>
                <w:rFonts w:ascii="Arial" w:cs="Arial" w:eastAsia="Arial" w:hAnsi="Arial"/>
                <w:sz w:val="18"/>
                <w:szCs w:val="18"/>
                <w:color w:val="auto"/>
              </w:rPr>
              <w:t>S-1/A</w:t>
            </w:r>
          </w:p>
        </w:tc>
        <w:tc>
          <w:tcPr>
            <w:tcW w:w="1380" w:type="dxa"/>
            <w:vAlign w:val="bottom"/>
          </w:tcPr>
          <w:p>
            <w:pPr>
              <w:ind w:left="60"/>
              <w:spacing w:after="0"/>
              <w:rPr>
                <w:sz w:val="20"/>
                <w:szCs w:val="20"/>
                <w:color w:val="auto"/>
              </w:rPr>
            </w:pPr>
            <w:r>
              <w:rPr>
                <w:rFonts w:ascii="Arial" w:cs="Arial" w:eastAsia="Arial" w:hAnsi="Arial"/>
                <w:sz w:val="18"/>
                <w:szCs w:val="18"/>
                <w:color w:val="auto"/>
                <w:w w:val="92"/>
              </w:rPr>
              <w:t>333-248628  10.4</w:t>
            </w: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518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of Principal Executive Officer Pursuant to Rules 13a-14(a)</w:t>
              </w:r>
            </w:hyperlink>
          </w:p>
        </w:tc>
        <w:tc>
          <w:tcPr>
            <w:tcW w:w="280" w:type="dxa"/>
            <w:vAlign w:val="bottom"/>
            <w:gridSpan w:val="5"/>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and 15d-14(a) under the Securities Exchange Act of 1934, as Adopted</w:t>
              </w:r>
            </w:hyperlink>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504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Pursuant to Section 302 of the Sarbanes-Oxley Act of 2002.</w:t>
              </w:r>
            </w:hyperlink>
          </w:p>
        </w:tc>
        <w:tc>
          <w:tcPr>
            <w:tcW w:w="420" w:type="dxa"/>
            <w:vAlign w:val="bottom"/>
            <w:gridSpan w:val="6"/>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Arial" w:cs="Arial" w:eastAsia="Arial" w:hAnsi="Arial"/>
                <w:sz w:val="18"/>
                <w:szCs w:val="18"/>
                <w:color w:val="auto"/>
              </w:rPr>
              <w:t>31.2</w:t>
            </w:r>
          </w:p>
        </w:tc>
        <w:tc>
          <w:tcPr>
            <w:tcW w:w="544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Certification of Principal Financial Officer Pursuant to Rules 13a-14(a) and</w:t>
              </w:r>
            </w:hyperlink>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15d-14(a) under the Securities Exchange Act of 1934, as Adopted Pursuant</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to Section 302 of the Sarbanes-Oxley Act of 2002</w:t>
              </w:r>
              <w:r>
                <w:rPr>
                  <w:rFonts w:ascii="Arial" w:cs="Arial" w:eastAsia="Arial" w:hAnsi="Arial"/>
                  <w:sz w:val="18"/>
                  <w:szCs w:val="18"/>
                  <w:color w:val="000000"/>
                </w:rPr>
                <w:t>.</w:t>
              </w:r>
            </w:hyperlink>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53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Certification of Principal Executive Officer Pursuant to 18 U.S.C. Section</w:t>
              </w:r>
            </w:hyperlink>
          </w:p>
        </w:tc>
        <w:tc>
          <w:tcPr>
            <w:tcW w:w="14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w w:val="94"/>
              </w:rPr>
            </w:pPr>
            <w:hyperlink w:anchor="page108">
              <w:r>
                <w:rPr>
                  <w:rFonts w:ascii="Arial" w:cs="Arial" w:eastAsia="Arial" w:hAnsi="Arial"/>
                  <w:sz w:val="18"/>
                  <w:szCs w:val="18"/>
                  <w:color w:val="0000EE"/>
                  <w:w w:val="94"/>
                </w:rPr>
                <w:t>1350, as Adopted Pursuant to Section 906 of the Sarbanes-Oxley Act of</w:t>
              </w:r>
            </w:hyperlink>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108">
              <w:r>
                <w:rPr>
                  <w:rFonts w:ascii="Arial" w:cs="Arial" w:eastAsia="Arial" w:hAnsi="Arial"/>
                  <w:sz w:val="18"/>
                  <w:szCs w:val="18"/>
                  <w:color w:val="0000EE"/>
                  <w:w w:val="84"/>
                </w:rPr>
                <w:t>2002.</w:t>
              </w:r>
            </w:hyperlink>
          </w:p>
        </w:tc>
        <w:tc>
          <w:tcPr>
            <w:tcW w:w="32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5460" w:type="dxa"/>
            <w:vAlign w:val="bottom"/>
            <w:gridSpan w:val="10"/>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Certification of Principal Financial Officer Pursuant to 18 U.S.C. Section</w:t>
              </w:r>
            </w:hyperlink>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26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1350, as Adopted Pursuant to Section 906 of the Sarbanes-Oxley Act of</w:t>
              </w:r>
            </w:hyperlink>
          </w:p>
        </w:tc>
        <w:tc>
          <w:tcPr>
            <w:tcW w:w="2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109">
              <w:r>
                <w:rPr>
                  <w:rFonts w:ascii="Arial" w:cs="Arial" w:eastAsia="Arial" w:hAnsi="Arial"/>
                  <w:sz w:val="18"/>
                  <w:szCs w:val="18"/>
                  <w:color w:val="0000EE"/>
                  <w:w w:val="84"/>
                </w:rPr>
                <w:t>2002</w:t>
              </w:r>
              <w:r>
                <w:rPr>
                  <w:rFonts w:ascii="Arial" w:cs="Arial" w:eastAsia="Arial" w:hAnsi="Arial"/>
                  <w:sz w:val="18"/>
                  <w:szCs w:val="18"/>
                  <w:color w:val="000000"/>
                  <w:w w:val="84"/>
                </w:rPr>
                <w:t>.</w:t>
              </w:r>
            </w:hyperlink>
          </w:p>
        </w:tc>
        <w:tc>
          <w:tcPr>
            <w:tcW w:w="32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54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6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09/16/2020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09/04/2020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09/04/2020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09/21/2020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09/21/2020</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4"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X</w:t>
      </w:r>
    </w:p>
    <w:p>
      <w:pPr>
        <w:spacing w:after="0" w:line="222" w:lineRule="exact"/>
        <w:rPr>
          <w:sz w:val="20"/>
          <w:szCs w:val="20"/>
          <w:color w:val="auto"/>
        </w:rPr>
      </w:pPr>
    </w:p>
    <w:p>
      <w:pPr>
        <w:sectPr>
          <w:pgSz w:w="11900" w:h="16838" w:orient="portrait"/>
          <w:cols w:equalWidth="0" w:num="2">
            <w:col w:w="8360" w:space="600"/>
            <w:col w:w="2280"/>
          </w:cols>
          <w:pgMar w:left="320" w:top="337" w:right="339" w:bottom="1440" w:gutter="0" w:footer="0" w:header="0"/>
          <w:type w:val="continuous"/>
        </w:sectPr>
      </w:pPr>
    </w:p>
    <w:p>
      <w:pPr>
        <w:spacing w:after="0" w:line="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certifications furnished in Exhibits 32.1 and 32.2 hereto are deemed to accompany this Form 10-Q and are not deemed “filed” for purposes of</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951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3420" w:type="dxa"/>
            <w:vAlign w:val="bottom"/>
            <w:gridSpan w:val="2"/>
          </w:tcPr>
          <w:p>
            <w:pPr>
              <w:ind w:left="1740"/>
              <w:spacing w:after="0"/>
              <w:rPr>
                <w:sz w:val="20"/>
                <w:szCs w:val="20"/>
                <w:color w:val="auto"/>
              </w:rPr>
            </w:pPr>
            <w:r>
              <w:rPr>
                <w:rFonts w:ascii="Arial" w:cs="Arial" w:eastAsia="Arial" w:hAnsi="Arial"/>
                <w:sz w:val="18"/>
                <w:szCs w:val="18"/>
                <w:color w:val="auto"/>
              </w:rPr>
              <w:t>Company Name</w:t>
            </w:r>
          </w:p>
        </w:tc>
        <w:tc>
          <w:tcPr>
            <w:tcW w:w="4200" w:type="dxa"/>
            <w:vAlign w:val="bottom"/>
          </w:tcPr>
          <w:p>
            <w:pPr>
              <w:spacing w:after="0"/>
              <w:rPr>
                <w:sz w:val="20"/>
                <w:szCs w:val="20"/>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November 10, 2020</w:t>
            </w:r>
          </w:p>
        </w:tc>
        <w:tc>
          <w:tcPr>
            <w:tcW w:w="342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200" w:type="dxa"/>
            <w:vAlign w:val="bottom"/>
          </w:tcPr>
          <w:p>
            <w:pPr>
              <w:jc w:val="center"/>
              <w:ind w:right="1310"/>
              <w:spacing w:after="0"/>
              <w:rPr>
                <w:sz w:val="20"/>
                <w:szCs w:val="20"/>
                <w:color w:val="auto"/>
              </w:rPr>
            </w:pPr>
            <w:r>
              <w:rPr>
                <w:rFonts w:ascii="Arial" w:cs="Arial" w:eastAsia="Arial" w:hAnsi="Arial"/>
                <w:sz w:val="18"/>
                <w:szCs w:val="18"/>
                <w:color w:val="auto"/>
                <w:w w:val="91"/>
              </w:rPr>
              <w:t>/s/ Krishna Vaddi</w:t>
            </w:r>
          </w:p>
        </w:tc>
      </w:tr>
      <w:tr>
        <w:trPr>
          <w:trHeight w:val="218"/>
        </w:trPr>
        <w:tc>
          <w:tcPr>
            <w:tcW w:w="36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jc w:val="center"/>
              <w:ind w:right="1310"/>
              <w:spacing w:after="0"/>
              <w:rPr>
                <w:sz w:val="20"/>
                <w:szCs w:val="20"/>
                <w:color w:val="auto"/>
              </w:rPr>
            </w:pPr>
            <w:r>
              <w:rPr>
                <w:rFonts w:ascii="Arial" w:cs="Arial" w:eastAsia="Arial" w:hAnsi="Arial"/>
                <w:sz w:val="18"/>
                <w:szCs w:val="18"/>
                <w:color w:val="auto"/>
                <w:w w:val="91"/>
              </w:rPr>
              <w:t>Krishna Vaddi, PhD</w:t>
            </w:r>
          </w:p>
        </w:tc>
      </w:tr>
      <w:tr>
        <w:trPr>
          <w:trHeight w:val="234"/>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Chief Executive Officer</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November 10, 2020</w:t>
            </w:r>
          </w:p>
        </w:tc>
        <w:tc>
          <w:tcPr>
            <w:tcW w:w="342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200" w:type="dxa"/>
            <w:vAlign w:val="bottom"/>
          </w:tcPr>
          <w:p>
            <w:pPr>
              <w:jc w:val="center"/>
              <w:ind w:right="1310"/>
              <w:spacing w:after="0"/>
              <w:rPr>
                <w:sz w:val="20"/>
                <w:szCs w:val="20"/>
                <w:color w:val="auto"/>
              </w:rPr>
            </w:pPr>
            <w:r>
              <w:rPr>
                <w:rFonts w:ascii="Arial" w:cs="Arial" w:eastAsia="Arial" w:hAnsi="Arial"/>
                <w:sz w:val="18"/>
                <w:szCs w:val="18"/>
                <w:color w:val="auto"/>
                <w:w w:val="91"/>
              </w:rPr>
              <w:t>/s/ Brian Piper</w:t>
            </w:r>
          </w:p>
        </w:tc>
      </w:tr>
      <w:tr>
        <w:trPr>
          <w:trHeight w:val="218"/>
        </w:trPr>
        <w:tc>
          <w:tcPr>
            <w:tcW w:w="36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jc w:val="center"/>
              <w:ind w:right="1310"/>
              <w:spacing w:after="0"/>
              <w:rPr>
                <w:sz w:val="20"/>
                <w:szCs w:val="20"/>
                <w:color w:val="auto"/>
              </w:rPr>
            </w:pPr>
            <w:r>
              <w:rPr>
                <w:rFonts w:ascii="Arial" w:cs="Arial" w:eastAsia="Arial" w:hAnsi="Arial"/>
                <w:sz w:val="18"/>
                <w:szCs w:val="18"/>
                <w:b w:val="1"/>
                <w:bCs w:val="1"/>
                <w:color w:val="auto"/>
                <w:w w:val="93"/>
              </w:rPr>
              <w:t>Brian Piper, M.B.A.</w:t>
            </w:r>
          </w:p>
        </w:tc>
      </w:tr>
      <w:tr>
        <w:trPr>
          <w:trHeight w:val="234"/>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675"/>
        </w:trPr>
        <w:tc>
          <w:tcPr>
            <w:tcW w:w="3620" w:type="dxa"/>
            <w:vAlign w:val="bottom"/>
          </w:tcPr>
          <w:p>
            <w:pPr>
              <w:spacing w:after="0"/>
              <w:rPr>
                <w:sz w:val="24"/>
                <w:szCs w:val="24"/>
                <w:color w:val="auto"/>
              </w:rPr>
            </w:pPr>
          </w:p>
        </w:tc>
        <w:tc>
          <w:tcPr>
            <w:tcW w:w="3420" w:type="dxa"/>
            <w:vAlign w:val="bottom"/>
            <w:gridSpan w:val="2"/>
          </w:tcPr>
          <w:p>
            <w:pPr>
              <w:jc w:val="right"/>
              <w:ind w:right="1320"/>
              <w:spacing w:after="0"/>
              <w:rPr>
                <w:sz w:val="20"/>
                <w:szCs w:val="20"/>
                <w:color w:val="auto"/>
              </w:rPr>
            </w:pPr>
            <w:r>
              <w:rPr>
                <w:rFonts w:ascii="Arial" w:cs="Arial" w:eastAsia="Arial" w:hAnsi="Arial"/>
                <w:sz w:val="18"/>
                <w:szCs w:val="18"/>
                <w:color w:val="auto"/>
              </w:rPr>
              <w:t>69</w:t>
            </w:r>
          </w:p>
        </w:tc>
        <w:tc>
          <w:tcPr>
            <w:tcW w:w="42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1" w:name="page72"/>
    <w:bookmarkEnd w:id="71"/>
    <w:p>
      <w:pPr>
        <w:ind w:left="10240"/>
        <w:spacing w:after="0"/>
        <w:rPr>
          <w:sz w:val="20"/>
          <w:szCs w:val="20"/>
          <w:color w:val="auto"/>
        </w:rPr>
      </w:pPr>
      <w:r>
        <w:rPr>
          <w:rFonts w:ascii="Arial" w:cs="Arial" w:eastAsia="Arial" w:hAnsi="Arial"/>
          <w:sz w:val="19"/>
          <w:szCs w:val="19"/>
          <w:b w:val="1"/>
          <w:bCs w:val="1"/>
          <w:color w:val="auto"/>
        </w:rPr>
        <w:t>Exhibit 3.1</w:t>
      </w:r>
    </w:p>
    <w:p>
      <w:pPr>
        <w:spacing w:after="0" w:line="200" w:lineRule="exact"/>
        <w:rPr>
          <w:sz w:val="20"/>
          <w:szCs w:val="20"/>
          <w:color w:val="auto"/>
        </w:rPr>
      </w:pPr>
    </w:p>
    <w:p>
      <w:pPr>
        <w:spacing w:after="0" w:line="284"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PRELUDE THERAPEUTICS INCORPORATED</w:t>
      </w:r>
    </w:p>
    <w:p>
      <w:pPr>
        <w:spacing w:after="0" w:line="20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RESTATED CERTIFICATE OF INCORPORATION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Prelude Therapeutics Incorporated, a Delaware corporation, hereby certifies as follows:</w:t>
      </w:r>
    </w:p>
    <w:p>
      <w:pPr>
        <w:spacing w:after="0" w:line="206" w:lineRule="exact"/>
        <w:rPr>
          <w:sz w:val="20"/>
          <w:szCs w:val="20"/>
          <w:color w:val="auto"/>
        </w:rPr>
      </w:pPr>
    </w:p>
    <w:p>
      <w:pPr>
        <w:ind w:left="120" w:right="20" w:firstLine="744"/>
        <w:spacing w:after="0" w:line="250" w:lineRule="auto"/>
        <w:tabs>
          <w:tab w:leader="none" w:pos="1679"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name of this corporation is “Prelude Therapeutics Incorporated.” The date of the filing of its original Certificate of Incorporation with the Secretary of State of the State of Delaware was February 5, 2016.</w:t>
      </w:r>
    </w:p>
    <w:p>
      <w:pPr>
        <w:spacing w:after="0" w:line="174" w:lineRule="exact"/>
        <w:rPr>
          <w:rFonts w:ascii="Arial" w:cs="Arial" w:eastAsia="Arial" w:hAnsi="Arial"/>
          <w:sz w:val="22"/>
          <w:szCs w:val="22"/>
          <w:color w:val="auto"/>
        </w:rPr>
      </w:pPr>
    </w:p>
    <w:p>
      <w:pPr>
        <w:jc w:val="both"/>
        <w:ind w:right="20" w:firstLine="872"/>
        <w:spacing w:after="0" w:line="248" w:lineRule="auto"/>
        <w:tabs>
          <w:tab w:leader="none" w:pos="1674"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The Restated Certificate of Incorporation of this corporation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77"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IN WITNESS WHEREOF, this corporation has caused this Restated Certificate of Incorporation to be signed by its duly authorized officer and the foregoing facts stated herein are true and correct.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0" w:type="dxa"/>
            <w:vAlign w:val="bottom"/>
          </w:tcPr>
          <w:p>
            <w:pPr>
              <w:spacing w:after="0"/>
              <w:rPr>
                <w:sz w:val="20"/>
                <w:szCs w:val="20"/>
                <w:color w:val="auto"/>
              </w:rPr>
            </w:pPr>
            <w:r>
              <w:rPr>
                <w:rFonts w:ascii="Arial" w:cs="Arial" w:eastAsia="Arial" w:hAnsi="Arial"/>
                <w:sz w:val="22"/>
                <w:szCs w:val="22"/>
                <w:color w:val="auto"/>
              </w:rPr>
              <w:t>Dated: September 29, 2020</w:t>
            </w:r>
          </w:p>
        </w:tc>
        <w:tc>
          <w:tcPr>
            <w:tcW w:w="7240" w:type="dxa"/>
            <w:vAlign w:val="bottom"/>
            <w:gridSpan w:val="2"/>
          </w:tcPr>
          <w:p>
            <w:pPr>
              <w:ind w:left="1620"/>
              <w:spacing w:after="0"/>
              <w:rPr>
                <w:sz w:val="20"/>
                <w:szCs w:val="20"/>
                <w:color w:val="auto"/>
              </w:rPr>
            </w:pPr>
            <w:r>
              <w:rPr>
                <w:rFonts w:ascii="Arial" w:cs="Arial" w:eastAsia="Arial" w:hAnsi="Arial"/>
                <w:sz w:val="22"/>
                <w:szCs w:val="22"/>
                <w:color w:val="auto"/>
              </w:rPr>
              <w:t>PRELUDE THERAPEUTICS INCORPORATED</w:t>
            </w:r>
          </w:p>
        </w:tc>
        <w:tc>
          <w:tcPr>
            <w:tcW w:w="20" w:type="dxa"/>
            <w:vAlign w:val="bottom"/>
          </w:tcPr>
          <w:p>
            <w:pPr>
              <w:spacing w:after="0"/>
              <w:rPr>
                <w:sz w:val="23"/>
                <w:szCs w:val="23"/>
                <w:color w:val="auto"/>
              </w:rPr>
            </w:pPr>
          </w:p>
        </w:tc>
      </w:tr>
      <w:tr>
        <w:trPr>
          <w:trHeight w:val="476"/>
        </w:trPr>
        <w:tc>
          <w:tcPr>
            <w:tcW w:w="4000" w:type="dxa"/>
            <w:vAlign w:val="bottom"/>
          </w:tcPr>
          <w:p>
            <w:pPr>
              <w:spacing w:after="0"/>
              <w:rPr>
                <w:sz w:val="24"/>
                <w:szCs w:val="24"/>
                <w:color w:val="auto"/>
              </w:rPr>
            </w:pPr>
          </w:p>
        </w:tc>
        <w:tc>
          <w:tcPr>
            <w:tcW w:w="2420" w:type="dxa"/>
            <w:vAlign w:val="bottom"/>
          </w:tcPr>
          <w:p>
            <w:pPr>
              <w:ind w:left="1620"/>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Krishna Vaddi</w:t>
            </w:r>
          </w:p>
        </w:tc>
        <w:tc>
          <w:tcPr>
            <w:tcW w:w="20" w:type="dxa"/>
            <w:vAlign w:val="bottom"/>
          </w:tcPr>
          <w:p>
            <w:pPr>
              <w:spacing w:after="0"/>
              <w:rPr>
                <w:sz w:val="24"/>
                <w:szCs w:val="24"/>
                <w:color w:val="auto"/>
              </w:rPr>
            </w:pPr>
          </w:p>
        </w:tc>
      </w:tr>
      <w:tr>
        <w:trPr>
          <w:trHeight w:val="215"/>
        </w:trPr>
        <w:tc>
          <w:tcPr>
            <w:tcW w:w="4000" w:type="dxa"/>
            <w:vAlign w:val="bottom"/>
          </w:tcPr>
          <w:p>
            <w:pPr>
              <w:spacing w:after="0"/>
              <w:rPr>
                <w:sz w:val="18"/>
                <w:szCs w:val="18"/>
                <w:color w:val="auto"/>
              </w:rPr>
            </w:pPr>
          </w:p>
        </w:tc>
        <w:tc>
          <w:tcPr>
            <w:tcW w:w="2420" w:type="dxa"/>
            <w:vAlign w:val="bottom"/>
          </w:tcPr>
          <w:p>
            <w:pPr>
              <w:ind w:left="1620"/>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Krishna Vaddi</w:t>
            </w:r>
          </w:p>
        </w:tc>
        <w:tc>
          <w:tcPr>
            <w:tcW w:w="20" w:type="dxa"/>
            <w:vAlign w:val="bottom"/>
          </w:tcPr>
          <w:p>
            <w:pPr>
              <w:spacing w:after="0"/>
              <w:rPr>
                <w:sz w:val="18"/>
                <w:szCs w:val="18"/>
                <w:color w:val="auto"/>
              </w:rPr>
            </w:pPr>
          </w:p>
        </w:tc>
      </w:tr>
      <w:tr>
        <w:trPr>
          <w:trHeight w:val="274"/>
        </w:trPr>
        <w:tc>
          <w:tcPr>
            <w:tcW w:w="4000" w:type="dxa"/>
            <w:vAlign w:val="bottom"/>
          </w:tcPr>
          <w:p>
            <w:pPr>
              <w:spacing w:after="0"/>
              <w:rPr>
                <w:sz w:val="23"/>
                <w:szCs w:val="23"/>
                <w:color w:val="auto"/>
              </w:rPr>
            </w:pPr>
          </w:p>
        </w:tc>
        <w:tc>
          <w:tcPr>
            <w:tcW w:w="2420" w:type="dxa"/>
            <w:vAlign w:val="bottom"/>
          </w:tcPr>
          <w:p>
            <w:pPr>
              <w:ind w:left="1620"/>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3"/>
                <w:szCs w:val="23"/>
                <w:color w:val="auto"/>
              </w:rPr>
            </w:pPr>
          </w:p>
        </w:tc>
      </w:tr>
      <w:tr>
        <w:trPr>
          <w:trHeight w:val="1252"/>
        </w:trPr>
        <w:tc>
          <w:tcPr>
            <w:tcW w:w="40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8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PRELUDE THERAPEUTICS INCORPORATED</w:t>
      </w:r>
    </w:p>
    <w:p>
      <w:pPr>
        <w:spacing w:after="0" w:line="20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RESTATED CERTIFICATE OF INCORPORATION</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I: NAME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name of the corporation is Prelude Therapeutics Incorporated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w:t>
      </w:r>
    </w:p>
    <w:p>
      <w:pPr>
        <w:spacing w:after="0" w:line="200"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ARTICLE II: AGENT FOR SERVICE OF PROCESS</w:t>
      </w:r>
    </w:p>
    <w:p>
      <w:pPr>
        <w:spacing w:after="0" w:line="212" w:lineRule="exact"/>
        <w:rPr>
          <w:sz w:val="20"/>
          <w:szCs w:val="20"/>
          <w:color w:val="auto"/>
        </w:rPr>
      </w:pPr>
    </w:p>
    <w:p>
      <w:pPr>
        <w:ind w:right="180" w:firstLine="864"/>
        <w:spacing w:after="0" w:line="257" w:lineRule="auto"/>
        <w:rPr>
          <w:sz w:val="20"/>
          <w:szCs w:val="20"/>
          <w:color w:val="auto"/>
        </w:rPr>
      </w:pPr>
      <w:r>
        <w:rPr>
          <w:rFonts w:ascii="Arial" w:cs="Arial" w:eastAsia="Arial" w:hAnsi="Arial"/>
          <w:sz w:val="21"/>
          <w:szCs w:val="21"/>
          <w:color w:val="auto"/>
        </w:rPr>
        <w:t>The address of the registered office of this Company in the State of Delaware is 1201 North Market Street, 18</w:t>
      </w:r>
      <w:r>
        <w:rPr>
          <w:rFonts w:ascii="Arial" w:cs="Arial" w:eastAsia="Arial" w:hAnsi="Arial"/>
          <w:sz w:val="17"/>
          <w:szCs w:val="17"/>
          <w:color w:val="auto"/>
        </w:rPr>
        <w:t>th</w:t>
      </w:r>
      <w:r>
        <w:rPr>
          <w:rFonts w:ascii="Arial" w:cs="Arial" w:eastAsia="Arial" w:hAnsi="Arial"/>
          <w:sz w:val="21"/>
          <w:szCs w:val="21"/>
          <w:color w:val="auto"/>
        </w:rPr>
        <w:t xml:space="preserve"> Floor, Post Office Box 1347, in the City of Wilmington, County of New Castle, 19801, and the name of the registered agent of this Corporation in the State of Delaware at such address is Delaware Corporation Organizers,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 PURPOSE</w:t>
      </w:r>
    </w:p>
    <w:p>
      <w:pPr>
        <w:spacing w:after="0" w:line="21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General Corporation Law of the State of Delaware (the “</w:t>
      </w:r>
      <w:r>
        <w:rPr>
          <w:rFonts w:ascii="Arial" w:cs="Arial" w:eastAsia="Arial" w:hAnsi="Arial"/>
          <w:sz w:val="22"/>
          <w:szCs w:val="22"/>
          <w:b w:val="1"/>
          <w:bCs w:val="1"/>
          <w:i w:val="1"/>
          <w:iCs w:val="1"/>
          <w:color w:val="auto"/>
        </w:rPr>
        <w:t>General Corporation Law</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AUTHORIZED STOCK</w:t>
      </w:r>
    </w:p>
    <w:p>
      <w:pPr>
        <w:spacing w:after="0" w:line="206" w:lineRule="exact"/>
        <w:rPr>
          <w:sz w:val="20"/>
          <w:szCs w:val="20"/>
          <w:color w:val="auto"/>
        </w:rPr>
      </w:pPr>
    </w:p>
    <w:p>
      <w:pPr>
        <w:jc w:val="both"/>
        <w:ind w:firstLine="872"/>
        <w:spacing w:after="0" w:line="260" w:lineRule="auto"/>
        <w:tabs>
          <w:tab w:leader="none" w:pos="167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Total Authorized</w:t>
      </w:r>
      <w:r>
        <w:rPr>
          <w:rFonts w:ascii="Arial" w:cs="Arial" w:eastAsia="Arial" w:hAnsi="Arial"/>
          <w:sz w:val="21"/>
          <w:szCs w:val="21"/>
          <w:color w:val="auto"/>
        </w:rPr>
        <w:t>. The total number of shares of all classes of stock that the Corporation has authority to</w:t>
      </w:r>
      <w:r>
        <w:rPr>
          <w:rFonts w:ascii="Arial" w:cs="Arial" w:eastAsia="Arial" w:hAnsi="Arial"/>
          <w:sz w:val="21"/>
          <w:szCs w:val="21"/>
          <w:b w:val="1"/>
          <w:bCs w:val="1"/>
          <w:color w:val="auto"/>
        </w:rPr>
        <w:t xml:space="preserve"> </w:t>
      </w:r>
      <w:r>
        <w:rPr>
          <w:rFonts w:ascii="Arial" w:cs="Arial" w:eastAsia="Arial" w:hAnsi="Arial"/>
          <w:sz w:val="21"/>
          <w:szCs w:val="21"/>
          <w:color w:val="auto"/>
        </w:rPr>
        <w:t>issue is 510,000,000 shares, consisting of two classes: 500,000,000 shares of Common Stock, $0.0001 par value per share (“</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and 10,000,000 shares of Preferred Stock, $0.0001 par value per share (“</w:t>
      </w:r>
      <w:r>
        <w:rPr>
          <w:rFonts w:ascii="Arial" w:cs="Arial" w:eastAsia="Arial" w:hAnsi="Arial"/>
          <w:sz w:val="21"/>
          <w:szCs w:val="21"/>
          <w:b w:val="1"/>
          <w:bCs w:val="1"/>
          <w:i w:val="1"/>
          <w:iCs w:val="1"/>
          <w:color w:val="auto"/>
        </w:rPr>
        <w:t>Preferred Stock</w:t>
      </w:r>
      <w:r>
        <w:rPr>
          <w:rFonts w:ascii="Arial" w:cs="Arial" w:eastAsia="Arial" w:hAnsi="Arial"/>
          <w:sz w:val="21"/>
          <w:szCs w:val="21"/>
          <w:color w:val="auto"/>
        </w:rPr>
        <w:t>”).</w:t>
      </w:r>
    </w:p>
    <w:p>
      <w:pPr>
        <w:spacing w:after="0" w:line="16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487,149,741 shares of the Common Stock are voting and are hereby designated as “</w:t>
      </w:r>
      <w:r>
        <w:rPr>
          <w:rFonts w:ascii="Arial" w:cs="Arial" w:eastAsia="Arial" w:hAnsi="Arial"/>
          <w:sz w:val="21"/>
          <w:szCs w:val="21"/>
          <w:b w:val="1"/>
          <w:bCs w:val="1"/>
          <w:i w:val="1"/>
          <w:iCs w:val="1"/>
          <w:color w:val="auto"/>
        </w:rPr>
        <w:t>Voting Common Stock</w:t>
      </w:r>
      <w:r>
        <w:rPr>
          <w:rFonts w:ascii="Arial" w:cs="Arial" w:eastAsia="Arial" w:hAnsi="Arial"/>
          <w:sz w:val="21"/>
          <w:szCs w:val="21"/>
          <w:color w:val="auto"/>
        </w:rPr>
        <w:t>” and 12,850,259 shares of the Common Stock are non-voting and are hereby designated as “</w:t>
      </w:r>
      <w:r>
        <w:rPr>
          <w:rFonts w:ascii="Arial" w:cs="Arial" w:eastAsia="Arial" w:hAnsi="Arial"/>
          <w:sz w:val="21"/>
          <w:szCs w:val="21"/>
          <w:b w:val="1"/>
          <w:bCs w:val="1"/>
          <w:i w:val="1"/>
          <w:iCs w:val="1"/>
          <w:color w:val="auto"/>
        </w:rPr>
        <w:t>Non-Voting Common Stock</w:t>
      </w:r>
      <w:r>
        <w:rPr>
          <w:rFonts w:ascii="Arial" w:cs="Arial" w:eastAsia="Arial" w:hAnsi="Arial"/>
          <w:sz w:val="21"/>
          <w:szCs w:val="21"/>
          <w:color w:val="auto"/>
        </w:rPr>
        <w:t>,” each with the following rights, preferences, powers, privileges and restrictions, qualifications and limitations. For the avoidance of doubt, each reference to “Common Stock” in this Restated Certificate of Incorporation, as amended from time to time, shall be deemed to include both Voting Common Stock and Non-Voting Common Stock.</w:t>
      </w:r>
    </w:p>
    <w:p>
      <w:pPr>
        <w:spacing w:after="0" w:line="172" w:lineRule="exact"/>
        <w:rPr>
          <w:sz w:val="20"/>
          <w:szCs w:val="20"/>
          <w:color w:val="auto"/>
        </w:rPr>
      </w:pPr>
    </w:p>
    <w:p>
      <w:pPr>
        <w:ind w:left="1680" w:hanging="808"/>
        <w:spacing w:after="0"/>
        <w:tabs>
          <w:tab w:leader="none" w:pos="168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Designation of Additional Series.</w:t>
      </w:r>
    </w:p>
    <w:p>
      <w:pPr>
        <w:spacing w:after="0" w:line="212"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2.1. The Board of Directors of the Corporation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9"/>
          <w:szCs w:val="19"/>
          <w:b w:val="1"/>
          <w:bCs w:val="1"/>
          <w:i w:val="1"/>
          <w:iCs w:val="1"/>
          <w:color w:val="auto"/>
        </w:rPr>
        <w:t>Certificate of Designation</w:t>
      </w:r>
      <w:r>
        <w:rPr>
          <w:rFonts w:ascii="Arial" w:cs="Arial" w:eastAsia="Arial" w:hAnsi="Arial"/>
          <w:sz w:val="19"/>
          <w:szCs w:val="19"/>
          <w:color w:val="auto"/>
        </w:rPr>
        <w:t>”),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9"/>
          <w:szCs w:val="19"/>
          <w:color w:val="auto"/>
        </w:rPr>
        <w:t xml:space="preserve">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two-thirds of the Whole Board (as defined below) has approved such increase or decrease of the number of</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Whole Board</w:t>
      </w:r>
      <w:r>
        <w:rPr>
          <w:rFonts w:ascii="Arial" w:cs="Arial" w:eastAsia="Arial" w:hAnsi="Arial"/>
          <w:sz w:val="19"/>
          <w:szCs w:val="19"/>
          <w:color w:val="auto"/>
        </w:rPr>
        <w:t>” shall mean the total number of authorized directors whether or not there exist any vacancies in previously authorized directorships.</w:t>
      </w:r>
    </w:p>
    <w:p>
      <w:pPr>
        <w:spacing w:after="0" w:line="160"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Voting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91"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2.3 Each outstanding share of Voting Common Stock shall entitle the holder thereof to one vote on each matter properly submitted to the stockholders of the Corporation for their vote;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that</w:t>
      </w:r>
      <w:r>
        <w:rPr>
          <w:rFonts w:ascii="Arial" w:cs="Arial" w:eastAsia="Arial" w:hAnsi="Arial"/>
          <w:sz w:val="21"/>
          <w:szCs w:val="21"/>
          <w:color w:val="auto"/>
        </w:rPr>
        <w:t>, except as otherwise required by law, holders of Voting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84"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2.4 Any holder of Non-Voting Common Stock may elect to convert each share of Non-Voting Common Stock into one fully paid and non-assessable share of Voting Common Stock at any time by providing written notice to the Corporation; provided, however, that such shares of Non-Voting Common Stock may only be converted by a holder of Non-Voting Common Stock into shares of Voting Common Stock during such time or times as immediately prior to or as a result of such conversion would not result in such holder (when aggregated with affiliates with whom such holder is required to aggregate beneficial ownership for purposes of Section 13(d) of the Securities Exchange Act of 1934, as amended, and the rules and regulations promulgated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jc w:val="both"/>
        <w:spacing w:after="0" w:line="238" w:lineRule="auto"/>
        <w:rPr>
          <w:sz w:val="20"/>
          <w:szCs w:val="20"/>
          <w:color w:val="auto"/>
        </w:rPr>
      </w:pPr>
      <w:r>
        <w:rPr>
          <w:rFonts w:ascii="Arial" w:cs="Arial" w:eastAsia="Arial" w:hAnsi="Arial"/>
          <w:sz w:val="22"/>
          <w:szCs w:val="22"/>
          <w:color w:val="auto"/>
        </w:rPr>
        <w:t>thereunder (collectively, the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being a beneficial owner (for purposes of Section 13(d) of the Exchange Act) (a “</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in excess of the Beneficial Ownership Limitation (as defined in Section 6(b) below). Except for the fact that the Non-Voting Common Stock has no voting rights, the Non-Voting Common Stock is identical in all respects to the Voting Common Stock.</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Beneficial Ownership Limitation</w:t>
      </w:r>
      <w:r>
        <w:rPr>
          <w:rFonts w:ascii="Arial" w:cs="Arial" w:eastAsia="Arial" w:hAnsi="Arial"/>
          <w:sz w:val="19"/>
          <w:szCs w:val="19"/>
          <w:color w:val="auto"/>
        </w:rPr>
        <w:t>” means initially 9.99% of any class of securities of the Corporation registered under the Exchange Act, which percentage may be increased (not to exceed 19.99%) or decreased to such other percentage as any holder may designate (solely with respect to such holder and not with respect to any other holder) in writing upon 61 days’ notice to the Corporation, provided, however, that no holder may make such an election to change the percentage unless all holders managed by the same investment advisor as such electing holder make the same election.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AMENDMENT OF BYLAWS</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The Board shall have the power to adopt, amend or repeal the Bylaws of the Corporation (as the same may be amended and/or restated from time to time,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that</w:t>
      </w:r>
      <w:r>
        <w:rPr>
          <w:rFonts w:ascii="Arial" w:cs="Arial" w:eastAsia="Arial" w:hAnsi="Arial"/>
          <w:sz w:val="19"/>
          <w:szCs w:val="19"/>
          <w:color w:val="auto"/>
        </w:rPr>
        <w:t>, notwithstanding any other provision of this Certificate of Incorporation or any provision of law that might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further</w:t>
      </w:r>
      <w:r>
        <w:rPr>
          <w:rFonts w:ascii="Arial" w:cs="Arial" w:eastAsia="Arial" w:hAnsi="Arial"/>
          <w:sz w:val="19"/>
          <w:szCs w:val="19"/>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 MATTERS RELATING TO THE BOARD OF DIRECTORS</w:t>
      </w:r>
    </w:p>
    <w:p>
      <w:pPr>
        <w:spacing w:after="0" w:line="206" w:lineRule="exact"/>
        <w:rPr>
          <w:sz w:val="20"/>
          <w:szCs w:val="20"/>
          <w:color w:val="auto"/>
        </w:rPr>
      </w:pPr>
    </w:p>
    <w:p>
      <w:pPr>
        <w:jc w:val="both"/>
        <w:ind w:firstLine="872"/>
        <w:spacing w:after="0" w:line="243" w:lineRule="auto"/>
        <w:tabs>
          <w:tab w:leader="none" w:pos="1674"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Director Powers</w:t>
      </w:r>
      <w:r>
        <w:rPr>
          <w:rFonts w:ascii="Arial" w:cs="Arial" w:eastAsia="Arial" w:hAnsi="Arial"/>
          <w:sz w:val="22"/>
          <w:szCs w:val="22"/>
          <w:color w:val="auto"/>
        </w:rPr>
        <w:t>. Except as otherwise provided by the General Corporation Law, the Bylaws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or this Certificate of Incorporation, the business and affairs of the Corporation shall be managed by or under the direction of the Board.</w:t>
      </w:r>
    </w:p>
    <w:p>
      <w:pPr>
        <w:spacing w:after="0" w:line="176" w:lineRule="exact"/>
        <w:rPr>
          <w:rFonts w:ascii="Arial" w:cs="Arial" w:eastAsia="Arial" w:hAnsi="Arial"/>
          <w:sz w:val="22"/>
          <w:szCs w:val="22"/>
          <w:b w:val="1"/>
          <w:bCs w:val="1"/>
          <w:color w:val="auto"/>
        </w:rPr>
      </w:pPr>
    </w:p>
    <w:p>
      <w:pPr>
        <w:jc w:val="both"/>
        <w:ind w:firstLine="872"/>
        <w:spacing w:after="0" w:line="243" w:lineRule="auto"/>
        <w:tabs>
          <w:tab w:leader="none" w:pos="1668"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Number of Directors</w:t>
      </w:r>
      <w:r>
        <w:rPr>
          <w:rFonts w:ascii="Arial" w:cs="Arial" w:eastAsia="Arial" w:hAnsi="Arial"/>
          <w:sz w:val="22"/>
          <w:szCs w:val="22"/>
          <w:color w:val="auto"/>
        </w:rPr>
        <w:t>. Subject to the special rights of the holders of any series of Preferred Stock to elect</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directors under specified circumstances, the total number of directors constituting the Whole Board shall be fixed from time to time exclusively by resolution adopted by a majority of the Whole Board.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ind w:firstLine="872"/>
        <w:spacing w:after="0" w:line="272" w:lineRule="auto"/>
        <w:tabs>
          <w:tab w:leader="none" w:pos="1674"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Classified Board</w:t>
      </w:r>
      <w:r>
        <w:rPr>
          <w:rFonts w:ascii="Arial" w:cs="Arial" w:eastAsia="Arial" w:hAnsi="Arial"/>
          <w:sz w:val="19"/>
          <w:szCs w:val="19"/>
          <w:color w:val="auto"/>
        </w:rPr>
        <w:t>. Subject to the special rights of the holders of one or more series of Preferred Stock to elect</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directors under specified circumstances, the directors shall be divided, with respect to the time for which they severally hold office, into three classes designated as Class I, Class II and Class III, respectively (the “</w:t>
      </w:r>
      <w:r>
        <w:rPr>
          <w:rFonts w:ascii="Arial" w:cs="Arial" w:eastAsia="Arial" w:hAnsi="Arial"/>
          <w:sz w:val="19"/>
          <w:szCs w:val="19"/>
          <w:b w:val="1"/>
          <w:bCs w:val="1"/>
          <w:i w:val="1"/>
          <w:iCs w:val="1"/>
          <w:color w:val="auto"/>
        </w:rPr>
        <w:t>Classified Board</w:t>
      </w:r>
      <w:r>
        <w:rPr>
          <w:rFonts w:ascii="Arial" w:cs="Arial" w:eastAsia="Arial" w:hAnsi="Arial"/>
          <w:sz w:val="19"/>
          <w:szCs w:val="19"/>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Voting Common Stock to the public (the “</w:t>
      </w:r>
      <w:r>
        <w:rPr>
          <w:rFonts w:ascii="Arial" w:cs="Arial" w:eastAsia="Arial" w:hAnsi="Arial"/>
          <w:sz w:val="19"/>
          <w:szCs w:val="19"/>
          <w:b w:val="1"/>
          <w:bCs w:val="1"/>
          <w:i w:val="1"/>
          <w:iCs w:val="1"/>
          <w:color w:val="auto"/>
        </w:rPr>
        <w:t>Initial Public Offering</w:t>
      </w:r>
      <w:r>
        <w:rPr>
          <w:rFonts w:ascii="Arial" w:cs="Arial" w:eastAsia="Arial" w:hAnsi="Arial"/>
          <w:sz w:val="19"/>
          <w:szCs w:val="19"/>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51" w:lineRule="exact"/>
        <w:rPr>
          <w:rFonts w:ascii="Arial" w:cs="Arial" w:eastAsia="Arial" w:hAnsi="Arial"/>
          <w:sz w:val="19"/>
          <w:szCs w:val="19"/>
          <w:b w:val="1"/>
          <w:bCs w:val="1"/>
          <w:color w:val="auto"/>
        </w:rPr>
      </w:pPr>
    </w:p>
    <w:p>
      <w:pPr>
        <w:jc w:val="both"/>
        <w:ind w:firstLine="872"/>
        <w:spacing w:after="0" w:line="245" w:lineRule="auto"/>
        <w:tabs>
          <w:tab w:leader="none" w:pos="1674"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and Removal</w:t>
      </w:r>
      <w:r>
        <w:rPr>
          <w:rFonts w:ascii="Arial" w:cs="Arial" w:eastAsia="Arial" w:hAnsi="Arial"/>
          <w:sz w:val="21"/>
          <w:szCs w:val="21"/>
          <w:color w:val="auto"/>
        </w:rPr>
        <w:t>. Each director shall hold office until the annual meeting at which such director’s term</w:t>
      </w:r>
      <w:r>
        <w:rPr>
          <w:rFonts w:ascii="Arial" w:cs="Arial" w:eastAsia="Arial" w:hAnsi="Arial"/>
          <w:sz w:val="21"/>
          <w:szCs w:val="21"/>
          <w:b w:val="1"/>
          <w:bCs w:val="1"/>
          <w:color w:val="auto"/>
        </w:rPr>
        <w:t xml:space="preserve"> </w:t>
      </w:r>
      <w:r>
        <w:rPr>
          <w:rFonts w:ascii="Arial" w:cs="Arial" w:eastAsia="Arial" w:hAnsi="Arial"/>
          <w:sz w:val="21"/>
          <w:szCs w:val="21"/>
          <w:color w:val="auto"/>
        </w:rPr>
        <w:t>expires and until such director’s 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73" w:lineRule="exact"/>
        <w:rPr>
          <w:rFonts w:ascii="Arial" w:cs="Arial" w:eastAsia="Arial" w:hAnsi="Arial"/>
          <w:sz w:val="21"/>
          <w:szCs w:val="21"/>
          <w:b w:val="1"/>
          <w:bCs w:val="1"/>
          <w:color w:val="auto"/>
        </w:rPr>
      </w:pPr>
    </w:p>
    <w:p>
      <w:pPr>
        <w:jc w:val="both"/>
        <w:ind w:firstLine="872"/>
        <w:spacing w:after="0" w:line="246" w:lineRule="auto"/>
        <w:tabs>
          <w:tab w:leader="none" w:pos="1674"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Board Vacancies and Newly Created Directorships</w:t>
      </w:r>
      <w:r>
        <w:rPr>
          <w:rFonts w:ascii="Arial" w:cs="Arial" w:eastAsia="Arial" w:hAnsi="Arial"/>
          <w:sz w:val="21"/>
          <w:szCs w:val="21"/>
          <w:color w:val="auto"/>
        </w:rPr>
        <w:t>. Subject to the special rights of the holders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series of Preferred Stock,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ind w:left="1680" w:hanging="808"/>
        <w:spacing w:after="0"/>
        <w:tabs>
          <w:tab w:leader="none" w:pos="1680"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Vote by Ballot</w:t>
      </w:r>
      <w:r>
        <w:rPr>
          <w:rFonts w:ascii="Arial" w:cs="Arial" w:eastAsia="Arial" w:hAnsi="Arial"/>
          <w:sz w:val="21"/>
          <w:szCs w:val="21"/>
          <w:color w:val="auto"/>
        </w:rPr>
        <w:t>. Election of directors need not be by written ballot unless the Bylaws shall so provide.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DIRECTOR LIABILITY</w:t>
      </w:r>
    </w:p>
    <w:p>
      <w:pPr>
        <w:spacing w:after="0" w:line="206" w:lineRule="exact"/>
        <w:rPr>
          <w:sz w:val="20"/>
          <w:szCs w:val="20"/>
          <w:color w:val="auto"/>
        </w:rPr>
      </w:pPr>
    </w:p>
    <w:p>
      <w:pPr>
        <w:jc w:val="both"/>
        <w:ind w:firstLine="872"/>
        <w:spacing w:after="0" w:line="237" w:lineRule="auto"/>
        <w:tabs>
          <w:tab w:leader="none" w:pos="1674"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 of Liability</w:t>
      </w:r>
      <w:r>
        <w:rPr>
          <w:rFonts w:ascii="Arial" w:cs="Arial" w:eastAsia="Arial" w:hAnsi="Arial"/>
          <w:sz w:val="22"/>
          <w:szCs w:val="22"/>
          <w:color w:val="auto"/>
        </w:rPr>
        <w:t>. To the fullest extent permitted by law, no director of the Corporation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personally liable for 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81"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Rights</w:t>
      </w:r>
      <w:r>
        <w:rPr>
          <w:rFonts w:ascii="Arial" w:cs="Arial" w:eastAsia="Arial" w:hAnsi="Arial"/>
          <w:sz w:val="22"/>
          <w:szCs w:val="22"/>
          <w:color w:val="auto"/>
        </w:rPr>
        <w:t>. Neither any amendment nor repeal of this Article VII, nor the adoption of any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 MATTERS RELATING TO STOCKHOLDERS</w:t>
      </w:r>
    </w:p>
    <w:p>
      <w:pPr>
        <w:spacing w:after="0" w:line="206" w:lineRule="exact"/>
        <w:rPr>
          <w:sz w:val="20"/>
          <w:szCs w:val="20"/>
          <w:color w:val="auto"/>
        </w:rPr>
      </w:pPr>
    </w:p>
    <w:p>
      <w:pPr>
        <w:jc w:val="both"/>
        <w:ind w:firstLine="872"/>
        <w:spacing w:after="0" w:line="300" w:lineRule="auto"/>
        <w:tabs>
          <w:tab w:leader="none" w:pos="1674"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Action by Written Consent of Stockholders</w:t>
      </w:r>
      <w:r>
        <w:rPr>
          <w:rFonts w:ascii="Arial" w:cs="Arial" w:eastAsia="Arial" w:hAnsi="Arial"/>
          <w:sz w:val="19"/>
          <w:szCs w:val="19"/>
          <w:color w:val="auto"/>
        </w:rPr>
        <w:t>. Subject to the rights of any series of Preferred Stock then</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no action shall be taken by the stockholders of the Corporation except at a duly called annual or special meeting of stockholders and no action shall be taken by the stockholders of the Corporation by written consent in lieu of a meeting.</w:t>
      </w:r>
    </w:p>
    <w:p>
      <w:pPr>
        <w:spacing w:after="0" w:line="125" w:lineRule="exact"/>
        <w:rPr>
          <w:rFonts w:ascii="Arial" w:cs="Arial" w:eastAsia="Arial" w:hAnsi="Arial"/>
          <w:sz w:val="19"/>
          <w:szCs w:val="19"/>
          <w:b w:val="1"/>
          <w:bCs w:val="1"/>
          <w:color w:val="auto"/>
        </w:rPr>
      </w:pPr>
    </w:p>
    <w:p>
      <w:pPr>
        <w:jc w:val="both"/>
        <w:ind w:firstLine="872"/>
        <w:spacing w:after="0" w:line="239" w:lineRule="auto"/>
        <w:tabs>
          <w:tab w:leader="none" w:pos="1674"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Special Meeting of Stockholders</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meetings of the stockholders of the Corporation may be called</w:t>
      </w:r>
      <w:r>
        <w:rPr>
          <w:rFonts w:ascii="Arial" w:cs="Arial" w:eastAsia="Arial" w:hAnsi="Arial"/>
          <w:sz w:val="22"/>
          <w:szCs w:val="22"/>
          <w:b w:val="1"/>
          <w:bCs w:val="1"/>
          <w:color w:val="auto"/>
        </w:rPr>
        <w:t xml:space="preserve"> </w:t>
      </w:r>
      <w:r>
        <w:rPr>
          <w:rFonts w:ascii="Arial" w:cs="Arial" w:eastAsia="Arial" w:hAnsi="Arial"/>
          <w:sz w:val="22"/>
          <w:szCs w:val="22"/>
          <w:color w:val="auto"/>
        </w:rPr>
        <w:t>only by the Chairperson of the 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80" w:lineRule="exact"/>
        <w:rPr>
          <w:rFonts w:ascii="Arial" w:cs="Arial" w:eastAsia="Arial" w:hAnsi="Arial"/>
          <w:sz w:val="22"/>
          <w:szCs w:val="22"/>
          <w:b w:val="1"/>
          <w:bCs w:val="1"/>
          <w:color w:val="auto"/>
        </w:rPr>
      </w:pPr>
    </w:p>
    <w:p>
      <w:pPr>
        <w:jc w:val="both"/>
        <w:ind w:firstLine="872"/>
        <w:spacing w:after="0" w:line="289" w:lineRule="auto"/>
        <w:tabs>
          <w:tab w:leader="none" w:pos="1674"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Advance Notice of Stockholder Nominations and Business Transacted at Special Meetings</w:t>
      </w:r>
      <w:r>
        <w:rPr>
          <w:rFonts w:ascii="Arial" w:cs="Arial" w:eastAsia="Arial" w:hAnsi="Arial"/>
          <w:sz w:val="19"/>
          <w:szCs w:val="19"/>
          <w:color w:val="auto"/>
        </w:rPr>
        <w:t>. Advance</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36" w:lineRule="exact"/>
        <w:rPr>
          <w:sz w:val="20"/>
          <w:szCs w:val="20"/>
          <w:color w:val="auto"/>
        </w:rPr>
      </w:pPr>
    </w:p>
    <w:p>
      <w:pPr>
        <w:jc w:val="center"/>
        <w:ind w:left="860"/>
        <w:spacing w:after="0"/>
        <w:rPr>
          <w:sz w:val="20"/>
          <w:szCs w:val="20"/>
          <w:color w:val="auto"/>
        </w:rPr>
      </w:pPr>
      <w:r>
        <w:rPr>
          <w:rFonts w:ascii="Arial" w:cs="Arial" w:eastAsia="Arial" w:hAnsi="Arial"/>
          <w:sz w:val="22"/>
          <w:szCs w:val="22"/>
          <w:b w:val="1"/>
          <w:bCs w:val="1"/>
          <w:color w:val="auto"/>
        </w:rPr>
        <w:t>ARTICLE IX: CHOICE OF FORUM</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p>
      <w:pPr>
        <w:jc w:val="both"/>
        <w:spacing w:after="0" w:line="236" w:lineRule="auto"/>
        <w:rPr>
          <w:sz w:val="20"/>
          <w:szCs w:val="20"/>
          <w:color w:val="auto"/>
        </w:rPr>
      </w:pPr>
      <w:r>
        <w:rPr>
          <w:rFonts w:ascii="Arial" w:cs="Arial" w:eastAsia="Arial" w:hAnsi="Arial"/>
          <w:sz w:val="22"/>
          <w:szCs w:val="22"/>
          <w:color w:val="auto"/>
        </w:rPr>
        <w:t>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81" w:lineRule="exact"/>
        <w:rPr>
          <w:sz w:val="20"/>
          <w:szCs w:val="20"/>
          <w:color w:val="auto"/>
        </w:rPr>
      </w:pPr>
    </w:p>
    <w:p>
      <w:pPr>
        <w:jc w:val="center"/>
        <w:ind w:left="860"/>
        <w:spacing w:after="0"/>
        <w:rPr>
          <w:sz w:val="20"/>
          <w:szCs w:val="20"/>
          <w:color w:val="auto"/>
        </w:rPr>
      </w:pPr>
      <w:r>
        <w:rPr>
          <w:rFonts w:ascii="Arial" w:cs="Arial" w:eastAsia="Arial" w:hAnsi="Arial"/>
          <w:sz w:val="22"/>
          <w:szCs w:val="22"/>
          <w:b w:val="1"/>
          <w:bCs w:val="1"/>
          <w:color w:val="auto"/>
        </w:rPr>
        <w:t>ARTICLE X: AMENDMENT OF CERTIFICATE OF INCORPORATION</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8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further</w:t>
      </w:r>
      <w:r>
        <w:rPr>
          <w:rFonts w:ascii="Arial" w:cs="Arial" w:eastAsia="Arial" w:hAnsi="Arial"/>
          <w:sz w:val="21"/>
          <w:szCs w:val="21"/>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of by this Certificate of Incorporation or any Certificate of Designation), shall be required to amend or repeal such provisions of this Certificate of Incorporation.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6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334645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PRELUDE THERAPEUTICS INCORPORATED</w:t>
      </w:r>
    </w:p>
    <w:p>
      <w:pPr>
        <w:spacing w:after="0" w:line="11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RESTATED BYLAWS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As Adopted September 14, 2020 and</w:t>
      </w:r>
    </w:p>
    <w:p>
      <w:pPr>
        <w:spacing w:after="0" w:line="200" w:lineRule="exact"/>
        <w:rPr>
          <w:sz w:val="20"/>
          <w:szCs w:val="20"/>
          <w:color w:val="auto"/>
        </w:rPr>
      </w:pPr>
    </w:p>
    <w:p>
      <w:pPr>
        <w:spacing w:after="0" w:line="222"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As Effective September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607060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624205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1558925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PRELUDE THERAPEUTICS INCORPORATED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BYLAWS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900" w:type="dxa"/>
            <w:vAlign w:val="bottom"/>
          </w:tcPr>
          <w:p>
            <w:pPr>
              <w:spacing w:after="0"/>
              <w:rPr>
                <w:sz w:val="24"/>
                <w:szCs w:val="24"/>
                <w:color w:val="auto"/>
              </w:rPr>
            </w:pPr>
          </w:p>
        </w:tc>
        <w:tc>
          <w:tcPr>
            <w:tcW w:w="7060" w:type="dxa"/>
            <w:vAlign w:val="bottom"/>
          </w:tcPr>
          <w:p>
            <w:pPr>
              <w:ind w:left="2560"/>
              <w:spacing w:after="0"/>
              <w:rPr>
                <w:sz w:val="20"/>
                <w:szCs w:val="20"/>
                <w:color w:val="auto"/>
              </w:rPr>
            </w:pPr>
            <w:r>
              <w:rPr>
                <w:rFonts w:ascii="Arial" w:cs="Arial" w:eastAsia="Arial" w:hAnsi="Arial"/>
                <w:sz w:val="22"/>
                <w:szCs w:val="22"/>
                <w:b w:val="1"/>
                <w:bCs w:val="1"/>
                <w:color w:val="auto"/>
              </w:rPr>
              <w:t>TABLE OF CONTENTS</w:t>
            </w:r>
          </w:p>
        </w:tc>
        <w:tc>
          <w:tcPr>
            <w:tcW w:w="2280" w:type="dxa"/>
            <w:vAlign w:val="bottom"/>
          </w:tcPr>
          <w:p>
            <w:pPr>
              <w:spacing w:after="0"/>
              <w:rPr>
                <w:sz w:val="24"/>
                <w:szCs w:val="24"/>
                <w:color w:val="auto"/>
              </w:rPr>
            </w:pPr>
          </w:p>
        </w:tc>
      </w:tr>
      <w:tr>
        <w:trPr>
          <w:trHeight w:val="486"/>
        </w:trPr>
        <w:tc>
          <w:tcPr>
            <w:tcW w:w="19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49"/>
        </w:trPr>
        <w:tc>
          <w:tcPr>
            <w:tcW w:w="896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I: </w:t>
            </w:r>
            <w:r>
              <w:rPr>
                <w:rFonts w:ascii="Arial" w:cs="Arial" w:eastAsia="Arial" w:hAnsi="Arial"/>
                <w:sz w:val="22"/>
                <w:szCs w:val="22"/>
                <w:color w:val="auto"/>
              </w:rPr>
              <w:t>STOCKHOLDERS</w:t>
            </w:r>
          </w:p>
        </w:tc>
        <w:tc>
          <w:tcPr>
            <w:tcW w:w="22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1.1:</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Annual Meetings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1.2:</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Special Meetings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1.3:</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Notice of Meetings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1.4:</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Adjournments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1.5:</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Quorum</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1.6:</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Organization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1.7:</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Voting; Proxies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1.8:</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Fixing Date for Determination of Stockholders of Record</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1.9:</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List of Stockholders Entitled to Vote</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1.10:</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Inspectors of Elections.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1.11:</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Conduct of Meetings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80"/>
        </w:trPr>
        <w:tc>
          <w:tcPr>
            <w:tcW w:w="1900" w:type="dxa"/>
            <w:vAlign w:val="bottom"/>
          </w:tcPr>
          <w:p>
            <w:pPr>
              <w:ind w:left="460"/>
              <w:spacing w:after="0"/>
              <w:rPr>
                <w:sz w:val="20"/>
                <w:szCs w:val="20"/>
                <w:color w:val="auto"/>
              </w:rPr>
            </w:pPr>
            <w:r>
              <w:rPr>
                <w:rFonts w:ascii="Arial" w:cs="Arial" w:eastAsia="Arial" w:hAnsi="Arial"/>
                <w:sz w:val="22"/>
                <w:szCs w:val="22"/>
                <w:b w:val="1"/>
                <w:bCs w:val="1"/>
                <w:color w:val="auto"/>
              </w:rPr>
              <w:t>Section 1.12:</w:t>
            </w:r>
          </w:p>
        </w:tc>
        <w:tc>
          <w:tcPr>
            <w:tcW w:w="7060" w:type="dxa"/>
            <w:vAlign w:val="bottom"/>
          </w:tcPr>
          <w:p>
            <w:pPr>
              <w:ind w:left="260"/>
              <w:spacing w:after="0"/>
              <w:rPr>
                <w:sz w:val="20"/>
                <w:szCs w:val="20"/>
                <w:color w:val="auto"/>
              </w:rPr>
            </w:pPr>
            <w:r>
              <w:rPr>
                <w:rFonts w:ascii="Arial" w:cs="Arial" w:eastAsia="Arial" w:hAnsi="Arial"/>
                <w:sz w:val="22"/>
                <w:szCs w:val="22"/>
                <w:color w:val="auto"/>
              </w:rPr>
              <w:t>Notice of Stockholder Business; Nominations.</w:t>
            </w:r>
          </w:p>
        </w:tc>
        <w:tc>
          <w:tcPr>
            <w:tcW w:w="22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27"/>
        </w:trPr>
        <w:tc>
          <w:tcPr>
            <w:tcW w:w="896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II: </w:t>
            </w:r>
            <w:r>
              <w:rPr>
                <w:rFonts w:ascii="Arial" w:cs="Arial" w:eastAsia="Arial" w:hAnsi="Arial"/>
                <w:sz w:val="22"/>
                <w:szCs w:val="22"/>
                <w:color w:val="auto"/>
              </w:rPr>
              <w:t>BOARD OF DIRECTORS</w:t>
            </w:r>
          </w:p>
        </w:tc>
        <w:tc>
          <w:tcPr>
            <w:tcW w:w="22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2.1:</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Number; Qualifications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2.2:</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Election; Resignation; Removal; Vacancies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2.3:</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Regular Meetings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2.4:</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Special Meetings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2.5:</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Remote Meetings Permitted</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2.6:</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Quorum; Vote Required for Action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2.7:</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Organization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2.8:</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Unanimous Action by Directors in Lieu of a Meeting</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2.9:</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Powers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2.10:</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Compensation of Directors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80"/>
        </w:trPr>
        <w:tc>
          <w:tcPr>
            <w:tcW w:w="1900" w:type="dxa"/>
            <w:vAlign w:val="bottom"/>
          </w:tcPr>
          <w:p>
            <w:pPr>
              <w:ind w:left="460"/>
              <w:spacing w:after="0"/>
              <w:rPr>
                <w:sz w:val="20"/>
                <w:szCs w:val="20"/>
                <w:color w:val="auto"/>
              </w:rPr>
            </w:pPr>
            <w:r>
              <w:rPr>
                <w:rFonts w:ascii="Arial" w:cs="Arial" w:eastAsia="Arial" w:hAnsi="Arial"/>
                <w:sz w:val="22"/>
                <w:szCs w:val="22"/>
                <w:b w:val="1"/>
                <w:bCs w:val="1"/>
                <w:color w:val="auto"/>
              </w:rPr>
              <w:t>Section 2.11:</w:t>
            </w:r>
          </w:p>
        </w:tc>
        <w:tc>
          <w:tcPr>
            <w:tcW w:w="7060" w:type="dxa"/>
            <w:vAlign w:val="bottom"/>
          </w:tcPr>
          <w:p>
            <w:pPr>
              <w:ind w:left="260"/>
              <w:spacing w:after="0"/>
              <w:rPr>
                <w:sz w:val="20"/>
                <w:szCs w:val="20"/>
                <w:color w:val="auto"/>
              </w:rPr>
            </w:pPr>
            <w:r>
              <w:rPr>
                <w:rFonts w:ascii="Arial" w:cs="Arial" w:eastAsia="Arial" w:hAnsi="Arial"/>
                <w:sz w:val="22"/>
                <w:szCs w:val="22"/>
                <w:color w:val="auto"/>
              </w:rPr>
              <w:t>Confidentiality</w:t>
            </w:r>
          </w:p>
        </w:tc>
        <w:tc>
          <w:tcPr>
            <w:tcW w:w="22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27"/>
        </w:trPr>
        <w:tc>
          <w:tcPr>
            <w:tcW w:w="896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III: </w:t>
            </w:r>
            <w:r>
              <w:rPr>
                <w:rFonts w:ascii="Arial" w:cs="Arial" w:eastAsia="Arial" w:hAnsi="Arial"/>
                <w:sz w:val="22"/>
                <w:szCs w:val="22"/>
                <w:color w:val="auto"/>
              </w:rPr>
              <w:t>COMMITTEES</w:t>
            </w:r>
          </w:p>
        </w:tc>
        <w:tc>
          <w:tcPr>
            <w:tcW w:w="22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3.1:</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Committees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80"/>
        </w:trPr>
        <w:tc>
          <w:tcPr>
            <w:tcW w:w="1900" w:type="dxa"/>
            <w:vAlign w:val="bottom"/>
          </w:tcPr>
          <w:p>
            <w:pPr>
              <w:ind w:left="460"/>
              <w:spacing w:after="0"/>
              <w:rPr>
                <w:sz w:val="20"/>
                <w:szCs w:val="20"/>
                <w:color w:val="auto"/>
              </w:rPr>
            </w:pPr>
            <w:r>
              <w:rPr>
                <w:rFonts w:ascii="Arial" w:cs="Arial" w:eastAsia="Arial" w:hAnsi="Arial"/>
                <w:sz w:val="22"/>
                <w:szCs w:val="22"/>
                <w:b w:val="1"/>
                <w:bCs w:val="1"/>
                <w:color w:val="auto"/>
              </w:rPr>
              <w:t>Section 3.2:</w:t>
            </w:r>
          </w:p>
        </w:tc>
        <w:tc>
          <w:tcPr>
            <w:tcW w:w="7060" w:type="dxa"/>
            <w:vAlign w:val="bottom"/>
          </w:tcPr>
          <w:p>
            <w:pPr>
              <w:ind w:left="260"/>
              <w:spacing w:after="0"/>
              <w:rPr>
                <w:sz w:val="20"/>
                <w:szCs w:val="20"/>
                <w:color w:val="auto"/>
              </w:rPr>
            </w:pPr>
            <w:r>
              <w:rPr>
                <w:rFonts w:ascii="Arial" w:cs="Arial" w:eastAsia="Arial" w:hAnsi="Arial"/>
                <w:sz w:val="22"/>
                <w:szCs w:val="22"/>
                <w:color w:val="auto"/>
              </w:rPr>
              <w:t>Committee Rules</w:t>
            </w:r>
          </w:p>
        </w:tc>
        <w:tc>
          <w:tcPr>
            <w:tcW w:w="22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27"/>
        </w:trPr>
        <w:tc>
          <w:tcPr>
            <w:tcW w:w="896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IV: </w:t>
            </w:r>
            <w:r>
              <w:rPr>
                <w:rFonts w:ascii="Arial" w:cs="Arial" w:eastAsia="Arial" w:hAnsi="Arial"/>
                <w:sz w:val="22"/>
                <w:szCs w:val="22"/>
                <w:color w:val="auto"/>
              </w:rPr>
              <w:t>OFFICERS; CHAIRPERSON; LEAD INDEPENDENT DIRECTOR</w:t>
            </w:r>
          </w:p>
        </w:tc>
        <w:tc>
          <w:tcPr>
            <w:tcW w:w="22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4.1:</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Generally</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4.2:</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Chief Executive Officer</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4.3:</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Chairperson of the Board</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4.4:</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Lead Independent Director</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4.5:</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President</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4.6:</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Chief Financial Officer</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90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4.7:</w:t>
            </w:r>
          </w:p>
        </w:tc>
        <w:tc>
          <w:tcPr>
            <w:tcW w:w="7060" w:type="dxa"/>
            <w:vAlign w:val="bottom"/>
          </w:tcPr>
          <w:p>
            <w:pPr>
              <w:ind w:left="260"/>
              <w:spacing w:after="0" w:line="243" w:lineRule="exact"/>
              <w:rPr>
                <w:sz w:val="20"/>
                <w:szCs w:val="20"/>
                <w:color w:val="auto"/>
              </w:rPr>
            </w:pPr>
            <w:r>
              <w:rPr>
                <w:rFonts w:ascii="Arial" w:cs="Arial" w:eastAsia="Arial" w:hAnsi="Arial"/>
                <w:sz w:val="22"/>
                <w:szCs w:val="22"/>
                <w:color w:val="auto"/>
              </w:rPr>
              <w:t>Treasurer</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80"/>
        </w:trPr>
        <w:tc>
          <w:tcPr>
            <w:tcW w:w="1900" w:type="dxa"/>
            <w:vAlign w:val="bottom"/>
          </w:tcPr>
          <w:p>
            <w:pPr>
              <w:ind w:left="460"/>
              <w:spacing w:after="0"/>
              <w:rPr>
                <w:sz w:val="20"/>
                <w:szCs w:val="20"/>
                <w:color w:val="auto"/>
              </w:rPr>
            </w:pPr>
            <w:r>
              <w:rPr>
                <w:rFonts w:ascii="Arial" w:cs="Arial" w:eastAsia="Arial" w:hAnsi="Arial"/>
                <w:sz w:val="22"/>
                <w:szCs w:val="22"/>
                <w:b w:val="1"/>
                <w:bCs w:val="1"/>
                <w:color w:val="auto"/>
              </w:rPr>
              <w:t>Section 4.8:</w:t>
            </w:r>
          </w:p>
        </w:tc>
        <w:tc>
          <w:tcPr>
            <w:tcW w:w="7060" w:type="dxa"/>
            <w:vAlign w:val="bottom"/>
          </w:tcPr>
          <w:p>
            <w:pPr>
              <w:ind w:left="260"/>
              <w:spacing w:after="0"/>
              <w:rPr>
                <w:sz w:val="20"/>
                <w:szCs w:val="20"/>
                <w:color w:val="auto"/>
              </w:rPr>
            </w:pPr>
            <w:r>
              <w:rPr>
                <w:rFonts w:ascii="Arial" w:cs="Arial" w:eastAsia="Arial" w:hAnsi="Arial"/>
                <w:sz w:val="22"/>
                <w:szCs w:val="22"/>
                <w:color w:val="auto"/>
              </w:rPr>
              <w:t>Vice President</w:t>
            </w:r>
          </w:p>
        </w:tc>
        <w:tc>
          <w:tcPr>
            <w:tcW w:w="228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53"/>
        </w:trPr>
        <w:tc>
          <w:tcPr>
            <w:tcW w:w="2120" w:type="dxa"/>
            <w:vAlign w:val="bottom"/>
          </w:tcPr>
          <w:p>
            <w:pPr>
              <w:ind w:left="460"/>
              <w:spacing w:after="0"/>
              <w:rPr>
                <w:sz w:val="20"/>
                <w:szCs w:val="20"/>
                <w:color w:val="auto"/>
              </w:rPr>
            </w:pPr>
            <w:r>
              <w:rPr>
                <w:rFonts w:ascii="Arial" w:cs="Arial" w:eastAsia="Arial" w:hAnsi="Arial"/>
                <w:sz w:val="22"/>
                <w:szCs w:val="22"/>
                <w:b w:val="1"/>
                <w:bCs w:val="1"/>
                <w:color w:val="auto"/>
              </w:rPr>
              <w:t>Section 4.9:</w:t>
            </w:r>
          </w:p>
        </w:tc>
        <w:tc>
          <w:tcPr>
            <w:tcW w:w="8760" w:type="dxa"/>
            <w:vAlign w:val="bottom"/>
          </w:tcPr>
          <w:p>
            <w:pPr>
              <w:ind w:left="40"/>
              <w:spacing w:after="0"/>
              <w:rPr>
                <w:sz w:val="20"/>
                <w:szCs w:val="20"/>
                <w:color w:val="auto"/>
              </w:rPr>
            </w:pPr>
            <w:r>
              <w:rPr>
                <w:rFonts w:ascii="Arial" w:cs="Arial" w:eastAsia="Arial" w:hAnsi="Arial"/>
                <w:sz w:val="22"/>
                <w:szCs w:val="22"/>
                <w:color w:val="auto"/>
              </w:rPr>
              <w:t>Secretary</w:t>
            </w:r>
          </w:p>
        </w:tc>
        <w:tc>
          <w:tcPr>
            <w:tcW w:w="3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4.10:</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Delegation of Authority</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80"/>
        </w:trPr>
        <w:tc>
          <w:tcPr>
            <w:tcW w:w="2120" w:type="dxa"/>
            <w:vAlign w:val="bottom"/>
          </w:tcPr>
          <w:p>
            <w:pPr>
              <w:ind w:left="460"/>
              <w:spacing w:after="0"/>
              <w:rPr>
                <w:sz w:val="20"/>
                <w:szCs w:val="20"/>
                <w:color w:val="auto"/>
              </w:rPr>
            </w:pPr>
            <w:r>
              <w:rPr>
                <w:rFonts w:ascii="Arial" w:cs="Arial" w:eastAsia="Arial" w:hAnsi="Arial"/>
                <w:sz w:val="22"/>
                <w:szCs w:val="22"/>
                <w:b w:val="1"/>
                <w:bCs w:val="1"/>
                <w:color w:val="auto"/>
              </w:rPr>
              <w:t>Section 4.11:</w:t>
            </w:r>
          </w:p>
        </w:tc>
        <w:tc>
          <w:tcPr>
            <w:tcW w:w="8760" w:type="dxa"/>
            <w:vAlign w:val="bottom"/>
          </w:tcPr>
          <w:p>
            <w:pPr>
              <w:ind w:left="40"/>
              <w:spacing w:after="0"/>
              <w:rPr>
                <w:sz w:val="20"/>
                <w:szCs w:val="20"/>
                <w:color w:val="auto"/>
              </w:rPr>
            </w:pPr>
            <w:r>
              <w:rPr>
                <w:rFonts w:ascii="Arial" w:cs="Arial" w:eastAsia="Arial" w:hAnsi="Arial"/>
                <w:sz w:val="22"/>
                <w:szCs w:val="22"/>
                <w:color w:val="auto"/>
              </w:rPr>
              <w:t>Removal</w:t>
            </w:r>
          </w:p>
        </w:tc>
        <w:tc>
          <w:tcPr>
            <w:tcW w:w="3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27"/>
        </w:trPr>
        <w:tc>
          <w:tcPr>
            <w:tcW w:w="2120" w:type="dxa"/>
            <w:vAlign w:val="bottom"/>
          </w:tcPr>
          <w:p>
            <w:pPr>
              <w:spacing w:after="0"/>
              <w:rPr>
                <w:sz w:val="20"/>
                <w:szCs w:val="20"/>
                <w:color w:val="auto"/>
              </w:rPr>
            </w:pPr>
            <w:r>
              <w:rPr>
                <w:rFonts w:ascii="Arial" w:cs="Arial" w:eastAsia="Arial" w:hAnsi="Arial"/>
                <w:sz w:val="22"/>
                <w:szCs w:val="22"/>
                <w:b w:val="1"/>
                <w:bCs w:val="1"/>
                <w:color w:val="auto"/>
              </w:rPr>
              <w:t xml:space="preserve">Article V: </w:t>
            </w:r>
            <w:r>
              <w:rPr>
                <w:rFonts w:ascii="Arial" w:cs="Arial" w:eastAsia="Arial" w:hAnsi="Arial"/>
                <w:sz w:val="22"/>
                <w:szCs w:val="22"/>
                <w:color w:val="auto"/>
              </w:rPr>
              <w:t>STOCK</w:t>
            </w:r>
          </w:p>
        </w:tc>
        <w:tc>
          <w:tcPr>
            <w:tcW w:w="8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5.1:</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Certificates; Uncertificated Shares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5.2:</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w w:val="90"/>
              </w:rPr>
              <w:t>Lost, Stolen or Destroyed Stock Certificates; Issuance of New Certificates or Uncertificated Shares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80"/>
        </w:trPr>
        <w:tc>
          <w:tcPr>
            <w:tcW w:w="2120" w:type="dxa"/>
            <w:vAlign w:val="bottom"/>
          </w:tcPr>
          <w:p>
            <w:pPr>
              <w:ind w:left="460"/>
              <w:spacing w:after="0"/>
              <w:rPr>
                <w:sz w:val="20"/>
                <w:szCs w:val="20"/>
                <w:color w:val="auto"/>
              </w:rPr>
            </w:pPr>
            <w:r>
              <w:rPr>
                <w:rFonts w:ascii="Arial" w:cs="Arial" w:eastAsia="Arial" w:hAnsi="Arial"/>
                <w:sz w:val="22"/>
                <w:szCs w:val="22"/>
                <w:b w:val="1"/>
                <w:bCs w:val="1"/>
                <w:color w:val="auto"/>
              </w:rPr>
              <w:t>Section 5.3:</w:t>
            </w:r>
          </w:p>
        </w:tc>
        <w:tc>
          <w:tcPr>
            <w:tcW w:w="8760" w:type="dxa"/>
            <w:vAlign w:val="bottom"/>
          </w:tcPr>
          <w:p>
            <w:pPr>
              <w:ind w:left="40"/>
              <w:spacing w:after="0"/>
              <w:rPr>
                <w:sz w:val="20"/>
                <w:szCs w:val="20"/>
                <w:color w:val="auto"/>
              </w:rPr>
            </w:pPr>
            <w:r>
              <w:rPr>
                <w:rFonts w:ascii="Arial" w:cs="Arial" w:eastAsia="Arial" w:hAnsi="Arial"/>
                <w:sz w:val="22"/>
                <w:szCs w:val="22"/>
                <w:color w:val="auto"/>
              </w:rPr>
              <w:t>Other Regulations</w:t>
            </w:r>
          </w:p>
        </w:tc>
        <w:tc>
          <w:tcPr>
            <w:tcW w:w="3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27"/>
        </w:trPr>
        <w:tc>
          <w:tcPr>
            <w:tcW w:w="1088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VI: </w:t>
            </w:r>
            <w:r>
              <w:rPr>
                <w:rFonts w:ascii="Arial" w:cs="Arial" w:eastAsia="Arial" w:hAnsi="Arial"/>
                <w:sz w:val="22"/>
                <w:szCs w:val="22"/>
                <w:color w:val="auto"/>
              </w:rPr>
              <w:t>INDEMNIFICATION</w:t>
            </w:r>
          </w:p>
        </w:tc>
        <w:tc>
          <w:tcPr>
            <w:tcW w:w="3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6.1:</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Indemnification of Officers and Directors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6.2:</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Advancement of Expenses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6.3:</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Non-Exclusivity of Rights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6.4:</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Indemnification Contracts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6.5:</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Right of Indemnitee to Bring Suit</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6.6:</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Nature of Rights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6.7:</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Amendment or Repeal</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80"/>
        </w:trPr>
        <w:tc>
          <w:tcPr>
            <w:tcW w:w="2120" w:type="dxa"/>
            <w:vAlign w:val="bottom"/>
          </w:tcPr>
          <w:p>
            <w:pPr>
              <w:ind w:left="460"/>
              <w:spacing w:after="0"/>
              <w:rPr>
                <w:sz w:val="20"/>
                <w:szCs w:val="20"/>
                <w:color w:val="auto"/>
              </w:rPr>
            </w:pPr>
            <w:r>
              <w:rPr>
                <w:rFonts w:ascii="Arial" w:cs="Arial" w:eastAsia="Arial" w:hAnsi="Arial"/>
                <w:sz w:val="22"/>
                <w:szCs w:val="22"/>
                <w:b w:val="1"/>
                <w:bCs w:val="1"/>
                <w:color w:val="auto"/>
              </w:rPr>
              <w:t>Section 6.8:</w:t>
            </w:r>
          </w:p>
        </w:tc>
        <w:tc>
          <w:tcPr>
            <w:tcW w:w="8760" w:type="dxa"/>
            <w:vAlign w:val="bottom"/>
          </w:tcPr>
          <w:p>
            <w:pPr>
              <w:ind w:left="40"/>
              <w:spacing w:after="0"/>
              <w:rPr>
                <w:sz w:val="20"/>
                <w:szCs w:val="20"/>
                <w:color w:val="auto"/>
              </w:rPr>
            </w:pPr>
            <w:r>
              <w:rPr>
                <w:rFonts w:ascii="Arial" w:cs="Arial" w:eastAsia="Arial" w:hAnsi="Arial"/>
                <w:sz w:val="22"/>
                <w:szCs w:val="22"/>
                <w:color w:val="auto"/>
              </w:rPr>
              <w:t>Insurance</w:t>
            </w:r>
          </w:p>
        </w:tc>
        <w:tc>
          <w:tcPr>
            <w:tcW w:w="3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27"/>
        </w:trPr>
        <w:tc>
          <w:tcPr>
            <w:tcW w:w="2120" w:type="dxa"/>
            <w:vAlign w:val="bottom"/>
          </w:tcPr>
          <w:p>
            <w:pPr>
              <w:spacing w:after="0"/>
              <w:rPr>
                <w:sz w:val="20"/>
                <w:szCs w:val="20"/>
                <w:color w:val="auto"/>
              </w:rPr>
            </w:pPr>
            <w:r>
              <w:rPr>
                <w:rFonts w:ascii="Arial" w:cs="Arial" w:eastAsia="Arial" w:hAnsi="Arial"/>
                <w:sz w:val="22"/>
                <w:szCs w:val="22"/>
                <w:b w:val="1"/>
                <w:bCs w:val="1"/>
                <w:color w:val="auto"/>
                <w:w w:val="98"/>
              </w:rPr>
              <w:t xml:space="preserve">Article VII: </w:t>
            </w:r>
            <w:r>
              <w:rPr>
                <w:rFonts w:ascii="Arial" w:cs="Arial" w:eastAsia="Arial" w:hAnsi="Arial"/>
                <w:sz w:val="22"/>
                <w:szCs w:val="22"/>
                <w:color w:val="auto"/>
                <w:w w:val="98"/>
              </w:rPr>
              <w:t>NOTICES</w:t>
            </w:r>
          </w:p>
        </w:tc>
        <w:tc>
          <w:tcPr>
            <w:tcW w:w="8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7.1:</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Notice.</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80"/>
        </w:trPr>
        <w:tc>
          <w:tcPr>
            <w:tcW w:w="2120" w:type="dxa"/>
            <w:vAlign w:val="bottom"/>
          </w:tcPr>
          <w:p>
            <w:pPr>
              <w:ind w:left="460"/>
              <w:spacing w:after="0"/>
              <w:rPr>
                <w:sz w:val="20"/>
                <w:szCs w:val="20"/>
                <w:color w:val="auto"/>
              </w:rPr>
            </w:pPr>
            <w:r>
              <w:rPr>
                <w:rFonts w:ascii="Arial" w:cs="Arial" w:eastAsia="Arial" w:hAnsi="Arial"/>
                <w:sz w:val="22"/>
                <w:szCs w:val="22"/>
                <w:b w:val="1"/>
                <w:bCs w:val="1"/>
                <w:color w:val="auto"/>
              </w:rPr>
              <w:t>Section 7.2:</w:t>
            </w:r>
          </w:p>
        </w:tc>
        <w:tc>
          <w:tcPr>
            <w:tcW w:w="8760" w:type="dxa"/>
            <w:vAlign w:val="bottom"/>
          </w:tcPr>
          <w:p>
            <w:pPr>
              <w:ind w:left="40"/>
              <w:spacing w:after="0"/>
              <w:rPr>
                <w:sz w:val="20"/>
                <w:szCs w:val="20"/>
                <w:color w:val="auto"/>
              </w:rPr>
            </w:pPr>
            <w:r>
              <w:rPr>
                <w:rFonts w:ascii="Arial" w:cs="Arial" w:eastAsia="Arial" w:hAnsi="Arial"/>
                <w:sz w:val="22"/>
                <w:szCs w:val="22"/>
                <w:color w:val="auto"/>
              </w:rPr>
              <w:t>Waiver of Notice</w:t>
            </w:r>
          </w:p>
        </w:tc>
        <w:tc>
          <w:tcPr>
            <w:tcW w:w="3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27"/>
        </w:trPr>
        <w:tc>
          <w:tcPr>
            <w:tcW w:w="1088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VIII: </w:t>
            </w:r>
            <w:r>
              <w:rPr>
                <w:rFonts w:ascii="Arial" w:cs="Arial" w:eastAsia="Arial" w:hAnsi="Arial"/>
                <w:sz w:val="22"/>
                <w:szCs w:val="22"/>
                <w:color w:val="auto"/>
              </w:rPr>
              <w:t>INTERESTED DIRECTORS</w:t>
            </w:r>
          </w:p>
        </w:tc>
        <w:tc>
          <w:tcPr>
            <w:tcW w:w="3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8.1:</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Interested Directors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80"/>
        </w:trPr>
        <w:tc>
          <w:tcPr>
            <w:tcW w:w="2120" w:type="dxa"/>
            <w:vAlign w:val="bottom"/>
          </w:tcPr>
          <w:p>
            <w:pPr>
              <w:ind w:left="460"/>
              <w:spacing w:after="0"/>
              <w:rPr>
                <w:sz w:val="20"/>
                <w:szCs w:val="20"/>
                <w:color w:val="auto"/>
              </w:rPr>
            </w:pPr>
            <w:r>
              <w:rPr>
                <w:rFonts w:ascii="Arial" w:cs="Arial" w:eastAsia="Arial" w:hAnsi="Arial"/>
                <w:sz w:val="22"/>
                <w:szCs w:val="22"/>
                <w:b w:val="1"/>
                <w:bCs w:val="1"/>
                <w:color w:val="auto"/>
              </w:rPr>
              <w:t>Section 8.2:</w:t>
            </w:r>
          </w:p>
        </w:tc>
        <w:tc>
          <w:tcPr>
            <w:tcW w:w="8760" w:type="dxa"/>
            <w:vAlign w:val="bottom"/>
          </w:tcPr>
          <w:p>
            <w:pPr>
              <w:ind w:left="40"/>
              <w:spacing w:after="0"/>
              <w:rPr>
                <w:sz w:val="20"/>
                <w:szCs w:val="20"/>
                <w:color w:val="auto"/>
              </w:rPr>
            </w:pPr>
            <w:r>
              <w:rPr>
                <w:rFonts w:ascii="Arial" w:cs="Arial" w:eastAsia="Arial" w:hAnsi="Arial"/>
                <w:sz w:val="22"/>
                <w:szCs w:val="22"/>
                <w:color w:val="auto"/>
              </w:rPr>
              <w:t>Quorum</w:t>
            </w:r>
          </w:p>
        </w:tc>
        <w:tc>
          <w:tcPr>
            <w:tcW w:w="3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27"/>
        </w:trPr>
        <w:tc>
          <w:tcPr>
            <w:tcW w:w="1088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IX: </w:t>
            </w:r>
            <w:r>
              <w:rPr>
                <w:rFonts w:ascii="Arial" w:cs="Arial" w:eastAsia="Arial" w:hAnsi="Arial"/>
                <w:sz w:val="22"/>
                <w:szCs w:val="22"/>
                <w:color w:val="auto"/>
              </w:rPr>
              <w:t>MISCELLANEOUS</w:t>
            </w:r>
          </w:p>
        </w:tc>
        <w:tc>
          <w:tcPr>
            <w:tcW w:w="3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9.1:</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Fiscal Year</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9.2:</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Seal</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9.3:</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Form of Records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9.4:</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Reliance Upon Books and Records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9.5:</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Certificate of Incorporation Governs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21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Section 9.6:</w:t>
            </w:r>
          </w:p>
        </w:tc>
        <w:tc>
          <w:tcPr>
            <w:tcW w:w="8760" w:type="dxa"/>
            <w:vAlign w:val="bottom"/>
          </w:tcPr>
          <w:p>
            <w:pPr>
              <w:ind w:left="40"/>
              <w:spacing w:after="0" w:line="243" w:lineRule="exact"/>
              <w:rPr>
                <w:sz w:val="20"/>
                <w:szCs w:val="20"/>
                <w:color w:val="auto"/>
              </w:rPr>
            </w:pPr>
            <w:r>
              <w:rPr>
                <w:rFonts w:ascii="Arial" w:cs="Arial" w:eastAsia="Arial" w:hAnsi="Arial"/>
                <w:sz w:val="22"/>
                <w:szCs w:val="22"/>
                <w:color w:val="auto"/>
              </w:rPr>
              <w:t>Severability</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80"/>
        </w:trPr>
        <w:tc>
          <w:tcPr>
            <w:tcW w:w="2120" w:type="dxa"/>
            <w:vAlign w:val="bottom"/>
          </w:tcPr>
          <w:p>
            <w:pPr>
              <w:ind w:left="460"/>
              <w:spacing w:after="0"/>
              <w:rPr>
                <w:sz w:val="20"/>
                <w:szCs w:val="20"/>
                <w:color w:val="auto"/>
              </w:rPr>
            </w:pPr>
            <w:r>
              <w:rPr>
                <w:rFonts w:ascii="Arial" w:cs="Arial" w:eastAsia="Arial" w:hAnsi="Arial"/>
                <w:sz w:val="22"/>
                <w:szCs w:val="22"/>
                <w:b w:val="1"/>
                <w:bCs w:val="1"/>
                <w:color w:val="auto"/>
              </w:rPr>
              <w:t>Section 9.7:</w:t>
            </w:r>
          </w:p>
        </w:tc>
        <w:tc>
          <w:tcPr>
            <w:tcW w:w="8760" w:type="dxa"/>
            <w:vAlign w:val="bottom"/>
          </w:tcPr>
          <w:p>
            <w:pPr>
              <w:ind w:left="40"/>
              <w:spacing w:after="0"/>
              <w:rPr>
                <w:sz w:val="20"/>
                <w:szCs w:val="20"/>
                <w:color w:val="auto"/>
              </w:rPr>
            </w:pPr>
            <w:r>
              <w:rPr>
                <w:rFonts w:ascii="Arial" w:cs="Arial" w:eastAsia="Arial" w:hAnsi="Arial"/>
                <w:sz w:val="22"/>
                <w:szCs w:val="22"/>
                <w:color w:val="auto"/>
              </w:rPr>
              <w:t>Time Periods</w:t>
            </w:r>
          </w:p>
        </w:tc>
        <w:tc>
          <w:tcPr>
            <w:tcW w:w="3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65"/>
        </w:trPr>
        <w:tc>
          <w:tcPr>
            <w:tcW w:w="1088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X: </w:t>
            </w:r>
            <w:r>
              <w:rPr>
                <w:rFonts w:ascii="Arial" w:cs="Arial" w:eastAsia="Arial" w:hAnsi="Arial"/>
                <w:sz w:val="22"/>
                <w:szCs w:val="22"/>
                <w:color w:val="auto"/>
              </w:rPr>
              <w:t>AMENDMENT</w:t>
            </w:r>
          </w:p>
        </w:tc>
        <w:tc>
          <w:tcPr>
            <w:tcW w:w="3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65"/>
        </w:trPr>
        <w:tc>
          <w:tcPr>
            <w:tcW w:w="1088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XI: </w:t>
            </w:r>
            <w:r>
              <w:rPr>
                <w:rFonts w:ascii="Arial" w:cs="Arial" w:eastAsia="Arial" w:hAnsi="Arial"/>
                <w:sz w:val="22"/>
                <w:szCs w:val="22"/>
                <w:color w:val="auto"/>
              </w:rPr>
              <w:t>EXCLUSIVE FORUM</w:t>
            </w:r>
          </w:p>
        </w:tc>
        <w:tc>
          <w:tcPr>
            <w:tcW w:w="360" w:type="dxa"/>
            <w:vAlign w:val="bottom"/>
          </w:tcPr>
          <w:p>
            <w:pPr>
              <w:jc w:val="right"/>
              <w:spacing w:after="0"/>
              <w:rPr>
                <w:sz w:val="20"/>
                <w:szCs w:val="20"/>
                <w:color w:val="auto"/>
              </w:rPr>
            </w:pPr>
            <w:r>
              <w:rPr>
                <w:rFonts w:ascii="Arial" w:cs="Arial" w:eastAsia="Arial" w:hAnsi="Arial"/>
                <w:sz w:val="22"/>
                <w:szCs w:val="22"/>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PRELUDE THERAPEUTICS INCORPORATED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RESTATED BYLAWS</w:t>
      </w:r>
    </w:p>
    <w:p>
      <w:pPr>
        <w:spacing w:after="0" w:line="104"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As Adopted September 14, 2020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Effective September 29,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STOCKHOLDERS</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b w:val="1"/>
          <w:bCs w:val="1"/>
          <w:u w:val="single" w:color="auto"/>
          <w:color w:val="auto"/>
        </w:rPr>
        <w:t>Annual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If required by applicable law, an annual meeting of stockholders shall be held</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election of directors at such date and time as the Board of Directors (the “Board”) of Prelude Therapeutics Incorporated (the “Corporation”) shall each year fix. The meeting may be held either at a place, within or without the State of Delaware as permitted by the Delaware General Corporation Law (the “DGCL”), or by means of remote communication as the Board in its sole discretion may determine. Any proper business may be transacted at the annual meeting.</w:t>
      </w:r>
    </w:p>
    <w:p>
      <w:pPr>
        <w:spacing w:after="0" w:line="14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b w:val="1"/>
          <w:bCs w:val="1"/>
          <w:u w:val="single" w:color="auto"/>
          <w:color w:val="auto"/>
        </w:rPr>
        <w:t>Special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meetings of stockholders for any purpose or purposes shall be called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manner set forth in the Restated Certificate of Incorporation of the Corporation (as the same may be amended and/or restated from time to time, the “Certificate of Incorporation”).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8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 xml:space="preserve">Section 1.3: </w:t>
      </w:r>
      <w:r>
        <w:rPr>
          <w:rFonts w:ascii="Arial" w:cs="Arial" w:eastAsia="Arial" w:hAnsi="Arial"/>
          <w:sz w:val="22"/>
          <w:szCs w:val="22"/>
          <w:b w:val="1"/>
          <w:bCs w:val="1"/>
          <w:u w:val="single" w:color="auto"/>
          <w:color w:val="auto"/>
        </w:rPr>
        <w:t>Notice of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of all meetings of stockholders shall be given in writing or by</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8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Section 1.4: </w:t>
      </w:r>
      <w:r>
        <w:rPr>
          <w:rFonts w:ascii="Arial" w:cs="Arial" w:eastAsia="Arial" w:hAnsi="Arial"/>
          <w:sz w:val="19"/>
          <w:szCs w:val="19"/>
          <w:b w:val="1"/>
          <w:bCs w:val="1"/>
          <w:u w:val="single" w:color="auto"/>
          <w:color w:val="auto"/>
        </w:rPr>
        <w:t>Adjournments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Section 1.5 of these Bylaws, the chairperson of the meeting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power to adjourn the 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provided, however, that if the adjournment is for more than thirty</w:t>
      </w:r>
    </w:p>
    <w:p>
      <w:pPr>
        <w:spacing w:after="0" w:line="2" w:lineRule="exact"/>
        <w:rPr>
          <w:sz w:val="20"/>
          <w:szCs w:val="20"/>
          <w:color w:val="auto"/>
        </w:rPr>
      </w:pPr>
    </w:p>
    <w:p>
      <w:pPr>
        <w:jc w:val="both"/>
        <w:ind w:firstLine="8"/>
        <w:spacing w:after="0" w:line="233" w:lineRule="auto"/>
        <w:tabs>
          <w:tab w:leader="none" w:pos="4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2" w:name="page83"/>
    <w:bookmarkEnd w:id="82"/>
    <w:p>
      <w:pPr>
        <w:jc w:val="both"/>
        <w:spacing w:after="0" w:line="275" w:lineRule="auto"/>
        <w:rPr>
          <w:sz w:val="20"/>
          <w:szCs w:val="20"/>
          <w:color w:val="auto"/>
        </w:rPr>
      </w:pPr>
      <w:r>
        <w:rPr>
          <w:rFonts w:ascii="Arial" w:cs="Arial" w:eastAsia="Arial" w:hAnsi="Arial"/>
          <w:sz w:val="19"/>
          <w:szCs w:val="19"/>
          <w:color w:val="auto"/>
        </w:rPr>
        <w:t>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5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Section 1.5: </w:t>
      </w:r>
      <w:r>
        <w:rPr>
          <w:rFonts w:ascii="Arial" w:cs="Arial" w:eastAsia="Arial" w:hAnsi="Arial"/>
          <w:sz w:val="19"/>
          <w:szCs w:val="19"/>
          <w:b w:val="1"/>
          <w:bCs w:val="1"/>
          <w:u w:val="single" w:color="auto"/>
          <w:color w:val="auto"/>
        </w:rPr>
        <w:t>Quorum</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by applicable law, the Certificate of Incorporation or these</w:t>
      </w:r>
      <w:r>
        <w:rPr>
          <w:rFonts w:ascii="Arial" w:cs="Arial" w:eastAsia="Arial" w:hAnsi="Arial"/>
          <w:sz w:val="19"/>
          <w:szCs w:val="19"/>
          <w:b w:val="1"/>
          <w:bCs w:val="1"/>
          <w:color w:val="auto"/>
        </w:rPr>
        <w:t xml:space="preserve"> </w:t>
      </w:r>
      <w:r>
        <w:rPr>
          <w:rFonts w:ascii="Arial" w:cs="Arial" w:eastAsia="Arial" w:hAnsi="Arial"/>
          <w:sz w:val="19"/>
          <w:szCs w:val="19"/>
          <w:color w:val="auto"/>
        </w:rPr>
        <w:t>Bylaws, at each meeting of stockholders the holders of a majority of the voting power of the shares of stock issued and outstanding and entitled to vote at the meeting, present in person or represented by proxy, shall constitute a quorum for the transaction of business; provided, however,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provided, however,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60"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Section 1.6: </w:t>
      </w:r>
      <w:r>
        <w:rPr>
          <w:rFonts w:ascii="Arial" w:cs="Arial" w:eastAsia="Arial" w:hAnsi="Arial"/>
          <w:sz w:val="21"/>
          <w:szCs w:val="21"/>
          <w:b w:val="1"/>
          <w:bCs w:val="1"/>
          <w:u w:val="single" w:color="auto"/>
          <w:color w:val="auto"/>
        </w:rPr>
        <w:t>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Meetings of stockholders shall be presided over by (a) such person as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may designate, or (b) in the absence 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71"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b w:val="1"/>
          <w:bCs w:val="1"/>
          <w:u w:val="single" w:color="auto"/>
          <w:color w:val="auto"/>
        </w:rPr>
        <w:t>Voting; Proxies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stockholder of record entitled to vote at a meeting of stockholders may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3" w:name="page84"/>
    <w:bookmarkEnd w:id="83"/>
    <w:p>
      <w:pPr>
        <w:jc w:val="both"/>
        <w:spacing w:after="0" w:line="235" w:lineRule="auto"/>
        <w:rPr>
          <w:sz w:val="20"/>
          <w:szCs w:val="20"/>
          <w:color w:val="auto"/>
        </w:rPr>
      </w:pPr>
      <w:r>
        <w:rPr>
          <w:rFonts w:ascii="Arial" w:cs="Arial" w:eastAsia="Arial" w:hAnsi="Arial"/>
          <w:sz w:val="22"/>
          <w:szCs w:val="22"/>
          <w:color w:val="auto"/>
        </w:rPr>
        <w:t>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8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9"/>
          <w:szCs w:val="19"/>
          <w:b w:val="1"/>
          <w:bCs w:val="1"/>
          <w:u w:val="single" w:color="auto"/>
          <w:color w:val="auto"/>
        </w:rPr>
        <w:t>Fixing Date for Determination of Stockholders of Record</w:t>
      </w:r>
      <w:r>
        <w:rPr>
          <w:rFonts w:ascii="Arial" w:cs="Arial" w:eastAsia="Arial" w:hAnsi="Arial"/>
          <w:sz w:val="19"/>
          <w:szCs w:val="19"/>
          <w:b w:val="1"/>
          <w:bCs w:val="1"/>
          <w:color w:val="auto"/>
        </w:rPr>
        <w:t xml:space="preserve">. </w:t>
      </w:r>
      <w:r>
        <w:rPr>
          <w:rFonts w:ascii="Arial" w:cs="Arial" w:eastAsia="Arial" w:hAnsi="Arial"/>
          <w:sz w:val="19"/>
          <w:szCs w:val="19"/>
          <w:color w:val="auto"/>
        </w:rPr>
        <w:t>In order that the Corporation may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5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4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Section 1.9: </w:t>
      </w:r>
      <w:r>
        <w:rPr>
          <w:rFonts w:ascii="Arial" w:cs="Arial" w:eastAsia="Arial" w:hAnsi="Arial"/>
          <w:sz w:val="19"/>
          <w:szCs w:val="19"/>
          <w:b w:val="1"/>
          <w:bCs w:val="1"/>
          <w:u w:val="single" w:color="auto"/>
          <w:color w:val="auto"/>
        </w:rPr>
        <w:t>List of Stockholders Entitled to Vote</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shall prepare, at least ten (10) days before</w:t>
      </w:r>
      <w:r>
        <w:rPr>
          <w:rFonts w:ascii="Arial" w:cs="Arial" w:eastAsia="Arial" w:hAnsi="Arial"/>
          <w:sz w:val="19"/>
          <w:szCs w:val="19"/>
          <w:b w:val="1"/>
          <w:bCs w:val="1"/>
          <w:color w:val="auto"/>
        </w:rPr>
        <w:t xml:space="preserve"> </w:t>
      </w:r>
      <w:r>
        <w:rPr>
          <w:rFonts w:ascii="Arial" w:cs="Arial" w:eastAsia="Arial" w:hAnsi="Arial"/>
          <w:sz w:val="19"/>
          <w:szCs w:val="19"/>
          <w:color w:val="auto"/>
        </w:rPr>
        <w:t>every meeting of stockholders, a complete list of stockholders entitled to vote at the meeting (provided, however,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(provided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4" w:name="page85"/>
    <w:bookmarkEnd w:id="84"/>
    <w:p>
      <w:pPr>
        <w:jc w:val="both"/>
        <w:spacing w:after="0" w:line="236" w:lineRule="auto"/>
        <w:rPr>
          <w:sz w:val="20"/>
          <w:szCs w:val="20"/>
          <w:color w:val="auto"/>
        </w:rPr>
      </w:pPr>
      <w:r>
        <w:rPr>
          <w:rFonts w:ascii="Arial" w:cs="Arial" w:eastAsia="Arial" w:hAnsi="Arial"/>
          <w:sz w:val="22"/>
          <w:szCs w:val="22"/>
          <w:color w:val="auto"/>
        </w:rPr>
        <w:t>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81"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b w:val="1"/>
          <w:bCs w:val="1"/>
          <w:color w:val="auto"/>
        </w:rPr>
        <w:t>Section 1.10:</w:t>
      </w:r>
      <w:r>
        <w:rPr>
          <w:sz w:val="20"/>
          <w:szCs w:val="20"/>
          <w:color w:val="auto"/>
        </w:rPr>
        <w:tab/>
      </w:r>
      <w:r>
        <w:rPr>
          <w:rFonts w:ascii="Arial" w:cs="Arial" w:eastAsia="Arial" w:hAnsi="Arial"/>
          <w:sz w:val="18"/>
          <w:szCs w:val="18"/>
          <w:b w:val="1"/>
          <w:bCs w:val="1"/>
          <w:u w:val="single" w:color="auto"/>
          <w:color w:val="auto"/>
        </w:rPr>
        <w:t>Inspectors of Elections</w:t>
      </w:r>
      <w:r>
        <w:rPr>
          <w:rFonts w:ascii="Arial" w:cs="Arial" w:eastAsia="Arial" w:hAnsi="Arial"/>
          <w:sz w:val="18"/>
          <w:szCs w:val="18"/>
          <w:b w:val="1"/>
          <w:bCs w:val="1"/>
          <w:color w:val="auto"/>
        </w:rPr>
        <w:t>.</w:t>
      </w:r>
    </w:p>
    <w:p>
      <w:pPr>
        <w:spacing w:after="0" w:line="21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010000"/>
        </w:rPr>
        <w:t xml:space="preserve">1.10.1 </w:t>
      </w:r>
      <w:r>
        <w:rPr>
          <w:rFonts w:ascii="Arial" w:cs="Arial" w:eastAsia="Arial" w:hAnsi="Arial"/>
          <w:sz w:val="21"/>
          <w:szCs w:val="21"/>
          <w:u w:val="single" w:color="auto"/>
          <w:color w:val="000000"/>
        </w:rPr>
        <w:t>Applicability</w:t>
      </w:r>
      <w:r>
        <w:rPr>
          <w:rFonts w:ascii="Arial" w:cs="Arial" w:eastAsia="Arial" w:hAnsi="Arial"/>
          <w:sz w:val="21"/>
          <w:szCs w:val="21"/>
          <w:color w:val="000000"/>
        </w:rPr>
        <w:t>. Unless otherwise required by the Certificate of Incorporation or by applicable law, the</w:t>
      </w:r>
      <w:r>
        <w:rPr>
          <w:rFonts w:ascii="Arial" w:cs="Arial" w:eastAsia="Arial" w:hAnsi="Arial"/>
          <w:sz w:val="21"/>
          <w:szCs w:val="21"/>
          <w:color w:val="010000"/>
        </w:rPr>
        <w:t xml:space="preserve"> </w:t>
      </w:r>
      <w:r>
        <w:rPr>
          <w:rFonts w:ascii="Arial" w:cs="Arial" w:eastAsia="Arial" w:hAnsi="Arial"/>
          <w:sz w:val="21"/>
          <w:szCs w:val="21"/>
          <w:color w:val="000000"/>
        </w:rPr>
        <w:t>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7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010000"/>
        </w:rPr>
        <w:t xml:space="preserve">1.10.2 </w:t>
      </w:r>
      <w:r>
        <w:rPr>
          <w:rFonts w:ascii="Arial" w:cs="Arial" w:eastAsia="Arial" w:hAnsi="Arial"/>
          <w:sz w:val="19"/>
          <w:szCs w:val="19"/>
          <w:u w:val="single" w:color="auto"/>
          <w:color w:val="000000"/>
        </w:rPr>
        <w:t>Appointment</w:t>
      </w:r>
      <w:r>
        <w:rPr>
          <w:rFonts w:ascii="Arial" w:cs="Arial" w:eastAsia="Arial" w:hAnsi="Arial"/>
          <w:sz w:val="19"/>
          <w:szCs w:val="19"/>
          <w:color w:val="000000"/>
        </w:rPr>
        <w:t>. The Corporation shall, in advance of any meeting of stockholders, appoint one or more</w:t>
      </w:r>
      <w:r>
        <w:rPr>
          <w:rFonts w:ascii="Arial" w:cs="Arial" w:eastAsia="Arial" w:hAnsi="Arial"/>
          <w:sz w:val="19"/>
          <w:szCs w:val="19"/>
          <w:color w:val="010000"/>
        </w:rPr>
        <w:t xml:space="preserve"> </w:t>
      </w:r>
      <w:r>
        <w:rPr>
          <w:rFonts w:ascii="Arial" w:cs="Arial" w:eastAsia="Arial" w:hAnsi="Arial"/>
          <w:sz w:val="19"/>
          <w:szCs w:val="19"/>
          <w:color w:val="000000"/>
        </w:rPr>
        <w:t>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43"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010000"/>
        </w:rPr>
        <w:t xml:space="preserve">1.10.3 </w:t>
      </w:r>
      <w:r>
        <w:rPr>
          <w:rFonts w:ascii="Arial" w:cs="Arial" w:eastAsia="Arial" w:hAnsi="Arial"/>
          <w:sz w:val="22"/>
          <w:szCs w:val="22"/>
          <w:u w:val="single" w:color="auto"/>
          <w:color w:val="000000"/>
        </w:rPr>
        <w:t>Inspector’s Oath</w:t>
      </w:r>
      <w:r>
        <w:rPr>
          <w:rFonts w:ascii="Arial" w:cs="Arial" w:eastAsia="Arial" w:hAnsi="Arial"/>
          <w:sz w:val="22"/>
          <w:szCs w:val="22"/>
          <w:color w:val="000000"/>
        </w:rPr>
        <w:t>. Each inspector of election, before entering upon the discharge of his or her duties, shall</w:t>
      </w:r>
      <w:r>
        <w:rPr>
          <w:rFonts w:ascii="Arial" w:cs="Arial" w:eastAsia="Arial" w:hAnsi="Arial"/>
          <w:sz w:val="22"/>
          <w:szCs w:val="22"/>
          <w:color w:val="010000"/>
        </w:rPr>
        <w:t xml:space="preserve"> </w:t>
      </w:r>
      <w:r>
        <w:rPr>
          <w:rFonts w:ascii="Arial" w:cs="Arial" w:eastAsia="Arial" w:hAnsi="Arial"/>
          <w:sz w:val="22"/>
          <w:szCs w:val="22"/>
          <w:color w:val="000000"/>
        </w:rPr>
        <w:t>take and sign an oath faithfully to execute the duties of inspector with strict impartiality and according to the best of such inspector’s ability.</w:t>
      </w:r>
    </w:p>
    <w:p>
      <w:pPr>
        <w:spacing w:after="0" w:line="18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010000"/>
        </w:rPr>
        <w:t xml:space="preserve">1.10.4 </w:t>
      </w:r>
      <w:r>
        <w:rPr>
          <w:rFonts w:ascii="Arial" w:cs="Arial" w:eastAsia="Arial" w:hAnsi="Arial"/>
          <w:sz w:val="19"/>
          <w:szCs w:val="19"/>
          <w:u w:val="single" w:color="auto"/>
          <w:color w:val="000000"/>
        </w:rPr>
        <w:t>Duties of Inspectors</w:t>
      </w:r>
      <w:r>
        <w:rPr>
          <w:rFonts w:ascii="Arial" w:cs="Arial" w:eastAsia="Arial" w:hAnsi="Arial"/>
          <w:sz w:val="19"/>
          <w:szCs w:val="19"/>
          <w:color w:val="000000"/>
        </w:rPr>
        <w:t>. At a meeting of stockholders, the inspectors of election shall (a) ascertain the</w:t>
      </w:r>
      <w:r>
        <w:rPr>
          <w:rFonts w:ascii="Arial" w:cs="Arial" w:eastAsia="Arial" w:hAnsi="Arial"/>
          <w:sz w:val="19"/>
          <w:szCs w:val="19"/>
          <w:color w:val="010000"/>
        </w:rPr>
        <w:t xml:space="preserve"> </w:t>
      </w:r>
      <w:r>
        <w:rPr>
          <w:rFonts w:ascii="Arial" w:cs="Arial" w:eastAsia="Arial" w:hAnsi="Arial"/>
          <w:sz w:val="19"/>
          <w:szCs w:val="19"/>
          <w:color w:val="000000"/>
        </w:rPr>
        <w:t>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50"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010000"/>
        </w:rPr>
        <w:t xml:space="preserve">1.10.5 </w:t>
      </w:r>
      <w:r>
        <w:rPr>
          <w:rFonts w:ascii="Arial" w:cs="Arial" w:eastAsia="Arial" w:hAnsi="Arial"/>
          <w:sz w:val="21"/>
          <w:szCs w:val="21"/>
          <w:u w:val="single" w:color="auto"/>
          <w:color w:val="000000"/>
        </w:rPr>
        <w:t>Opening and Closing of Polls</w:t>
      </w:r>
      <w:r>
        <w:rPr>
          <w:rFonts w:ascii="Arial" w:cs="Arial" w:eastAsia="Arial" w:hAnsi="Arial"/>
          <w:sz w:val="21"/>
          <w:szCs w:val="21"/>
          <w:color w:val="000000"/>
        </w:rPr>
        <w:t>. The date and time of the opening and the closing of the polls for each</w:t>
      </w:r>
      <w:r>
        <w:rPr>
          <w:rFonts w:ascii="Arial" w:cs="Arial" w:eastAsia="Arial" w:hAnsi="Arial"/>
          <w:sz w:val="21"/>
          <w:szCs w:val="21"/>
          <w:color w:val="010000"/>
        </w:rPr>
        <w:t xml:space="preserve"> </w:t>
      </w:r>
      <w:r>
        <w:rPr>
          <w:rFonts w:ascii="Arial" w:cs="Arial" w:eastAsia="Arial" w:hAnsi="Arial"/>
          <w:sz w:val="21"/>
          <w:szCs w:val="21"/>
          <w:color w:val="000000"/>
        </w:rPr>
        <w:t>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7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010000"/>
        </w:rPr>
        <w:t xml:space="preserve">1.10.6 </w:t>
      </w:r>
      <w:r>
        <w:rPr>
          <w:rFonts w:ascii="Arial" w:cs="Arial" w:eastAsia="Arial" w:hAnsi="Arial"/>
          <w:sz w:val="19"/>
          <w:szCs w:val="19"/>
          <w:u w:val="single" w:color="auto"/>
          <w:color w:val="000000"/>
        </w:rPr>
        <w:t>Determinations</w:t>
      </w:r>
      <w:r>
        <w:rPr>
          <w:rFonts w:ascii="Arial" w:cs="Arial" w:eastAsia="Arial" w:hAnsi="Arial"/>
          <w:sz w:val="19"/>
          <w:szCs w:val="19"/>
          <w:color w:val="000000"/>
        </w:rPr>
        <w:t>. In determining the validity and counting of proxies and ballots, the inspectors shall be</w:t>
      </w:r>
      <w:r>
        <w:rPr>
          <w:rFonts w:ascii="Arial" w:cs="Arial" w:eastAsia="Arial" w:hAnsi="Arial"/>
          <w:sz w:val="19"/>
          <w:szCs w:val="19"/>
          <w:color w:val="010000"/>
        </w:rPr>
        <w:t xml:space="preserve"> </w:t>
      </w:r>
      <w:r>
        <w:rPr>
          <w:rFonts w:ascii="Arial" w:cs="Arial" w:eastAsia="Arial" w:hAnsi="Arial"/>
          <w:sz w:val="19"/>
          <w:szCs w:val="19"/>
          <w:color w:val="000000"/>
        </w:rPr>
        <w:t>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5" w:name="page86"/>
    <w:bookmarkEnd w:id="85"/>
    <w:p>
      <w:pPr>
        <w:jc w:val="both"/>
        <w:spacing w:after="0" w:line="238" w:lineRule="auto"/>
        <w:rPr>
          <w:sz w:val="20"/>
          <w:szCs w:val="20"/>
          <w:color w:val="auto"/>
        </w:rPr>
      </w:pPr>
      <w:r>
        <w:rPr>
          <w:rFonts w:ascii="Arial" w:cs="Arial" w:eastAsia="Arial" w:hAnsi="Arial"/>
          <w:sz w:val="22"/>
          <w:szCs w:val="22"/>
          <w:color w:val="auto"/>
        </w:rPr>
        <w:t>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 xml:space="preserve">Section 1.11: </w:t>
      </w:r>
      <w:r>
        <w:rPr>
          <w:rFonts w:ascii="Arial" w:cs="Arial" w:eastAsia="Arial" w:hAnsi="Arial"/>
          <w:sz w:val="19"/>
          <w:szCs w:val="19"/>
          <w:b w:val="1"/>
          <w:bCs w:val="1"/>
          <w:u w:val="single" w:color="auto"/>
          <w:color w:val="auto"/>
        </w:rPr>
        <w:t>Conduct of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may adopt by resolution such rules and regulations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66"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8"/>
          <w:szCs w:val="18"/>
          <w:b w:val="1"/>
          <w:bCs w:val="1"/>
          <w:u w:val="single" w:color="auto"/>
          <w:color w:val="auto"/>
        </w:rPr>
        <w:t>Notice of Stockholder Business; Nominations</w:t>
      </w:r>
      <w:r>
        <w:rPr>
          <w:rFonts w:ascii="Arial" w:cs="Arial" w:eastAsia="Arial" w:hAnsi="Arial"/>
          <w:sz w:val="18"/>
          <w:szCs w:val="18"/>
          <w:b w:val="1"/>
          <w:bCs w:val="1"/>
          <w:color w:val="auto"/>
        </w:rPr>
        <w:t>.</w:t>
      </w:r>
    </w:p>
    <w:p>
      <w:pPr>
        <w:spacing w:after="0" w:line="212" w:lineRule="exact"/>
        <w:rPr>
          <w:sz w:val="20"/>
          <w:szCs w:val="20"/>
          <w:color w:val="auto"/>
        </w:rPr>
      </w:pPr>
    </w:p>
    <w:p>
      <w:pPr>
        <w:ind w:left="880"/>
        <w:spacing w:after="0"/>
        <w:tabs>
          <w:tab w:leader="none" w:pos="2040" w:val="left"/>
        </w:tabs>
        <w:rPr>
          <w:sz w:val="20"/>
          <w:szCs w:val="20"/>
          <w:color w:val="auto"/>
        </w:rPr>
      </w:pPr>
      <w:r>
        <w:rPr>
          <w:rFonts w:ascii="Arial" w:cs="Arial" w:eastAsia="Arial" w:hAnsi="Arial"/>
          <w:sz w:val="22"/>
          <w:szCs w:val="22"/>
          <w:color w:val="010000"/>
        </w:rPr>
        <w:t>1.12.1</w:t>
      </w:r>
      <w:r>
        <w:rPr>
          <w:sz w:val="20"/>
          <w:szCs w:val="20"/>
          <w:color w:val="auto"/>
        </w:rPr>
        <w:tab/>
      </w:r>
      <w:r>
        <w:rPr>
          <w:rFonts w:ascii="Arial" w:cs="Arial" w:eastAsia="Arial" w:hAnsi="Arial"/>
          <w:sz w:val="19"/>
          <w:szCs w:val="19"/>
          <w:u w:val="single" w:color="auto"/>
          <w:color w:val="auto"/>
        </w:rPr>
        <w:t>Annual Meeting of Stockholders</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73" w:lineRule="auto"/>
        <w:tabs>
          <w:tab w:leader="none" w:pos="1751"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9"/>
          <w:szCs w:val="19"/>
          <w:b w:val="1"/>
          <w:bCs w:val="1"/>
          <w:i w:val="1"/>
          <w:iCs w:val="1"/>
          <w:color w:val="auto"/>
        </w:rPr>
        <w:t>Record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Stockholder</w:t>
      </w:r>
      <w:r>
        <w:rPr>
          <w:rFonts w:ascii="Arial" w:cs="Arial" w:eastAsia="Arial" w:hAnsi="Arial"/>
          <w:sz w:val="19"/>
          <w:szCs w:val="19"/>
          <w:color w:val="auto"/>
        </w:rPr>
        <w:t>”), who is entitled to vote at such meeting and who complies with the notice and other procedures set forth in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at an annual meeting of stockholders, and such stockholder must fully comply with the notice and other procedures set forth in this Section 1.12 to make such nominations or propose business before an annual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6" w:name="page87"/>
    <w:bookmarkEnd w:id="86"/>
    <w:p>
      <w:pPr>
        <w:ind w:firstLine="872"/>
        <w:spacing w:after="0" w:line="250" w:lineRule="auto"/>
        <w:tabs>
          <w:tab w:leader="none" w:pos="1763"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For nominations or other business to be properly brought before an annual meeting by a Record Stockholder pursuant to Section 1.12.1(a) of these Bylaws:</w:t>
      </w:r>
    </w:p>
    <w:p>
      <w:pPr>
        <w:spacing w:after="0" w:line="174" w:lineRule="exact"/>
        <w:rPr>
          <w:rFonts w:ascii="Arial" w:cs="Arial" w:eastAsia="Arial" w:hAnsi="Arial"/>
          <w:sz w:val="22"/>
          <w:szCs w:val="22"/>
          <w:color w:val="010000"/>
        </w:rPr>
      </w:pPr>
    </w:p>
    <w:p>
      <w:pPr>
        <w:ind w:right="20" w:firstLine="1735"/>
        <w:spacing w:after="0" w:line="328" w:lineRule="auto"/>
        <w:tabs>
          <w:tab w:leader="none" w:pos="2579"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04" w:lineRule="exact"/>
        <w:rPr>
          <w:rFonts w:ascii="Arial" w:cs="Arial" w:eastAsia="Arial" w:hAnsi="Arial"/>
          <w:sz w:val="19"/>
          <w:szCs w:val="19"/>
          <w:color w:val="010000"/>
        </w:rPr>
      </w:pPr>
    </w:p>
    <w:p>
      <w:pPr>
        <w:ind w:firstLine="1735"/>
        <w:spacing w:after="0" w:line="250" w:lineRule="auto"/>
        <w:tabs>
          <w:tab w:leader="none" w:pos="2639"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such other business (other than the nomination of persons for election to the Board) must otherwise be a proper matter for stockholder action;</w:t>
      </w:r>
    </w:p>
    <w:p>
      <w:pPr>
        <w:spacing w:after="0" w:line="174" w:lineRule="exact"/>
        <w:rPr>
          <w:rFonts w:ascii="Arial" w:cs="Arial" w:eastAsia="Arial" w:hAnsi="Arial"/>
          <w:sz w:val="22"/>
          <w:szCs w:val="22"/>
          <w:color w:val="010000"/>
        </w:rPr>
      </w:pPr>
    </w:p>
    <w:p>
      <w:pPr>
        <w:jc w:val="both"/>
        <w:ind w:firstLine="1735"/>
        <w:spacing w:after="0" w:line="277" w:lineRule="auto"/>
        <w:tabs>
          <w:tab w:leader="none" w:pos="2699"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51" w:lineRule="exact"/>
        <w:rPr>
          <w:rFonts w:ascii="Arial" w:cs="Arial" w:eastAsia="Arial" w:hAnsi="Arial"/>
          <w:sz w:val="19"/>
          <w:szCs w:val="19"/>
          <w:color w:val="010000"/>
        </w:rPr>
      </w:pPr>
    </w:p>
    <w:p>
      <w:pPr>
        <w:jc w:val="both"/>
        <w:ind w:firstLine="1735"/>
        <w:spacing w:after="0"/>
        <w:tabs>
          <w:tab w:leader="none" w:pos="2687"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To be timely, a Record Stockholder’s notice must be delivered to the Secretary at the principal executive offices of the Corporation not later than 5:00 p.m. Eastern Time on the seventy-fifth (75th) day nor earlier than 5:00 p.m. Eastern Time on the one hundred and fifth (105th)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1.12.3 of these Bylaws);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86" w:lineRule="exact"/>
        <w:rPr>
          <w:sz w:val="20"/>
          <w:szCs w:val="20"/>
          <w:color w:val="auto"/>
        </w:rPr>
      </w:pPr>
    </w:p>
    <w:p>
      <w:pPr>
        <w:ind w:right="20" w:firstLine="872"/>
        <w:spacing w:after="0" w:line="274" w:lineRule="auto"/>
        <w:tabs>
          <w:tab w:leader="none" w:pos="1751" w:val="left"/>
        </w:tabs>
        <w:numPr>
          <w:ilvl w:val="0"/>
          <w:numId w:val="56"/>
        </w:numPr>
        <w:rPr>
          <w:rFonts w:ascii="Arial" w:cs="Arial" w:eastAsia="Arial" w:hAnsi="Arial"/>
          <w:sz w:val="21"/>
          <w:szCs w:val="21"/>
          <w:color w:val="010000"/>
        </w:rPr>
      </w:pPr>
      <w:r>
        <w:rPr>
          <w:rFonts w:ascii="Arial" w:cs="Arial" w:eastAsia="Arial" w:hAnsi="Arial"/>
          <w:sz w:val="21"/>
          <w:szCs w:val="21"/>
          <w:color w:val="auto"/>
        </w:rPr>
        <w:t>As to each person whom the Record Stockholder proposes to nominate for election or reelection as a director, in addition to the matters set forth in paragraph (e) below, such Record Stockholder’s notice shall set forth:</w:t>
      </w:r>
    </w:p>
    <w:p>
      <w:pPr>
        <w:spacing w:after="0" w:line="150" w:lineRule="exact"/>
        <w:rPr>
          <w:rFonts w:ascii="Arial" w:cs="Arial" w:eastAsia="Arial" w:hAnsi="Arial"/>
          <w:sz w:val="21"/>
          <w:szCs w:val="21"/>
          <w:color w:val="010000"/>
        </w:rPr>
      </w:pPr>
    </w:p>
    <w:p>
      <w:pPr>
        <w:ind w:left="2580" w:hanging="911"/>
        <w:spacing w:after="0"/>
        <w:tabs>
          <w:tab w:leader="none" w:pos="25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name, age, business address and residence address of such person;</w:t>
      </w:r>
    </w:p>
    <w:p>
      <w:pPr>
        <w:spacing w:after="0" w:line="206" w:lineRule="exact"/>
        <w:rPr>
          <w:rFonts w:ascii="Arial" w:cs="Arial" w:eastAsia="Arial" w:hAnsi="Arial"/>
          <w:sz w:val="22"/>
          <w:szCs w:val="22"/>
          <w:color w:val="auto"/>
        </w:rPr>
      </w:pPr>
    </w:p>
    <w:p>
      <w:pPr>
        <w:ind w:left="2580" w:hanging="911"/>
        <w:spacing w:after="0"/>
        <w:tabs>
          <w:tab w:leader="none" w:pos="25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principal occupation or employment of such nominee;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7" w:name="page88"/>
    <w:bookmarkEnd w:id="87"/>
    <w:p>
      <w:pPr>
        <w:ind w:left="880" w:firstLine="789"/>
        <w:spacing w:after="0" w:line="274" w:lineRule="auto"/>
        <w:tabs>
          <w:tab w:leader="none" w:pos="2649"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class, series and number of any shares of stock of the Corporation that are beneficially owned or owned of record by such person or any Associated Person (as defined in Section 1.12.4(c));</w:t>
      </w:r>
    </w:p>
    <w:p>
      <w:pPr>
        <w:spacing w:after="0" w:line="150" w:lineRule="exact"/>
        <w:rPr>
          <w:rFonts w:ascii="Arial" w:cs="Arial" w:eastAsia="Arial" w:hAnsi="Arial"/>
          <w:sz w:val="21"/>
          <w:szCs w:val="21"/>
          <w:color w:val="auto"/>
        </w:rPr>
      </w:pPr>
    </w:p>
    <w:p>
      <w:pPr>
        <w:ind w:left="2620" w:hanging="951"/>
        <w:spacing w:after="0"/>
        <w:tabs>
          <w:tab w:leader="none" w:pos="2620"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date or dates such shares were acquired and the investment intent of such acquisition;</w:t>
      </w:r>
    </w:p>
    <w:p>
      <w:pPr>
        <w:spacing w:after="0" w:line="217" w:lineRule="exact"/>
        <w:rPr>
          <w:rFonts w:ascii="Arial" w:cs="Arial" w:eastAsia="Arial" w:hAnsi="Arial"/>
          <w:sz w:val="21"/>
          <w:szCs w:val="21"/>
          <w:color w:val="auto"/>
        </w:rPr>
      </w:pPr>
    </w:p>
    <w:p>
      <w:pPr>
        <w:jc w:val="both"/>
        <w:ind w:left="880" w:firstLine="789"/>
        <w:spacing w:after="0" w:line="238" w:lineRule="auto"/>
        <w:tabs>
          <w:tab w:leader="none" w:pos="2577" w:val="left"/>
        </w:tabs>
        <w:numPr>
          <w:ilvl w:val="1"/>
          <w:numId w:val="57"/>
        </w:numPr>
        <w:rPr>
          <w:rFonts w:ascii="Arial" w:cs="Arial" w:eastAsia="Arial" w:hAnsi="Arial"/>
          <w:sz w:val="22"/>
          <w:szCs w:val="22"/>
          <w:color w:val="auto"/>
        </w:rPr>
      </w:pPr>
      <w:r>
        <w:rPr>
          <w:rFonts w:ascii="Arial" w:cs="Arial" w:eastAsia="Arial" w:hAnsi="Arial"/>
          <w:sz w:val="22"/>
          <w:szCs w:val="22"/>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84" w:lineRule="exact"/>
        <w:rPr>
          <w:rFonts w:ascii="Arial" w:cs="Arial" w:eastAsia="Arial" w:hAnsi="Arial"/>
          <w:sz w:val="22"/>
          <w:szCs w:val="22"/>
          <w:color w:val="auto"/>
        </w:rPr>
      </w:pPr>
    </w:p>
    <w:p>
      <w:pPr>
        <w:jc w:val="both"/>
        <w:ind w:left="880" w:firstLine="789"/>
        <w:spacing w:after="0" w:line="257" w:lineRule="auto"/>
        <w:tabs>
          <w:tab w:leader="none" w:pos="2637" w:val="left"/>
        </w:tabs>
        <w:numPr>
          <w:ilvl w:val="1"/>
          <w:numId w:val="57"/>
        </w:numPr>
        <w:rPr>
          <w:rFonts w:ascii="Arial" w:cs="Arial" w:eastAsia="Arial" w:hAnsi="Arial"/>
          <w:sz w:val="21"/>
          <w:szCs w:val="21"/>
          <w:color w:val="auto"/>
        </w:rPr>
      </w:pPr>
      <w:r>
        <w:rPr>
          <w:rFonts w:ascii="Arial" w:cs="Arial" w:eastAsia="Arial" w:hAnsi="Arial"/>
          <w:sz w:val="21"/>
          <w:szCs w:val="21"/>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69" w:lineRule="exact"/>
        <w:rPr>
          <w:rFonts w:ascii="Arial" w:cs="Arial" w:eastAsia="Arial" w:hAnsi="Arial"/>
          <w:sz w:val="21"/>
          <w:szCs w:val="21"/>
          <w:color w:val="auto"/>
        </w:rPr>
      </w:pPr>
    </w:p>
    <w:p>
      <w:pPr>
        <w:ind w:left="880" w:right="20" w:firstLine="789"/>
        <w:spacing w:after="0" w:line="250" w:lineRule="auto"/>
        <w:tabs>
          <w:tab w:leader="none" w:pos="2697" w:val="left"/>
        </w:tabs>
        <w:numPr>
          <w:ilvl w:val="1"/>
          <w:numId w:val="57"/>
        </w:numPr>
        <w:rPr>
          <w:rFonts w:ascii="Arial" w:cs="Arial" w:eastAsia="Arial" w:hAnsi="Arial"/>
          <w:sz w:val="22"/>
          <w:szCs w:val="22"/>
          <w:color w:val="auto"/>
        </w:rPr>
      </w:pPr>
      <w:r>
        <w:rPr>
          <w:rFonts w:ascii="Arial" w:cs="Arial" w:eastAsia="Arial" w:hAnsi="Arial"/>
          <w:sz w:val="22"/>
          <w:szCs w:val="22"/>
          <w:color w:val="auto"/>
        </w:rPr>
        <w:t>whether such person meets the independence requirements of the stock exchange upon which the Corporation’s Common Stock is primarily traded;</w:t>
      </w:r>
    </w:p>
    <w:p>
      <w:pPr>
        <w:spacing w:after="0" w:line="174" w:lineRule="exact"/>
        <w:rPr>
          <w:rFonts w:ascii="Arial" w:cs="Arial" w:eastAsia="Arial" w:hAnsi="Arial"/>
          <w:sz w:val="22"/>
          <w:szCs w:val="22"/>
          <w:color w:val="auto"/>
        </w:rPr>
      </w:pPr>
    </w:p>
    <w:p>
      <w:pPr>
        <w:jc w:val="both"/>
        <w:ind w:left="880" w:firstLine="789"/>
        <w:spacing w:after="0" w:line="247" w:lineRule="exact"/>
        <w:tabs>
          <w:tab w:leader="none" w:pos="2757" w:val="left"/>
        </w:tabs>
        <w:numPr>
          <w:ilvl w:val="1"/>
          <w:numId w:val="57"/>
        </w:numPr>
        <w:rPr>
          <w:rFonts w:ascii="Arial" w:cs="Arial" w:eastAsia="Arial" w:hAnsi="Arial"/>
          <w:sz w:val="21"/>
          <w:szCs w:val="21"/>
          <w:color w:val="auto"/>
        </w:rPr>
      </w:pPr>
      <w:r>
        <w:rPr>
          <w:rFonts w:ascii="Arial" w:cs="Arial" w:eastAsia="Arial" w:hAnsi="Arial"/>
          <w:sz w:val="21"/>
          <w:szCs w:val="21"/>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w:t>
      </w:r>
      <w:r>
        <w:rPr>
          <w:rFonts w:ascii="MS PGothic" w:cs="MS PGothic" w:eastAsia="MS PGothic" w:hAnsi="MS PGothic"/>
          <w:sz w:val="21"/>
          <w:szCs w:val="21"/>
          <w:color w:val="auto"/>
        </w:rPr>
        <w:t>‑</w:t>
      </w:r>
      <w:r>
        <w:rPr>
          <w:rFonts w:ascii="Arial" w:cs="Arial" w:eastAsia="Arial" w:hAnsi="Arial"/>
          <w:sz w:val="21"/>
          <w:szCs w:val="21"/>
          <w:color w:val="auto"/>
        </w:rPr>
        <w:t>K if the Proposing Person or any of its respective affiliates and associates were the “registrant” for purposes of such rule and the nominee were a director or executive officer of such registrant; and</w:t>
      </w:r>
    </w:p>
    <w:p>
      <w:pPr>
        <w:spacing w:after="0" w:line="191" w:lineRule="exact"/>
        <w:rPr>
          <w:rFonts w:ascii="Arial" w:cs="Arial" w:eastAsia="Arial" w:hAnsi="Arial"/>
          <w:sz w:val="21"/>
          <w:szCs w:val="21"/>
          <w:color w:val="auto"/>
        </w:rPr>
      </w:pPr>
    </w:p>
    <w:p>
      <w:pPr>
        <w:ind w:left="2620" w:hanging="951"/>
        <w:spacing w:after="0"/>
        <w:tabs>
          <w:tab w:leader="none" w:pos="2620"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a completed and signed questionnaire, representation and agreement required by </w:t>
      </w:r>
      <w:r>
        <w:rPr>
          <w:rFonts w:ascii="Arial" w:cs="Arial" w:eastAsia="Arial" w:hAnsi="Arial"/>
          <w:sz w:val="19"/>
          <w:szCs w:val="19"/>
          <w:u w:val="single" w:color="auto"/>
          <w:color w:val="0000EE"/>
        </w:rPr>
        <w:t>Section 1.12.2</w:t>
      </w:r>
      <w:r>
        <w:rPr>
          <w:rFonts w:ascii="Arial" w:cs="Arial" w:eastAsia="Arial" w:hAnsi="Arial"/>
          <w:sz w:val="19"/>
          <w:szCs w:val="19"/>
          <w:color w:val="auto"/>
        </w:rPr>
        <w:t xml:space="preserve"> of</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these Bylaws.</w:t>
      </w:r>
    </w:p>
    <w:p>
      <w:pPr>
        <w:spacing w:after="0" w:line="188" w:lineRule="exact"/>
        <w:rPr>
          <w:rFonts w:ascii="Arial" w:cs="Arial" w:eastAsia="Arial" w:hAnsi="Arial"/>
          <w:sz w:val="19"/>
          <w:szCs w:val="19"/>
          <w:color w:val="auto"/>
        </w:rPr>
      </w:pPr>
    </w:p>
    <w:p>
      <w:pPr>
        <w:jc w:val="both"/>
        <w:ind w:firstLine="872"/>
        <w:spacing w:after="0"/>
        <w:tabs>
          <w:tab w:leader="none" w:pos="1763" w:val="left"/>
        </w:tabs>
        <w:numPr>
          <w:ilvl w:val="0"/>
          <w:numId w:val="58"/>
        </w:numPr>
        <w:rPr>
          <w:rFonts w:ascii="Arial" w:cs="Arial" w:eastAsia="Arial" w:hAnsi="Arial"/>
          <w:sz w:val="22"/>
          <w:szCs w:val="22"/>
          <w:color w:val="010000"/>
        </w:rPr>
      </w:pPr>
      <w:r>
        <w:rPr>
          <w:rFonts w:ascii="Arial" w:cs="Arial" w:eastAsia="Arial" w:hAnsi="Arial"/>
          <w:sz w:val="22"/>
          <w:szCs w:val="22"/>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86" w:lineRule="exact"/>
        <w:rPr>
          <w:rFonts w:ascii="Arial" w:cs="Arial" w:eastAsia="Arial" w:hAnsi="Arial"/>
          <w:sz w:val="22"/>
          <w:szCs w:val="22"/>
          <w:color w:val="010000"/>
        </w:rPr>
      </w:pPr>
    </w:p>
    <w:p>
      <w:pPr>
        <w:jc w:val="both"/>
        <w:ind w:left="880" w:firstLine="789"/>
        <w:spacing w:after="0" w:line="236" w:lineRule="auto"/>
        <w:tabs>
          <w:tab w:leader="none" w:pos="2529" w:val="left"/>
        </w:tabs>
        <w:numPr>
          <w:ilvl w:val="1"/>
          <w:numId w:val="58"/>
        </w:numPr>
        <w:rPr>
          <w:rFonts w:ascii="Arial" w:cs="Arial" w:eastAsia="Arial" w:hAnsi="Arial"/>
          <w:sz w:val="22"/>
          <w:szCs w:val="22"/>
          <w:color w:val="auto"/>
        </w:rPr>
      </w:pPr>
      <w:r>
        <w:rPr>
          <w:rFonts w:ascii="Arial" w:cs="Arial" w:eastAsia="Arial" w:hAnsi="Arial"/>
          <w:sz w:val="22"/>
          <w:szCs w:val="22"/>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87" w:lineRule="exact"/>
        <w:rPr>
          <w:rFonts w:ascii="Arial" w:cs="Arial" w:eastAsia="Arial" w:hAnsi="Arial"/>
          <w:sz w:val="22"/>
          <w:szCs w:val="22"/>
          <w:color w:val="auto"/>
        </w:rPr>
      </w:pPr>
    </w:p>
    <w:p>
      <w:pPr>
        <w:jc w:val="both"/>
        <w:ind w:left="880" w:firstLine="789"/>
        <w:spacing w:after="0" w:line="297" w:lineRule="auto"/>
        <w:tabs>
          <w:tab w:leader="none" w:pos="2589" w:val="left"/>
        </w:tabs>
        <w:numPr>
          <w:ilvl w:val="1"/>
          <w:numId w:val="58"/>
        </w:numPr>
        <w:rPr>
          <w:rFonts w:ascii="Arial" w:cs="Arial" w:eastAsia="Arial" w:hAnsi="Arial"/>
          <w:sz w:val="19"/>
          <w:szCs w:val="19"/>
          <w:color w:val="auto"/>
        </w:rPr>
      </w:pPr>
      <w:r>
        <w:rPr>
          <w:rFonts w:ascii="Arial" w:cs="Arial" w:eastAsia="Arial" w:hAnsi="Arial"/>
          <w:sz w:val="19"/>
          <w:szCs w:val="19"/>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8" w:name="page89"/>
    <w:bookmarkEnd w:id="88"/>
    <w:p>
      <w:pPr>
        <w:ind w:left="888" w:hanging="888"/>
        <w:spacing w:after="0"/>
        <w:tabs>
          <w:tab w:leader="none" w:pos="888"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As to each Proposing Person giving the notice, such Record Stockholder’s notice shall set forth:</w:t>
      </w:r>
    </w:p>
    <w:p>
      <w:pPr>
        <w:spacing w:after="0" w:line="206" w:lineRule="exact"/>
        <w:rPr>
          <w:rFonts w:ascii="Arial" w:cs="Arial" w:eastAsia="Arial" w:hAnsi="Arial"/>
          <w:sz w:val="22"/>
          <w:szCs w:val="22"/>
          <w:color w:val="010000"/>
        </w:rPr>
      </w:pPr>
    </w:p>
    <w:p>
      <w:pPr>
        <w:ind w:left="8" w:firstLine="789"/>
        <w:spacing w:after="0" w:line="250" w:lineRule="auto"/>
        <w:tabs>
          <w:tab w:leader="none" w:pos="1657"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current name and address of such Proposing Person, including, if applicable, their name and address as they appear on the Corporation’s stock ledger, if different;</w:t>
      </w:r>
    </w:p>
    <w:p>
      <w:pPr>
        <w:spacing w:after="0" w:line="174" w:lineRule="exact"/>
        <w:rPr>
          <w:rFonts w:ascii="Arial" w:cs="Arial" w:eastAsia="Arial" w:hAnsi="Arial"/>
          <w:sz w:val="22"/>
          <w:szCs w:val="22"/>
          <w:color w:val="auto"/>
        </w:rPr>
      </w:pPr>
    </w:p>
    <w:p>
      <w:pPr>
        <w:jc w:val="both"/>
        <w:ind w:left="8" w:firstLine="789"/>
        <w:spacing w:after="0" w:line="297" w:lineRule="auto"/>
        <w:tabs>
          <w:tab w:leader="none" w:pos="1717"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33" w:lineRule="exact"/>
        <w:rPr>
          <w:rFonts w:ascii="Arial" w:cs="Arial" w:eastAsia="Arial" w:hAnsi="Arial"/>
          <w:sz w:val="19"/>
          <w:szCs w:val="19"/>
          <w:color w:val="auto"/>
        </w:rPr>
      </w:pPr>
    </w:p>
    <w:p>
      <w:pPr>
        <w:jc w:val="both"/>
        <w:ind w:left="8" w:firstLine="789"/>
        <w:spacing w:after="0" w:line="270" w:lineRule="auto"/>
        <w:tabs>
          <w:tab w:leader="none" w:pos="1777" w:val="left"/>
        </w:tabs>
        <w:numPr>
          <w:ilvl w:val="1"/>
          <w:numId w:val="59"/>
        </w:numPr>
        <w:rPr>
          <w:rFonts w:ascii="Arial" w:cs="Arial" w:eastAsia="Arial" w:hAnsi="Arial"/>
          <w:sz w:val="19"/>
          <w:szCs w:val="19"/>
          <w:color w:val="auto"/>
        </w:rPr>
      </w:pPr>
      <w:r>
        <w:rPr>
          <w:rFonts w:ascii="Arial" w:cs="Arial" w:eastAsia="Arial" w:hAnsi="Arial"/>
          <w:sz w:val="19"/>
          <w:szCs w:val="19"/>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“Derivative Instrument”),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“Short Interest”);</w:t>
      </w:r>
    </w:p>
    <w:p>
      <w:pPr>
        <w:spacing w:after="0" w:line="165" w:lineRule="exact"/>
        <w:rPr>
          <w:rFonts w:ascii="Arial" w:cs="Arial" w:eastAsia="Arial" w:hAnsi="Arial"/>
          <w:sz w:val="19"/>
          <w:szCs w:val="19"/>
          <w:color w:val="auto"/>
        </w:rPr>
      </w:pPr>
    </w:p>
    <w:p>
      <w:pPr>
        <w:jc w:val="both"/>
        <w:ind w:left="8" w:firstLine="789"/>
        <w:spacing w:after="0" w:line="238" w:lineRule="auto"/>
        <w:tabs>
          <w:tab w:leader="none" w:pos="1765" w:val="left"/>
        </w:tabs>
        <w:numPr>
          <w:ilvl w:val="1"/>
          <w:numId w:val="59"/>
        </w:numPr>
        <w:rPr>
          <w:rFonts w:ascii="Arial" w:cs="Arial" w:eastAsia="Arial" w:hAnsi="Arial"/>
          <w:sz w:val="22"/>
          <w:szCs w:val="22"/>
          <w:color w:val="auto"/>
        </w:rPr>
      </w:pPr>
      <w:r>
        <w:rPr>
          <w:rFonts w:ascii="Arial" w:cs="Arial" w:eastAsia="Arial" w:hAnsi="Arial"/>
          <w:sz w:val="22"/>
          <w:szCs w:val="22"/>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84" w:lineRule="exact"/>
        <w:rPr>
          <w:rFonts w:ascii="Arial" w:cs="Arial" w:eastAsia="Arial" w:hAnsi="Arial"/>
          <w:sz w:val="22"/>
          <w:szCs w:val="22"/>
          <w:color w:val="auto"/>
        </w:rPr>
      </w:pPr>
    </w:p>
    <w:p>
      <w:pPr>
        <w:jc w:val="both"/>
        <w:ind w:left="8" w:firstLine="789"/>
        <w:spacing w:after="0"/>
        <w:tabs>
          <w:tab w:leader="none" w:pos="1705" w:val="left"/>
        </w:tabs>
        <w:numPr>
          <w:ilvl w:val="1"/>
          <w:numId w:val="59"/>
        </w:numPr>
        <w:rPr>
          <w:rFonts w:ascii="Arial" w:cs="Arial" w:eastAsia="Arial" w:hAnsi="Arial"/>
          <w:sz w:val="22"/>
          <w:szCs w:val="22"/>
          <w:color w:val="auto"/>
        </w:rPr>
      </w:pPr>
      <w:r>
        <w:rPr>
          <w:rFonts w:ascii="Arial" w:cs="Arial" w:eastAsia="Arial" w:hAnsi="Arial"/>
          <w:sz w:val="22"/>
          <w:szCs w:val="22"/>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86" w:lineRule="exact"/>
        <w:rPr>
          <w:rFonts w:ascii="Arial" w:cs="Arial" w:eastAsia="Arial" w:hAnsi="Arial"/>
          <w:sz w:val="22"/>
          <w:szCs w:val="22"/>
          <w:color w:val="auto"/>
        </w:rPr>
      </w:pPr>
    </w:p>
    <w:p>
      <w:pPr>
        <w:ind w:left="8" w:right="20" w:firstLine="789"/>
        <w:spacing w:after="0" w:line="250" w:lineRule="auto"/>
        <w:tabs>
          <w:tab w:leader="none" w:pos="1765" w:val="left"/>
        </w:tabs>
        <w:numPr>
          <w:ilvl w:val="1"/>
          <w:numId w:val="59"/>
        </w:numPr>
        <w:rPr>
          <w:rFonts w:ascii="Arial" w:cs="Arial" w:eastAsia="Arial" w:hAnsi="Arial"/>
          <w:sz w:val="22"/>
          <w:szCs w:val="22"/>
          <w:color w:val="auto"/>
        </w:rPr>
      </w:pPr>
      <w:r>
        <w:rPr>
          <w:rFonts w:ascii="Arial" w:cs="Arial" w:eastAsia="Arial" w:hAnsi="Arial"/>
          <w:sz w:val="22"/>
          <w:szCs w:val="22"/>
          <w:color w:val="auto"/>
        </w:rPr>
        <w:t>any significant equity interests or any Derivative Instruments or Short Interests in any Competitor held by such Proposing Person and/or any of its respective affiliates or associates;</w:t>
      </w:r>
    </w:p>
    <w:p>
      <w:pPr>
        <w:spacing w:after="0" w:line="175" w:lineRule="exact"/>
        <w:rPr>
          <w:sz w:val="20"/>
          <w:szCs w:val="20"/>
          <w:color w:val="auto"/>
        </w:rPr>
      </w:pPr>
    </w:p>
    <w:p>
      <w:pPr>
        <w:ind w:left="4708"/>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50" w:right="339" w:bottom="1440" w:gutter="0" w:footer="0" w:header="0"/>
        </w:sectPr>
      </w:pPr>
    </w:p>
    <w:bookmarkStart w:id="89" w:name="page90"/>
    <w:bookmarkEnd w:id="89"/>
    <w:p>
      <w:pPr>
        <w:ind w:left="880" w:firstLine="789"/>
        <w:spacing w:after="0" w:line="250" w:lineRule="auto"/>
        <w:tabs>
          <w:tab w:leader="none" w:pos="2697"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other material relationship between such Proposing Person, on the one hand, and the Corporation, any affiliate of the Corporation or any Competitor, on the other hand;</w:t>
      </w:r>
    </w:p>
    <w:p>
      <w:pPr>
        <w:spacing w:after="0" w:line="174" w:lineRule="exact"/>
        <w:rPr>
          <w:rFonts w:ascii="Arial" w:cs="Arial" w:eastAsia="Arial" w:hAnsi="Arial"/>
          <w:sz w:val="22"/>
          <w:szCs w:val="22"/>
          <w:color w:val="auto"/>
        </w:rPr>
      </w:pPr>
    </w:p>
    <w:p>
      <w:pPr>
        <w:jc w:val="both"/>
        <w:ind w:left="880" w:firstLine="789"/>
        <w:spacing w:after="0" w:line="238" w:lineRule="auto"/>
        <w:tabs>
          <w:tab w:leader="none" w:pos="2757"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84" w:lineRule="exact"/>
        <w:rPr>
          <w:rFonts w:ascii="Arial" w:cs="Arial" w:eastAsia="Arial" w:hAnsi="Arial"/>
          <w:sz w:val="22"/>
          <w:szCs w:val="22"/>
          <w:color w:val="auto"/>
        </w:rPr>
      </w:pPr>
    </w:p>
    <w:p>
      <w:pPr>
        <w:jc w:val="both"/>
        <w:ind w:left="880" w:firstLine="789"/>
        <w:spacing w:after="0" w:line="287" w:lineRule="auto"/>
        <w:tabs>
          <w:tab w:leader="none" w:pos="2637"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42" w:lineRule="exact"/>
        <w:rPr>
          <w:rFonts w:ascii="Arial" w:cs="Arial" w:eastAsia="Arial" w:hAnsi="Arial"/>
          <w:sz w:val="19"/>
          <w:szCs w:val="19"/>
          <w:color w:val="auto"/>
        </w:rPr>
      </w:pPr>
    </w:p>
    <w:p>
      <w:pPr>
        <w:ind w:left="880" w:firstLine="789"/>
        <w:spacing w:after="0" w:line="250" w:lineRule="auto"/>
        <w:tabs>
          <w:tab w:leader="none" w:pos="2577"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such Proposing Person’s written consent to the public disclosure of information provided to the Corporation pursuant to this Section 1.12;</w:t>
      </w:r>
    </w:p>
    <w:p>
      <w:pPr>
        <w:spacing w:after="0" w:line="174" w:lineRule="exact"/>
        <w:rPr>
          <w:rFonts w:ascii="Arial" w:cs="Arial" w:eastAsia="Arial" w:hAnsi="Arial"/>
          <w:sz w:val="22"/>
          <w:szCs w:val="22"/>
          <w:color w:val="auto"/>
        </w:rPr>
      </w:pPr>
    </w:p>
    <w:p>
      <w:pPr>
        <w:jc w:val="both"/>
        <w:ind w:left="880" w:firstLine="789"/>
        <w:spacing w:after="0" w:line="252" w:lineRule="auto"/>
        <w:tabs>
          <w:tab w:leader="none" w:pos="2637" w:val="left"/>
        </w:tabs>
        <w:numPr>
          <w:ilvl w:val="0"/>
          <w:numId w:val="60"/>
        </w:numPr>
        <w:rPr>
          <w:rFonts w:ascii="Arial" w:cs="Arial" w:eastAsia="Arial" w:hAnsi="Arial"/>
          <w:sz w:val="21"/>
          <w:szCs w:val="21"/>
          <w:color w:val="auto"/>
        </w:rPr>
      </w:pPr>
      <w:r>
        <w:rPr>
          <w:rFonts w:ascii="Arial" w:cs="Arial" w:eastAsia="Arial" w:hAnsi="Arial"/>
          <w:sz w:val="21"/>
          <w:szCs w:val="21"/>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73" w:lineRule="exact"/>
        <w:rPr>
          <w:rFonts w:ascii="Arial" w:cs="Arial" w:eastAsia="Arial" w:hAnsi="Arial"/>
          <w:sz w:val="21"/>
          <w:szCs w:val="21"/>
          <w:color w:val="auto"/>
        </w:rPr>
      </w:pPr>
    </w:p>
    <w:p>
      <w:pPr>
        <w:jc w:val="both"/>
        <w:ind w:left="880" w:firstLine="789"/>
        <w:spacing w:after="0"/>
        <w:tabs>
          <w:tab w:leader="none" w:pos="2697"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86" w:lineRule="exact"/>
        <w:rPr>
          <w:rFonts w:ascii="Arial" w:cs="Arial" w:eastAsia="Arial" w:hAnsi="Arial"/>
          <w:sz w:val="22"/>
          <w:szCs w:val="22"/>
          <w:color w:val="auto"/>
        </w:rPr>
      </w:pPr>
    </w:p>
    <w:p>
      <w:pPr>
        <w:jc w:val="both"/>
        <w:ind w:left="880" w:firstLine="789"/>
        <w:spacing w:after="0" w:line="249" w:lineRule="auto"/>
        <w:tabs>
          <w:tab w:leader="none" w:pos="2757" w:val="left"/>
        </w:tabs>
        <w:numPr>
          <w:ilvl w:val="0"/>
          <w:numId w:val="60"/>
        </w:numPr>
        <w:rPr>
          <w:rFonts w:ascii="Arial" w:cs="Arial" w:eastAsia="Arial" w:hAnsi="Arial"/>
          <w:sz w:val="21"/>
          <w:szCs w:val="21"/>
          <w:color w:val="auto"/>
        </w:rPr>
      </w:pPr>
      <w:r>
        <w:rPr>
          <w:rFonts w:ascii="Arial" w:cs="Arial" w:eastAsia="Arial" w:hAnsi="Arial"/>
          <w:sz w:val="21"/>
          <w:szCs w:val="21"/>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“Solicitation Notice”); and</w:t>
      </w:r>
    </w:p>
    <w:p>
      <w:pPr>
        <w:spacing w:after="0" w:line="178" w:lineRule="exact"/>
        <w:rPr>
          <w:rFonts w:ascii="Arial" w:cs="Arial" w:eastAsia="Arial" w:hAnsi="Arial"/>
          <w:sz w:val="21"/>
          <w:szCs w:val="21"/>
          <w:color w:val="auto"/>
        </w:rPr>
      </w:pPr>
    </w:p>
    <w:p>
      <w:pPr>
        <w:ind w:left="880" w:firstLine="789"/>
        <w:spacing w:after="0" w:line="250" w:lineRule="auto"/>
        <w:tabs>
          <w:tab w:leader="none" w:pos="2745"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proxy, contract, arrangement, or relationship pursuant to which the Proposing Person has a right to vote, directly or indirectly, any shares of any security of the Corporation.</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85" w:lineRule="exact"/>
        <w:rPr>
          <w:sz w:val="20"/>
          <w:szCs w:val="20"/>
          <w:color w:val="auto"/>
        </w:rPr>
      </w:pPr>
    </w:p>
    <w:p>
      <w:pPr>
        <w:jc w:val="both"/>
        <w:ind w:firstLine="872"/>
        <w:spacing w:after="0" w:line="249" w:lineRule="auto"/>
        <w:tabs>
          <w:tab w:leader="none" w:pos="1727" w:val="left"/>
        </w:tabs>
        <w:numPr>
          <w:ilvl w:val="0"/>
          <w:numId w:val="61"/>
        </w:numPr>
        <w:rPr>
          <w:rFonts w:ascii="Arial" w:cs="Arial" w:eastAsia="Arial" w:hAnsi="Arial"/>
          <w:sz w:val="21"/>
          <w:szCs w:val="21"/>
          <w:color w:val="010000"/>
        </w:rPr>
      </w:pPr>
      <w:r>
        <w:rPr>
          <w:rFonts w:ascii="Arial" w:cs="Arial" w:eastAsia="Arial" w:hAnsi="Arial"/>
          <w:sz w:val="21"/>
          <w:szCs w:val="21"/>
          <w:color w:val="010000"/>
        </w:rPr>
        <w:t xml:space="preserve">A stockholder providing written notice required by this </w:t>
      </w:r>
      <w:r>
        <w:rPr>
          <w:rFonts w:ascii="Arial" w:cs="Arial" w:eastAsia="Arial" w:hAnsi="Arial"/>
          <w:sz w:val="21"/>
          <w:szCs w:val="21"/>
          <w:color w:val="000000"/>
        </w:rPr>
        <w:t>Section 1.12</w:t>
      </w:r>
      <w:r>
        <w:rPr>
          <w:rFonts w:ascii="Arial" w:cs="Arial" w:eastAsia="Arial" w:hAnsi="Arial"/>
          <w:sz w:val="21"/>
          <w:szCs w:val="21"/>
          <w:color w:val="010000"/>
        </w:rPr>
        <w:t xml:space="preserve"> shall update such notice in writing, if necessary, so that the information provided or required to be provided in such notice is true and correct in all material respects as of (i) the record date for determining the stockholders entitled to notice of the meeting and (ii) </w:t>
      </w:r>
      <w:r>
        <w:rPr>
          <w:rFonts w:ascii="Arial" w:cs="Arial" w:eastAsia="Arial" w:hAnsi="Arial"/>
          <w:sz w:val="21"/>
          <w:szCs w:val="21"/>
          <w:color w:val="000000"/>
        </w:rPr>
        <w:t>5:00 p.m. Eastern Time</w:t>
      </w:r>
      <w:r>
        <w:rPr>
          <w:rFonts w:ascii="Arial" w:cs="Arial" w:eastAsia="Arial" w:hAnsi="Arial"/>
          <w:sz w:val="21"/>
          <w:szCs w:val="21"/>
          <w:color w:val="010000"/>
        </w:rPr>
        <w:t xml:space="preserve"> on the tenth (10th) business day prior to the meeting or any adjournment or postponement thereof. In the case of an update pursuant to clause (i) of the foregoing sentence, such update shall be received by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0" w:name="page91"/>
    <w:bookmarkEnd w:id="90"/>
    <w:p>
      <w:pPr>
        <w:jc w:val="both"/>
        <w:spacing w:after="0" w:line="273" w:lineRule="auto"/>
        <w:rPr>
          <w:sz w:val="20"/>
          <w:szCs w:val="20"/>
          <w:color w:val="auto"/>
        </w:rPr>
      </w:pPr>
      <w:r>
        <w:rPr>
          <w:rFonts w:ascii="Arial" w:cs="Arial" w:eastAsia="Arial" w:hAnsi="Arial"/>
          <w:sz w:val="19"/>
          <w:szCs w:val="19"/>
          <w:color w:val="010000"/>
        </w:rPr>
        <w:t xml:space="preserve">Secretary </w:t>
      </w:r>
      <w:r>
        <w:rPr>
          <w:rFonts w:ascii="Arial" w:cs="Arial" w:eastAsia="Arial" w:hAnsi="Arial"/>
          <w:sz w:val="19"/>
          <w:szCs w:val="19"/>
          <w:color w:val="000000"/>
        </w:rPr>
        <w:t>of the Corporation at the principal executive office of the Corporation</w:t>
      </w:r>
      <w:r>
        <w:rPr>
          <w:rFonts w:ascii="Arial" w:cs="Arial" w:eastAsia="Arial" w:hAnsi="Arial"/>
          <w:sz w:val="19"/>
          <w:szCs w:val="19"/>
          <w:color w:val="010000"/>
        </w:rPr>
        <w:t xml:space="preserve">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w:t>
      </w:r>
      <w:r>
        <w:rPr>
          <w:rFonts w:ascii="Arial" w:cs="Arial" w:eastAsia="Arial" w:hAnsi="Arial"/>
          <w:sz w:val="19"/>
          <w:szCs w:val="19"/>
          <w:color w:val="000000"/>
        </w:rPr>
        <w:t>of the</w:t>
      </w:r>
      <w:r>
        <w:rPr>
          <w:rFonts w:ascii="Arial" w:cs="Arial" w:eastAsia="Arial" w:hAnsi="Arial"/>
          <w:sz w:val="19"/>
          <w:szCs w:val="19"/>
          <w:color w:val="010000"/>
        </w:rPr>
        <w:t xml:space="preserve"> </w:t>
      </w:r>
      <w:r>
        <w:rPr>
          <w:rFonts w:ascii="Arial" w:cs="Arial" w:eastAsia="Arial" w:hAnsi="Arial"/>
          <w:sz w:val="19"/>
          <w:szCs w:val="19"/>
          <w:color w:val="000000"/>
        </w:rPr>
        <w:t xml:space="preserve">Corporation at the principal executive office of the Corporation </w:t>
      </w:r>
      <w:r>
        <w:rPr>
          <w:rFonts w:ascii="Arial" w:cs="Arial" w:eastAsia="Arial" w:hAnsi="Arial"/>
          <w:sz w:val="19"/>
          <w:szCs w:val="19"/>
          <w:color w:val="010000"/>
        </w:rPr>
        <w:t>not later than eight (8) business days prior to the date for the</w:t>
      </w:r>
      <w:r>
        <w:rPr>
          <w:rFonts w:ascii="Arial" w:cs="Arial" w:eastAsia="Arial" w:hAnsi="Arial"/>
          <w:sz w:val="19"/>
          <w:szCs w:val="19"/>
          <w:color w:val="000000"/>
        </w:rPr>
        <w:t xml:space="preserve"> </w:t>
      </w:r>
      <w:r>
        <w:rPr>
          <w:rFonts w:ascii="Arial" w:cs="Arial" w:eastAsia="Arial" w:hAnsi="Arial"/>
          <w:sz w:val="19"/>
          <w:szCs w:val="19"/>
          <w:color w:val="010000"/>
        </w:rPr>
        <w:t xml:space="preserve">meeting and, if practicable, any adjournment or postponement thereof (and, if not practicable, on the first practicable date prior to the date </w:t>
      </w:r>
      <w:r>
        <w:rPr>
          <w:rFonts w:ascii="Arial" w:cs="Arial" w:eastAsia="Arial" w:hAnsi="Arial"/>
          <w:sz w:val="19"/>
          <w:szCs w:val="19"/>
          <w:color w:val="000000"/>
        </w:rPr>
        <w:t>to which the meeting has been adjourned or postponed)</w:t>
      </w:r>
      <w:r>
        <w:rPr>
          <w:rFonts w:ascii="Arial" w:cs="Arial" w:eastAsia="Arial" w:hAnsi="Arial"/>
          <w:sz w:val="19"/>
          <w:szCs w:val="19"/>
          <w:color w:val="010000"/>
        </w:rPr>
        <w:t xml:space="preserve">. </w:t>
      </w:r>
      <w:r>
        <w:rPr>
          <w:rFonts w:ascii="Arial" w:cs="Arial" w:eastAsia="Arial" w:hAnsi="Arial"/>
          <w:sz w:val="19"/>
          <w:szCs w:val="19"/>
          <w:color w:val="000000"/>
        </w:rPr>
        <w:t>For the avoidance of doubt, the obligation to update as set forth</w:t>
      </w:r>
      <w:r>
        <w:rPr>
          <w:rFonts w:ascii="Arial" w:cs="Arial" w:eastAsia="Arial" w:hAnsi="Arial"/>
          <w:sz w:val="19"/>
          <w:szCs w:val="19"/>
          <w:color w:val="010000"/>
        </w:rPr>
        <w:t xml:space="preserve"> </w:t>
      </w:r>
      <w:r>
        <w:rPr>
          <w:rFonts w:ascii="Arial" w:cs="Arial" w:eastAsia="Arial" w:hAnsi="Arial"/>
          <w:sz w:val="19"/>
          <w:szCs w:val="19"/>
          <w:color w:val="000000"/>
        </w:rPr>
        <w:t>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61" w:lineRule="exact"/>
        <w:rPr>
          <w:sz w:val="20"/>
          <w:szCs w:val="20"/>
          <w:color w:val="auto"/>
        </w:rPr>
      </w:pPr>
    </w:p>
    <w:p>
      <w:pPr>
        <w:jc w:val="both"/>
        <w:ind w:firstLine="872"/>
        <w:spacing w:after="0" w:line="236" w:lineRule="auto"/>
        <w:tabs>
          <w:tab w:leader="none" w:pos="1763" w:val="left"/>
        </w:tabs>
        <w:numPr>
          <w:ilvl w:val="0"/>
          <w:numId w:val="62"/>
        </w:numPr>
        <w:rPr>
          <w:rFonts w:ascii="Arial" w:cs="Arial" w:eastAsia="Arial" w:hAnsi="Arial"/>
          <w:sz w:val="22"/>
          <w:szCs w:val="22"/>
          <w:color w:val="010000"/>
        </w:rPr>
      </w:pPr>
      <w:r>
        <w:rPr>
          <w:rFonts w:ascii="Arial" w:cs="Arial" w:eastAsia="Arial" w:hAnsi="Arial"/>
          <w:sz w:val="22"/>
          <w:szCs w:val="22"/>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8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010000"/>
        </w:rPr>
        <w:t xml:space="preserve">1.12.2 </w:t>
      </w:r>
      <w:r>
        <w:rPr>
          <w:rFonts w:ascii="Arial" w:cs="Arial" w:eastAsia="Arial" w:hAnsi="Arial"/>
          <w:sz w:val="19"/>
          <w:szCs w:val="19"/>
          <w:u w:val="single" w:color="auto"/>
          <w:color w:val="000000"/>
        </w:rPr>
        <w:t>Submission of Questionnaire, Representation and Agreement</w:t>
      </w:r>
      <w:r>
        <w:rPr>
          <w:rFonts w:ascii="Arial" w:cs="Arial" w:eastAsia="Arial" w:hAnsi="Arial"/>
          <w:sz w:val="19"/>
          <w:szCs w:val="19"/>
          <w:color w:val="000000"/>
        </w:rPr>
        <w:t>. To be eligible to be a nominee of any</w:t>
      </w:r>
      <w:r>
        <w:rPr>
          <w:rFonts w:ascii="Arial" w:cs="Arial" w:eastAsia="Arial" w:hAnsi="Arial"/>
          <w:sz w:val="19"/>
          <w:szCs w:val="19"/>
          <w:color w:val="010000"/>
        </w:rPr>
        <w:t xml:space="preserve"> </w:t>
      </w:r>
      <w:r>
        <w:rPr>
          <w:rFonts w:ascii="Arial" w:cs="Arial" w:eastAsia="Arial" w:hAnsi="Arial"/>
          <w:sz w:val="19"/>
          <w:szCs w:val="19"/>
          <w:color w:val="000000"/>
        </w:rPr>
        <w:t xml:space="preserve">stockholder for election or reelection as a director of the Corporation, the person proposed to be nominated must deliver (in accordance with the time periods prescribed for delivery of notice under </w:t>
      </w:r>
      <w:r>
        <w:rPr>
          <w:rFonts w:ascii="Arial" w:cs="Arial" w:eastAsia="Arial" w:hAnsi="Arial"/>
          <w:sz w:val="19"/>
          <w:szCs w:val="19"/>
          <w:u w:val="single" w:color="auto"/>
          <w:color w:val="000000"/>
        </w:rPr>
        <w:t>Section 1.12</w:t>
      </w:r>
      <w:r>
        <w:rPr>
          <w:rFonts w:ascii="Arial" w:cs="Arial" w:eastAsia="Arial" w:hAnsi="Arial"/>
          <w:sz w:val="19"/>
          <w:szCs w:val="19"/>
          <w:color w:val="000000"/>
        </w:rPr>
        <w:t xml:space="preserve"> </w:t>
      </w:r>
      <w:r>
        <w:rPr>
          <w:rFonts w:ascii="Arial" w:cs="Arial" w:eastAsia="Arial" w:hAnsi="Arial"/>
          <w:sz w:val="19"/>
          <w:szCs w:val="19"/>
          <w:color w:val="010000"/>
        </w:rPr>
        <w:t>of th</w:t>
      </w:r>
      <w:r>
        <w:rPr>
          <w:rFonts w:ascii="Arial" w:cs="Arial" w:eastAsia="Arial" w:hAnsi="Arial"/>
          <w:sz w:val="19"/>
          <w:szCs w:val="19"/>
          <w:color w:val="000000"/>
        </w:rPr>
        <w:t>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9"/>
          <w:szCs w:val="19"/>
          <w:b w:val="1"/>
          <w:bCs w:val="1"/>
          <w:i w:val="1"/>
          <w:iCs w:val="1"/>
          <w:color w:val="000000"/>
        </w:rPr>
        <w:t>Voting Commitment</w:t>
      </w:r>
      <w:r>
        <w:rPr>
          <w:rFonts w:ascii="Arial" w:cs="Arial" w:eastAsia="Arial" w:hAnsi="Arial"/>
          <w:sz w:val="19"/>
          <w:szCs w:val="19"/>
          <w:color w:val="000000"/>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1" w:name="page92"/>
    <w:bookmarkEnd w:id="91"/>
    <w:p>
      <w:pPr>
        <w:jc w:val="both"/>
        <w:ind w:firstLine="864"/>
        <w:spacing w:after="0" w:line="271" w:lineRule="auto"/>
        <w:rPr>
          <w:sz w:val="20"/>
          <w:szCs w:val="20"/>
          <w:color w:val="auto"/>
        </w:rPr>
      </w:pPr>
      <w:r>
        <w:rPr>
          <w:rFonts w:ascii="Arial" w:cs="Arial" w:eastAsia="Arial" w:hAnsi="Arial"/>
          <w:sz w:val="19"/>
          <w:szCs w:val="19"/>
          <w:color w:val="010000"/>
        </w:rPr>
        <w:t xml:space="preserve">1.12.3 </w:t>
      </w:r>
      <w:r>
        <w:rPr>
          <w:rFonts w:ascii="Arial" w:cs="Arial" w:eastAsia="Arial" w:hAnsi="Arial"/>
          <w:sz w:val="19"/>
          <w:szCs w:val="19"/>
          <w:u w:val="single" w:color="auto"/>
          <w:color w:val="000000"/>
        </w:rPr>
        <w:t>Special Meetings of Stockholders</w:t>
      </w:r>
      <w:r>
        <w:rPr>
          <w:rFonts w:ascii="Arial" w:cs="Arial" w:eastAsia="Arial" w:hAnsi="Arial"/>
          <w:sz w:val="19"/>
          <w:szCs w:val="19"/>
          <w:color w:val="000000"/>
        </w:rPr>
        <w:t>. Only such business shall be conducted at a special meeting of</w:t>
      </w:r>
      <w:r>
        <w:rPr>
          <w:rFonts w:ascii="Arial" w:cs="Arial" w:eastAsia="Arial" w:hAnsi="Arial"/>
          <w:sz w:val="19"/>
          <w:szCs w:val="19"/>
          <w:color w:val="010000"/>
        </w:rPr>
        <w:t xml:space="preserve"> </w:t>
      </w:r>
      <w:r>
        <w:rPr>
          <w:rFonts w:ascii="Arial" w:cs="Arial" w:eastAsia="Arial" w:hAnsi="Arial"/>
          <w:sz w:val="19"/>
          <w:szCs w:val="19"/>
          <w:color w:val="000000"/>
        </w:rPr>
        <w:t>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60" w:lineRule="exact"/>
        <w:rPr>
          <w:sz w:val="20"/>
          <w:szCs w:val="20"/>
          <w:color w:val="auto"/>
        </w:rPr>
      </w:pPr>
    </w:p>
    <w:p>
      <w:pPr>
        <w:ind w:left="880"/>
        <w:spacing w:after="0"/>
        <w:tabs>
          <w:tab w:leader="none" w:pos="2040" w:val="left"/>
        </w:tabs>
        <w:rPr>
          <w:sz w:val="20"/>
          <w:szCs w:val="20"/>
          <w:color w:val="auto"/>
        </w:rPr>
      </w:pPr>
      <w:r>
        <w:rPr>
          <w:rFonts w:ascii="Arial" w:cs="Arial" w:eastAsia="Arial" w:hAnsi="Arial"/>
          <w:sz w:val="22"/>
          <w:szCs w:val="22"/>
          <w:color w:val="010000"/>
        </w:rPr>
        <w:t>1.12.4</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72" w:lineRule="auto"/>
        <w:tabs>
          <w:tab w:leader="none" w:pos="1751"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60" w:lineRule="exact"/>
        <w:rPr>
          <w:rFonts w:ascii="Arial" w:cs="Arial" w:eastAsia="Arial" w:hAnsi="Arial"/>
          <w:sz w:val="19"/>
          <w:szCs w:val="19"/>
          <w:color w:val="010000"/>
        </w:rPr>
      </w:pPr>
    </w:p>
    <w:p>
      <w:pPr>
        <w:jc w:val="both"/>
        <w:ind w:firstLine="872"/>
        <w:spacing w:after="0" w:line="249" w:lineRule="auto"/>
        <w:tabs>
          <w:tab w:leader="none" w:pos="1763" w:val="left"/>
        </w:tabs>
        <w:numPr>
          <w:ilvl w:val="0"/>
          <w:numId w:val="63"/>
        </w:numPr>
        <w:rPr>
          <w:rFonts w:ascii="Arial" w:cs="Arial" w:eastAsia="Arial" w:hAnsi="Arial"/>
          <w:sz w:val="21"/>
          <w:szCs w:val="21"/>
          <w:color w:val="010000"/>
        </w:rPr>
      </w:pPr>
      <w:r>
        <w:rPr>
          <w:rFonts w:ascii="Arial" w:cs="Arial" w:eastAsia="Arial" w:hAnsi="Arial"/>
          <w:sz w:val="21"/>
          <w:szCs w:val="21"/>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2" w:name="page93"/>
    <w:bookmarkEnd w:id="92"/>
    <w:p>
      <w:pPr>
        <w:ind w:left="888" w:hanging="888"/>
        <w:spacing w:after="0"/>
        <w:tabs>
          <w:tab w:leader="none" w:pos="888" w:val="left"/>
        </w:tabs>
        <w:numPr>
          <w:ilvl w:val="0"/>
          <w:numId w:val="64"/>
        </w:numPr>
        <w:rPr>
          <w:rFonts w:ascii="Arial" w:cs="Arial" w:eastAsia="Arial" w:hAnsi="Arial"/>
          <w:sz w:val="22"/>
          <w:szCs w:val="22"/>
          <w:color w:val="010000"/>
        </w:rPr>
      </w:pPr>
      <w:r>
        <w:rPr>
          <w:rFonts w:ascii="Arial" w:cs="Arial" w:eastAsia="Arial" w:hAnsi="Arial"/>
          <w:sz w:val="22"/>
          <w:szCs w:val="22"/>
          <w:color w:val="auto"/>
        </w:rPr>
        <w:t>For purposes of these Bylaws the following definitions shall apply:</w:t>
      </w:r>
    </w:p>
    <w:p>
      <w:pPr>
        <w:spacing w:after="0" w:line="206" w:lineRule="exact"/>
        <w:rPr>
          <w:rFonts w:ascii="Arial" w:cs="Arial" w:eastAsia="Arial" w:hAnsi="Arial"/>
          <w:sz w:val="22"/>
          <w:szCs w:val="22"/>
          <w:color w:val="010000"/>
        </w:rPr>
      </w:pPr>
    </w:p>
    <w:p>
      <w:pPr>
        <w:jc w:val="both"/>
        <w:ind w:left="868" w:firstLine="726"/>
        <w:spacing w:after="0" w:line="271" w:lineRule="auto"/>
        <w:tabs>
          <w:tab w:leader="none" w:pos="2547"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a person shall be deemed to be “</w:t>
      </w:r>
      <w:r>
        <w:rPr>
          <w:rFonts w:ascii="Arial" w:cs="Arial" w:eastAsia="Arial" w:hAnsi="Arial"/>
          <w:sz w:val="19"/>
          <w:szCs w:val="19"/>
          <w:b w:val="1"/>
          <w:bCs w:val="1"/>
          <w:i w:val="1"/>
          <w:iCs w:val="1"/>
          <w:color w:val="auto"/>
        </w:rPr>
        <w:t>Acting in Concert</w:t>
      </w:r>
      <w:r>
        <w:rPr>
          <w:rFonts w:ascii="Arial" w:cs="Arial" w:eastAsia="Arial" w:hAnsi="Arial"/>
          <w:sz w:val="19"/>
          <w:szCs w:val="19"/>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200" w:lineRule="exact"/>
        <w:rPr>
          <w:rFonts w:ascii="Arial" w:cs="Arial" w:eastAsia="Arial" w:hAnsi="Arial"/>
          <w:sz w:val="19"/>
          <w:szCs w:val="19"/>
          <w:color w:val="010000"/>
        </w:rPr>
      </w:pPr>
    </w:p>
    <w:p>
      <w:pPr>
        <w:spacing w:after="0" w:line="210" w:lineRule="exact"/>
        <w:rPr>
          <w:rFonts w:ascii="Arial" w:cs="Arial" w:eastAsia="Arial" w:hAnsi="Arial"/>
          <w:sz w:val="19"/>
          <w:szCs w:val="19"/>
          <w:color w:val="010000"/>
        </w:rPr>
      </w:pPr>
    </w:p>
    <w:p>
      <w:pPr>
        <w:jc w:val="both"/>
        <w:ind w:left="868" w:firstLine="726"/>
        <w:spacing w:after="0" w:line="238" w:lineRule="auto"/>
        <w:tabs>
          <w:tab w:leader="none" w:pos="2535" w:val="left"/>
        </w:tabs>
        <w:numPr>
          <w:ilvl w:val="1"/>
          <w:numId w:val="64"/>
        </w:numPr>
        <w:rPr>
          <w:rFonts w:ascii="Arial" w:cs="Arial" w:eastAsia="Arial" w:hAnsi="Arial"/>
          <w:sz w:val="22"/>
          <w:szCs w:val="22"/>
          <w:color w:val="010000"/>
        </w:rPr>
      </w:pP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and “</w:t>
      </w:r>
      <w:r>
        <w:rPr>
          <w:rFonts w:ascii="Arial" w:cs="Arial" w:eastAsia="Arial" w:hAnsi="Arial"/>
          <w:sz w:val="22"/>
          <w:szCs w:val="22"/>
          <w:b w:val="1"/>
          <w:bCs w:val="1"/>
          <w:i w:val="1"/>
          <w:iCs w:val="1"/>
          <w:color w:val="auto"/>
        </w:rPr>
        <w:t>associate</w:t>
      </w:r>
      <w:r>
        <w:rPr>
          <w:rFonts w:ascii="Arial" w:cs="Arial" w:eastAsia="Arial" w:hAnsi="Arial"/>
          <w:sz w:val="22"/>
          <w:szCs w:val="22"/>
          <w:color w:val="auto"/>
        </w:rPr>
        <w:t>” shall have the meanings ascribed thereto in Rule 405 under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provided, however, that the term “partner” as used in the definition of “associate” shall not include any limited partner that is not involved in the management of the relevant partnership;</w:t>
      </w:r>
    </w:p>
    <w:p>
      <w:pPr>
        <w:spacing w:after="0" w:line="184" w:lineRule="exact"/>
        <w:rPr>
          <w:rFonts w:ascii="Arial" w:cs="Arial" w:eastAsia="Arial" w:hAnsi="Arial"/>
          <w:sz w:val="22"/>
          <w:szCs w:val="22"/>
          <w:color w:val="010000"/>
        </w:rPr>
      </w:pPr>
    </w:p>
    <w:p>
      <w:pPr>
        <w:jc w:val="both"/>
        <w:ind w:left="868" w:firstLine="726"/>
        <w:spacing w:after="0" w:line="248" w:lineRule="auto"/>
        <w:tabs>
          <w:tab w:leader="none" w:pos="2535"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Associated Person</w:t>
      </w:r>
      <w:r>
        <w:rPr>
          <w:rFonts w:ascii="Arial" w:cs="Arial" w:eastAsia="Arial" w:hAnsi="Arial"/>
          <w:sz w:val="21"/>
          <w:szCs w:val="21"/>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76" w:lineRule="exact"/>
        <w:rPr>
          <w:rFonts w:ascii="Arial" w:cs="Arial" w:eastAsia="Arial" w:hAnsi="Arial"/>
          <w:sz w:val="21"/>
          <w:szCs w:val="21"/>
          <w:color w:val="010000"/>
        </w:rPr>
      </w:pPr>
    </w:p>
    <w:p>
      <w:pPr>
        <w:jc w:val="both"/>
        <w:ind w:left="868" w:firstLine="726"/>
        <w:spacing w:after="0" w:line="236" w:lineRule="auto"/>
        <w:tabs>
          <w:tab w:leader="none" w:pos="2547" w:val="left"/>
        </w:tabs>
        <w:numPr>
          <w:ilvl w:val="1"/>
          <w:numId w:val="6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Arrangement</w:t>
      </w:r>
      <w:r>
        <w:rPr>
          <w:rFonts w:ascii="Arial" w:cs="Arial" w:eastAsia="Arial" w:hAnsi="Arial"/>
          <w:sz w:val="22"/>
          <w:szCs w:val="22"/>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87" w:lineRule="exact"/>
        <w:rPr>
          <w:rFonts w:ascii="Arial" w:cs="Arial" w:eastAsia="Arial" w:hAnsi="Arial"/>
          <w:sz w:val="22"/>
          <w:szCs w:val="22"/>
          <w:color w:val="010000"/>
        </w:rPr>
      </w:pPr>
    </w:p>
    <w:p>
      <w:pPr>
        <w:ind w:left="868" w:firstLine="726"/>
        <w:spacing w:after="0" w:line="328" w:lineRule="auto"/>
        <w:tabs>
          <w:tab w:leader="none" w:pos="2523"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Competitor</w:t>
      </w:r>
      <w:r>
        <w:rPr>
          <w:rFonts w:ascii="Arial" w:cs="Arial" w:eastAsia="Arial" w:hAnsi="Arial"/>
          <w:sz w:val="19"/>
          <w:szCs w:val="19"/>
          <w:color w:val="auto"/>
        </w:rPr>
        <w:t>” shall mean any entity that provides products or services that compete with or are alternatives to the principal products produced or services provided by the Corporation or its affiliates;</w:t>
      </w:r>
    </w:p>
    <w:p>
      <w:pPr>
        <w:spacing w:after="0" w:line="104" w:lineRule="exact"/>
        <w:rPr>
          <w:rFonts w:ascii="Arial" w:cs="Arial" w:eastAsia="Arial" w:hAnsi="Arial"/>
          <w:sz w:val="19"/>
          <w:szCs w:val="19"/>
          <w:color w:val="010000"/>
        </w:rPr>
      </w:pPr>
    </w:p>
    <w:p>
      <w:pPr>
        <w:jc w:val="both"/>
        <w:ind w:left="868" w:firstLine="726"/>
        <w:spacing w:after="0"/>
        <w:tabs>
          <w:tab w:leader="none" w:pos="2511" w:val="left"/>
        </w:tabs>
        <w:numPr>
          <w:ilvl w:val="1"/>
          <w:numId w:val="6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Proposing Person</w:t>
      </w:r>
      <w:r>
        <w:rPr>
          <w:rFonts w:ascii="Arial" w:cs="Arial" w:eastAsia="Arial" w:hAnsi="Arial"/>
          <w:sz w:val="22"/>
          <w:szCs w:val="22"/>
          <w:color w:val="auto"/>
        </w:rPr>
        <w:t>” shall mean (1) the Record Stockholder providing the notice of business proposed to be brought before an annual meeting or nomination of persons for election to the Board at a stockholder meeting, (2) the</w:t>
      </w:r>
    </w:p>
    <w:p>
      <w:pPr>
        <w:spacing w:after="0" w:line="186"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50" w:right="339" w:bottom="1440" w:gutter="0" w:footer="0" w:header="0"/>
        </w:sectPr>
      </w:pPr>
    </w:p>
    <w:bookmarkStart w:id="93" w:name="page94"/>
    <w:bookmarkEnd w:id="93"/>
    <w:p>
      <w:pPr>
        <w:jc w:val="both"/>
        <w:ind w:left="1740"/>
        <w:spacing w:after="0" w:line="236" w:lineRule="auto"/>
        <w:rPr>
          <w:sz w:val="20"/>
          <w:szCs w:val="20"/>
          <w:color w:val="auto"/>
        </w:rPr>
      </w:pPr>
      <w:r>
        <w:rPr>
          <w:rFonts w:ascii="Arial" w:cs="Arial" w:eastAsia="Arial" w:hAnsi="Arial"/>
          <w:sz w:val="22"/>
          <w:szCs w:val="22"/>
          <w:color w:val="auto"/>
        </w:rPr>
        <w:t>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87" w:lineRule="exact"/>
        <w:rPr>
          <w:sz w:val="20"/>
          <w:szCs w:val="20"/>
          <w:color w:val="auto"/>
        </w:rPr>
      </w:pPr>
    </w:p>
    <w:p>
      <w:pPr>
        <w:jc w:val="both"/>
        <w:ind w:left="1740" w:firstLine="726"/>
        <w:spacing w:after="0"/>
        <w:tabs>
          <w:tab w:leader="none" w:pos="3419"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Public Announcement</w:t>
      </w:r>
      <w:r>
        <w:rPr>
          <w:rFonts w:ascii="Arial" w:cs="Arial" w:eastAsia="Arial" w:hAnsi="Arial"/>
          <w:sz w:val="22"/>
          <w:szCs w:val="22"/>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86" w:lineRule="exact"/>
        <w:rPr>
          <w:rFonts w:ascii="Arial" w:cs="Arial" w:eastAsia="Arial" w:hAnsi="Arial"/>
          <w:sz w:val="22"/>
          <w:szCs w:val="22"/>
          <w:color w:val="010000"/>
        </w:rPr>
      </w:pPr>
    </w:p>
    <w:p>
      <w:pPr>
        <w:jc w:val="both"/>
        <w:ind w:left="1740" w:firstLine="726"/>
        <w:spacing w:after="0" w:line="246" w:lineRule="auto"/>
        <w:tabs>
          <w:tab w:leader="none" w:pos="3419"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to be considered a “</w:t>
      </w:r>
      <w:r>
        <w:rPr>
          <w:rFonts w:ascii="Arial" w:cs="Arial" w:eastAsia="Arial" w:hAnsi="Arial"/>
          <w:sz w:val="21"/>
          <w:szCs w:val="21"/>
          <w:b w:val="1"/>
          <w:bCs w:val="1"/>
          <w:i w:val="1"/>
          <w:iCs w:val="1"/>
          <w:color w:val="auto"/>
        </w:rPr>
        <w:t>Qualified Representative</w:t>
      </w:r>
      <w:r>
        <w:rPr>
          <w:rFonts w:ascii="Arial" w:cs="Arial" w:eastAsia="Arial" w:hAnsi="Arial"/>
          <w:sz w:val="21"/>
          <w:szCs w:val="21"/>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BOARD OF DIRECTORS</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2.1: </w:t>
      </w:r>
      <w:r>
        <w:rPr>
          <w:rFonts w:ascii="Arial" w:cs="Arial" w:eastAsia="Arial" w:hAnsi="Arial"/>
          <w:sz w:val="21"/>
          <w:szCs w:val="21"/>
          <w:b w:val="1"/>
          <w:bCs w:val="1"/>
          <w:u w:val="single" w:color="auto"/>
          <w:color w:val="auto"/>
        </w:rPr>
        <w:t>Number; Qualifications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total number of directors constituting the Whole Board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fixed from time to time in the manner 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6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 xml:space="preserve">Section 2.2: </w:t>
      </w:r>
      <w:r>
        <w:rPr>
          <w:rFonts w:ascii="Arial" w:cs="Arial" w:eastAsia="Arial" w:hAnsi="Arial"/>
          <w:sz w:val="19"/>
          <w:szCs w:val="19"/>
          <w:b w:val="1"/>
          <w:bCs w:val="1"/>
          <w:u w:val="single" w:color="auto"/>
          <w:color w:val="auto"/>
        </w:rPr>
        <w:t>Election; Resignation; Removal; Vacancies</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of directors need not be by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ballot.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2.3: </w:t>
      </w:r>
      <w:r>
        <w:rPr>
          <w:rFonts w:ascii="Arial" w:cs="Arial" w:eastAsia="Arial" w:hAnsi="Arial"/>
          <w:sz w:val="22"/>
          <w:szCs w:val="22"/>
          <w:b w:val="1"/>
          <w:bCs w:val="1"/>
          <w:u w:val="single" w:color="auto"/>
          <w:color w:val="auto"/>
        </w:rPr>
        <w:t>Regular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Regular meetings of the Board may be held at such places, within or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and at such times as the Board may from time to time determine. Notice of regular meetings need not be given if the date, times and places thereof are fixed by resolution of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4" w:name="page95"/>
    <w:bookmarkEnd w:id="94"/>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Section 2.4: </w:t>
      </w:r>
      <w:r>
        <w:rPr>
          <w:rFonts w:ascii="Arial" w:cs="Arial" w:eastAsia="Arial" w:hAnsi="Arial"/>
          <w:sz w:val="19"/>
          <w:szCs w:val="19"/>
          <w:b w:val="1"/>
          <w:bCs w:val="1"/>
          <w:u w:val="single" w:color="auto"/>
          <w:color w:val="auto"/>
        </w:rPr>
        <w:t>Special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meetings of the Board may be called by the Chairperson of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the Chief Executive 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provided, however,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5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Section 2.5: </w:t>
      </w:r>
      <w:r>
        <w:rPr>
          <w:rFonts w:ascii="Arial" w:cs="Arial" w:eastAsia="Arial" w:hAnsi="Arial"/>
          <w:sz w:val="19"/>
          <w:szCs w:val="19"/>
          <w:b w:val="1"/>
          <w:bCs w:val="1"/>
          <w:u w:val="single" w:color="auto"/>
          <w:color w:val="auto"/>
        </w:rPr>
        <w:t>Remote Meetings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the Board, or any committee of the Board, may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a 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3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2.6: </w:t>
      </w:r>
      <w:r>
        <w:rPr>
          <w:rFonts w:ascii="Arial" w:cs="Arial" w:eastAsia="Arial" w:hAnsi="Arial"/>
          <w:sz w:val="22"/>
          <w:szCs w:val="22"/>
          <w:b w:val="1"/>
          <w:bCs w:val="1"/>
          <w:u w:val="single" w:color="auto"/>
          <w:color w:val="auto"/>
        </w:rPr>
        <w:t>Quorum; Vote Required for Action</w:t>
      </w:r>
      <w:r>
        <w:rPr>
          <w:rFonts w:ascii="Arial" w:cs="Arial" w:eastAsia="Arial" w:hAnsi="Arial"/>
          <w:sz w:val="22"/>
          <w:szCs w:val="22"/>
          <w:b w:val="1"/>
          <w:bCs w:val="1"/>
          <w:color w:val="auto"/>
        </w:rPr>
        <w:t xml:space="preserve">. </w:t>
      </w:r>
      <w:r>
        <w:rPr>
          <w:rFonts w:ascii="Arial" w:cs="Arial" w:eastAsia="Arial" w:hAnsi="Arial"/>
          <w:sz w:val="22"/>
          <w:szCs w:val="22"/>
          <w:color w:val="auto"/>
        </w:rPr>
        <w:t>At all meetings of the Board, a majority of the Whole Board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2.7: </w:t>
      </w:r>
      <w:r>
        <w:rPr>
          <w:rFonts w:ascii="Arial" w:cs="Arial" w:eastAsia="Arial" w:hAnsi="Arial"/>
          <w:sz w:val="22"/>
          <w:szCs w:val="22"/>
          <w:b w:val="1"/>
          <w:bCs w:val="1"/>
          <w:u w:val="single" w:color="auto"/>
          <w:color w:val="auto"/>
        </w:rPr>
        <w:t>Organization</w:t>
      </w:r>
      <w:r>
        <w:rPr>
          <w:rFonts w:ascii="Arial" w:cs="Arial" w:eastAsia="Arial" w:hAnsi="Arial"/>
          <w:sz w:val="22"/>
          <w:szCs w:val="22"/>
          <w:b w:val="1"/>
          <w:bCs w:val="1"/>
          <w:color w:val="auto"/>
        </w:rPr>
        <w:t xml:space="preserve">. </w:t>
      </w:r>
      <w:r>
        <w:rPr>
          <w:rFonts w:ascii="Arial" w:cs="Arial" w:eastAsia="Arial" w:hAnsi="Arial"/>
          <w:sz w:val="22"/>
          <w:szCs w:val="22"/>
          <w:color w:val="auto"/>
        </w:rPr>
        <w:t>Meetings of the Board shall be presided over by (a) the Chairperson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or (b) in the absence of such person, the Lead Independent Director, or (c) in such person’s absence, by the Chief Executive Officer, or (d) in such person’s absence, by a chairperson chosen by the Board at the meeting. The Secretary shall act as secretary of the meeting, but in such person’s absence the chairperson of the meeting may appoint any person to act as secretary of the meeting.</w:t>
      </w:r>
    </w:p>
    <w:p>
      <w:pPr>
        <w:spacing w:after="0" w:line="18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Section 2.8: </w:t>
      </w:r>
      <w:r>
        <w:rPr>
          <w:rFonts w:ascii="Arial" w:cs="Arial" w:eastAsia="Arial" w:hAnsi="Arial"/>
          <w:sz w:val="22"/>
          <w:szCs w:val="22"/>
          <w:b w:val="1"/>
          <w:bCs w:val="1"/>
          <w:u w:val="single" w:color="auto"/>
          <w:color w:val="auto"/>
        </w:rPr>
        <w:t>Unanimous Action by Directors in Lieu of a Meeting</w:t>
      </w:r>
      <w:r>
        <w:rPr>
          <w:rFonts w:ascii="Arial" w:cs="Arial" w:eastAsia="Arial" w:hAnsi="Arial"/>
          <w:sz w:val="22"/>
          <w:szCs w:val="22"/>
          <w:b w:val="1"/>
          <w:bCs w:val="1"/>
          <w:color w:val="auto"/>
        </w:rPr>
        <w:t xml:space="preserve">. </w:t>
      </w:r>
      <w:r>
        <w:rPr>
          <w:rFonts w:ascii="Arial" w:cs="Arial" w:eastAsia="Arial" w:hAnsi="Arial"/>
          <w:sz w:val="22"/>
          <w:szCs w:val="22"/>
          <w:color w:val="auto"/>
        </w:rPr>
        <w:t>Any action required or permitted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2.9: </w:t>
      </w:r>
      <w:r>
        <w:rPr>
          <w:rFonts w:ascii="Arial" w:cs="Arial" w:eastAsia="Arial" w:hAnsi="Arial"/>
          <w:sz w:val="22"/>
          <w:szCs w:val="22"/>
          <w:b w:val="1"/>
          <w:bCs w:val="1"/>
          <w:u w:val="single" w:color="auto"/>
          <w:color w:val="auto"/>
        </w:rPr>
        <w:t>Powers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by the Certificate of Incorporation or the DGCL, the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affairs of the Corporation shall be managed by or under the direction of the Board.</w:t>
      </w:r>
    </w:p>
    <w:p>
      <w:pPr>
        <w:spacing w:after="0" w:line="162"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 xml:space="preserve">Section 2.10: </w:t>
      </w:r>
      <w:r>
        <w:rPr>
          <w:rFonts w:ascii="Arial" w:cs="Arial" w:eastAsia="Arial" w:hAnsi="Arial"/>
          <w:sz w:val="22"/>
          <w:szCs w:val="22"/>
          <w:b w:val="1"/>
          <w:bCs w:val="1"/>
          <w:u w:val="single" w:color="auto"/>
          <w:color w:val="auto"/>
        </w:rPr>
        <w:t>Compensation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of the Board, as such, may receive, pursuant to a</w:t>
      </w:r>
      <w:r>
        <w:rPr>
          <w:rFonts w:ascii="Arial" w:cs="Arial" w:eastAsia="Arial" w:hAnsi="Arial"/>
          <w:sz w:val="22"/>
          <w:szCs w:val="22"/>
          <w:b w:val="1"/>
          <w:bCs w:val="1"/>
          <w:color w:val="auto"/>
        </w:rPr>
        <w:t xml:space="preserve"> </w:t>
      </w:r>
      <w:r>
        <w:rPr>
          <w:rFonts w:ascii="Arial" w:cs="Arial" w:eastAsia="Arial" w:hAnsi="Arial"/>
          <w:sz w:val="22"/>
          <w:szCs w:val="22"/>
          <w:color w:val="auto"/>
        </w:rPr>
        <w:t>resolution of the Board, fees and other compensation for their services as directors, including without limitation their services as members of committees of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jc w:val="both"/>
        <w:ind w:firstLine="864"/>
        <w:spacing w:after="0" w:line="246" w:lineRule="exact"/>
        <w:rPr>
          <w:sz w:val="20"/>
          <w:szCs w:val="20"/>
          <w:color w:val="auto"/>
        </w:rPr>
      </w:pPr>
      <w:r>
        <w:rPr>
          <w:rFonts w:ascii="Arial" w:cs="Arial" w:eastAsia="Arial" w:hAnsi="Arial"/>
          <w:sz w:val="21"/>
          <w:szCs w:val="21"/>
          <w:b w:val="1"/>
          <w:bCs w:val="1"/>
          <w:color w:val="auto"/>
        </w:rPr>
        <w:t xml:space="preserve">Section 2.11: </w:t>
      </w:r>
      <w:r>
        <w:rPr>
          <w:rFonts w:ascii="Arial" w:cs="Arial" w:eastAsia="Arial" w:hAnsi="Arial"/>
          <w:sz w:val="21"/>
          <w:szCs w:val="21"/>
          <w:b w:val="1"/>
          <w:bCs w:val="1"/>
          <w:u w:val="single" w:color="auto"/>
          <w:color w:val="auto"/>
        </w:rPr>
        <w:t>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Each director shall maintain the confidentiality of, and shall not share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third party person or entity (including third parties that originally sponsored, nominated or designated such director (the “Sponsoring Party”)), any non</w:t>
      </w:r>
      <w:r>
        <w:rPr>
          <w:rFonts w:ascii="MS PGothic" w:cs="MS PGothic" w:eastAsia="MS PGothic" w:hAnsi="MS PGothic"/>
          <w:sz w:val="21"/>
          <w:szCs w:val="21"/>
          <w:color w:val="auto"/>
        </w:rPr>
        <w:t>‑</w:t>
      </w:r>
      <w:r>
        <w:rPr>
          <w:rFonts w:ascii="Arial" w:cs="Arial" w:eastAsia="Arial" w:hAnsi="Arial"/>
          <w:sz w:val="21"/>
          <w:szCs w:val="21"/>
          <w:color w:val="auto"/>
        </w:rPr>
        <w:t>public information learned in their capacities as directors, including communications among Board members in their capacities as directors, provided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“Board Confidentiality Policy”). Other than as provided in the first sentence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 COMMITTEES</w:t>
      </w:r>
    </w:p>
    <w:p>
      <w:pPr>
        <w:spacing w:after="0" w:line="20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Section 3.1: </w:t>
      </w:r>
      <w:r>
        <w:rPr>
          <w:rFonts w:ascii="Arial" w:cs="Arial" w:eastAsia="Arial" w:hAnsi="Arial"/>
          <w:sz w:val="21"/>
          <w:szCs w:val="21"/>
          <w:b w:val="1"/>
          <w:bCs w:val="1"/>
          <w:u w:val="single" w:color="auto"/>
          <w:color w:val="auto"/>
        </w:rPr>
        <w:t>Committees</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designate one or more committees, each committee to consist of one</w:t>
      </w:r>
      <w:r>
        <w:rPr>
          <w:rFonts w:ascii="Arial" w:cs="Arial" w:eastAsia="Arial" w:hAnsi="Arial"/>
          <w:sz w:val="21"/>
          <w:szCs w:val="21"/>
          <w:b w:val="1"/>
          <w:bCs w:val="1"/>
          <w:color w:val="auto"/>
        </w:rPr>
        <w:t xml:space="preserve"> </w:t>
      </w:r>
      <w:r>
        <w:rPr>
          <w:rFonts w:ascii="Arial" w:cs="Arial" w:eastAsia="Arial" w:hAnsi="Arial"/>
          <w:sz w:val="21"/>
          <w:szCs w:val="21"/>
          <w:color w:val="auto"/>
        </w:rPr>
        <w:t>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74"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Section 3.2: </w:t>
      </w:r>
      <w:r>
        <w:rPr>
          <w:rFonts w:ascii="Arial" w:cs="Arial" w:eastAsia="Arial" w:hAnsi="Arial"/>
          <w:sz w:val="19"/>
          <w:szCs w:val="19"/>
          <w:b w:val="1"/>
          <w:bCs w:val="1"/>
          <w:u w:val="single" w:color="auto"/>
          <w:color w:val="auto"/>
        </w:rPr>
        <w:t>Committee Rules</w:t>
      </w:r>
      <w:r>
        <w:rPr>
          <w:rFonts w:ascii="Arial" w:cs="Arial" w:eastAsia="Arial" w:hAnsi="Arial"/>
          <w:sz w:val="19"/>
          <w:szCs w:val="19"/>
          <w:b w:val="1"/>
          <w:bCs w:val="1"/>
          <w:color w:val="auto"/>
        </w:rPr>
        <w:t xml:space="preserve">. </w:t>
      </w:r>
      <w:r>
        <w:rPr>
          <w:rFonts w:ascii="Arial" w:cs="Arial" w:eastAsia="Arial" w:hAnsi="Arial"/>
          <w:sz w:val="19"/>
          <w:szCs w:val="19"/>
          <w:color w:val="auto"/>
        </w:rPr>
        <w:t>Each committee shall keep records of its proceedings and make such reports as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OFFICERS; CHAIRPERSON; LEAD INDEPENDENT DIRECTOR</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4.1: </w:t>
      </w:r>
      <w:r>
        <w:rPr>
          <w:rFonts w:ascii="Arial" w:cs="Arial" w:eastAsia="Arial" w:hAnsi="Arial"/>
          <w:sz w:val="21"/>
          <w:szCs w:val="21"/>
          <w:b w:val="1"/>
          <w:bCs w:val="1"/>
          <w:u w:val="single" w:color="auto"/>
          <w:color w:val="auto"/>
        </w:rPr>
        <w:t>Generally</w:t>
      </w:r>
      <w:r>
        <w:rPr>
          <w:rFonts w:ascii="Arial" w:cs="Arial" w:eastAsia="Arial" w:hAnsi="Arial"/>
          <w:sz w:val="21"/>
          <w:szCs w:val="21"/>
          <w:b w:val="1"/>
          <w:bCs w:val="1"/>
          <w:color w:val="auto"/>
        </w:rPr>
        <w:t xml:space="preserve">. </w:t>
      </w:r>
      <w:r>
        <w:rPr>
          <w:rFonts w:ascii="Arial" w:cs="Arial" w:eastAsia="Arial" w:hAnsi="Arial"/>
          <w:sz w:val="21"/>
          <w:szCs w:val="21"/>
          <w:color w:val="auto"/>
        </w:rPr>
        <w:t>The officers of the Corporation shall consist of a Chief Executive Officer (who may be</w:t>
      </w:r>
      <w:r>
        <w:rPr>
          <w:rFonts w:ascii="Arial" w:cs="Arial" w:eastAsia="Arial" w:hAnsi="Arial"/>
          <w:sz w:val="21"/>
          <w:szCs w:val="21"/>
          <w:b w:val="1"/>
          <w:bCs w:val="1"/>
          <w:color w:val="auto"/>
        </w:rPr>
        <w:t xml:space="preserve"> </w:t>
      </w:r>
      <w:r>
        <w:rPr>
          <w:rFonts w:ascii="Arial" w:cs="Arial" w:eastAsia="Arial" w:hAnsi="Arial"/>
          <w:sz w:val="21"/>
          <w:szCs w:val="21"/>
          <w:color w:val="auto"/>
        </w:rPr>
        <w:t>the 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provided, however, that the Board may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jc w:val="both"/>
        <w:spacing w:after="0" w:line="244" w:lineRule="auto"/>
        <w:rPr>
          <w:sz w:val="20"/>
          <w:szCs w:val="20"/>
          <w:color w:val="auto"/>
        </w:rPr>
      </w:pPr>
      <w:r>
        <w:rPr>
          <w:rFonts w:ascii="Arial" w:cs="Arial" w:eastAsia="Arial" w:hAnsi="Arial"/>
          <w:sz w:val="21"/>
          <w:szCs w:val="21"/>
          <w:color w:val="auto"/>
        </w:rPr>
        <w:t>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4.2: </w:t>
      </w:r>
      <w:r>
        <w:rPr>
          <w:rFonts w:ascii="Arial" w:cs="Arial" w:eastAsia="Arial" w:hAnsi="Arial"/>
          <w:sz w:val="22"/>
          <w:szCs w:val="22"/>
          <w:b w:val="1"/>
          <w:bCs w:val="1"/>
          <w:u w:val="single" w:color="auto"/>
          <w:color w:val="auto"/>
        </w:rPr>
        <w:t>Chief Executive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control of the Board and such supervisory powers, if any,</w:t>
      </w:r>
      <w:r>
        <w:rPr>
          <w:rFonts w:ascii="Arial" w:cs="Arial" w:eastAsia="Arial" w:hAnsi="Arial"/>
          <w:sz w:val="22"/>
          <w:szCs w:val="22"/>
          <w:b w:val="1"/>
          <w:bCs w:val="1"/>
          <w:color w:val="auto"/>
        </w:rPr>
        <w:t xml:space="preserve"> </w:t>
      </w:r>
      <w:r>
        <w:rPr>
          <w:rFonts w:ascii="Arial" w:cs="Arial" w:eastAsia="Arial" w:hAnsi="Arial"/>
          <w:sz w:val="22"/>
          <w:szCs w:val="22"/>
          <w:color w:val="auto"/>
        </w:rPr>
        <w:t>as may be given by the Board, the powers and duties of the Chief Executive Officer of the Corporation are:</w:t>
      </w:r>
    </w:p>
    <w:p>
      <w:pPr>
        <w:spacing w:after="0" w:line="168" w:lineRule="exact"/>
        <w:rPr>
          <w:sz w:val="20"/>
          <w:szCs w:val="20"/>
          <w:color w:val="auto"/>
        </w:rPr>
      </w:pPr>
    </w:p>
    <w:p>
      <w:pPr>
        <w:ind w:left="880" w:right="220" w:firstLine="789"/>
        <w:spacing w:after="0" w:line="250" w:lineRule="auto"/>
        <w:tabs>
          <w:tab w:leader="none" w:pos="256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act as the general manager and, subject to the control of the Board, to have general supervision, direction and control of the business and affairs of the Corporation;</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Section 1.6 of these Bylaws, to preside at all meetings of the stockholders;</w:t>
      </w:r>
    </w:p>
    <w:p>
      <w:pPr>
        <w:spacing w:after="0" w:line="206" w:lineRule="exact"/>
        <w:rPr>
          <w:rFonts w:ascii="Arial" w:cs="Arial" w:eastAsia="Arial" w:hAnsi="Arial"/>
          <w:sz w:val="22"/>
          <w:szCs w:val="22"/>
          <w:color w:val="auto"/>
        </w:rPr>
      </w:pPr>
    </w:p>
    <w:p>
      <w:pPr>
        <w:ind w:left="880" w:right="200" w:firstLine="789"/>
        <w:spacing w:after="0"/>
        <w:tabs>
          <w:tab w:leader="none" w:pos="2565"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86" w:lineRule="exact"/>
        <w:rPr>
          <w:rFonts w:ascii="Arial" w:cs="Arial" w:eastAsia="Arial" w:hAnsi="Arial"/>
          <w:sz w:val="22"/>
          <w:szCs w:val="22"/>
          <w:color w:val="auto"/>
        </w:rPr>
      </w:pPr>
    </w:p>
    <w:p>
      <w:pPr>
        <w:ind w:left="880" w:right="40" w:firstLine="789"/>
        <w:spacing w:after="0" w:line="235" w:lineRule="auto"/>
        <w:tabs>
          <w:tab w:leader="none" w:pos="2577"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person holding the office of President shall be the Chief Executive Officer of the Corporation unless the Board shall designate another officer to be the Chief Executive Officer.</w:t>
      </w:r>
    </w:p>
    <w:p>
      <w:pPr>
        <w:spacing w:after="0" w:line="16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4.3: </w:t>
      </w:r>
      <w:r>
        <w:rPr>
          <w:rFonts w:ascii="Arial" w:cs="Arial" w:eastAsia="Arial" w:hAnsi="Arial"/>
          <w:sz w:val="22"/>
          <w:szCs w:val="22"/>
          <w:b w:val="1"/>
          <w:bCs w:val="1"/>
          <w:u w:val="single" w:color="auto"/>
          <w:color w:val="auto"/>
        </w:rPr>
        <w:t>Chairperson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provisions of Section 2.7 of these Bylaws, the</w:t>
      </w:r>
      <w:r>
        <w:rPr>
          <w:rFonts w:ascii="Arial" w:cs="Arial" w:eastAsia="Arial" w:hAnsi="Arial"/>
          <w:sz w:val="22"/>
          <w:szCs w:val="22"/>
          <w:b w:val="1"/>
          <w:bCs w:val="1"/>
          <w:color w:val="auto"/>
        </w:rPr>
        <w:t xml:space="preserve"> </w:t>
      </w:r>
      <w:r>
        <w:rPr>
          <w:rFonts w:ascii="Arial" w:cs="Arial" w:eastAsia="Arial" w:hAnsi="Arial"/>
          <w:sz w:val="22"/>
          <w:szCs w:val="22"/>
          <w:color w:val="auto"/>
        </w:rPr>
        <w:t>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4.4: </w:t>
      </w:r>
      <w:r>
        <w:rPr>
          <w:rFonts w:ascii="Arial" w:cs="Arial" w:eastAsia="Arial" w:hAnsi="Arial"/>
          <w:sz w:val="22"/>
          <w:szCs w:val="22"/>
          <w:b w:val="1"/>
          <w:bCs w:val="1"/>
          <w:u w:val="single" w:color="auto"/>
          <w:color w:val="auto"/>
        </w:rPr>
        <w:t>Lead Independent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may, in its discretion, elect a lead independent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from among its members that are Independent Directors (as defined below) (such director, the “Lead Independent Director”). The Lead Independent Director shall preside 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7" w:name="page98"/>
    <w:bookmarkEnd w:id="97"/>
    <w:p>
      <w:pPr>
        <w:jc w:val="both"/>
        <w:spacing w:after="0" w:line="238" w:lineRule="auto"/>
        <w:rPr>
          <w:sz w:val="20"/>
          <w:szCs w:val="20"/>
          <w:color w:val="auto"/>
        </w:rPr>
      </w:pPr>
      <w:r>
        <w:rPr>
          <w:rFonts w:ascii="Arial" w:cs="Arial" w:eastAsia="Arial" w:hAnsi="Arial"/>
          <w:sz w:val="22"/>
          <w:szCs w:val="22"/>
          <w:color w:val="auto"/>
        </w:rPr>
        <w:t>all meetings at which the Chairperson of the Board is not present and shall exercise such other powers and duties as may from time to time be assigned to him or her by the Board or as prescribed by these Bylaws. For purposes of these Bylaws, “Independent Director” has the meaning ascribed to such term under the rules of the exchange upon which the Corporation’s Common Stock is primarily traded.</w:t>
      </w:r>
    </w:p>
    <w:p>
      <w:pPr>
        <w:spacing w:after="0" w:line="17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 xml:space="preserve">Section 4.5: </w:t>
      </w:r>
      <w:r>
        <w:rPr>
          <w:rFonts w:ascii="Arial" w:cs="Arial" w:eastAsia="Arial" w:hAnsi="Arial"/>
          <w:sz w:val="19"/>
          <w:szCs w:val="19"/>
          <w:b w:val="1"/>
          <w:bCs w:val="1"/>
          <w:u w:val="single" w:color="auto"/>
          <w:color w:val="auto"/>
        </w:rPr>
        <w:t>President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person holding the office of Chief Executive Officer shall be the President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5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4.6: </w:t>
      </w:r>
      <w:r>
        <w:rPr>
          <w:rFonts w:ascii="Arial" w:cs="Arial" w:eastAsia="Arial" w:hAnsi="Arial"/>
          <w:sz w:val="22"/>
          <w:szCs w:val="22"/>
          <w:b w:val="1"/>
          <w:bCs w:val="1"/>
          <w:u w:val="single" w:color="auto"/>
          <w:color w:val="auto"/>
        </w:rPr>
        <w:t>Chief Financial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The person holding the office of Chief Financial Officer shall be the</w:t>
      </w:r>
      <w:r>
        <w:rPr>
          <w:rFonts w:ascii="Arial" w:cs="Arial" w:eastAsia="Arial" w:hAnsi="Arial"/>
          <w:sz w:val="22"/>
          <w:szCs w:val="22"/>
          <w:b w:val="1"/>
          <w:bCs w:val="1"/>
          <w:color w:val="auto"/>
        </w:rPr>
        <w:t xml:space="preserve"> </w:t>
      </w:r>
      <w:r>
        <w:rPr>
          <w:rFonts w:ascii="Arial" w:cs="Arial" w:eastAsia="Arial" w:hAnsi="Arial"/>
          <w:sz w:val="22"/>
          <w:szCs w:val="22"/>
          <w:color w:val="auto"/>
        </w:rPr>
        <w:t>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8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Section 4.7: </w:t>
      </w:r>
      <w:r>
        <w:rPr>
          <w:rFonts w:ascii="Arial" w:cs="Arial" w:eastAsia="Arial" w:hAnsi="Arial"/>
          <w:sz w:val="21"/>
          <w:szCs w:val="21"/>
          <w:b w:val="1"/>
          <w:bCs w:val="1"/>
          <w:u w:val="single" w:color="auto"/>
          <w:color w:val="auto"/>
        </w:rPr>
        <w:t>Treasurer</w:t>
      </w:r>
      <w:r>
        <w:rPr>
          <w:rFonts w:ascii="Arial" w:cs="Arial" w:eastAsia="Arial" w:hAnsi="Arial"/>
          <w:sz w:val="21"/>
          <w:szCs w:val="21"/>
          <w:b w:val="1"/>
          <w:bCs w:val="1"/>
          <w:color w:val="auto"/>
        </w:rPr>
        <w:t xml:space="preserve">. </w:t>
      </w:r>
      <w:r>
        <w:rPr>
          <w:rFonts w:ascii="Arial" w:cs="Arial" w:eastAsia="Arial" w:hAnsi="Arial"/>
          <w:sz w:val="21"/>
          <w:szCs w:val="21"/>
          <w:color w:val="auto"/>
        </w:rPr>
        <w:t>The person holding the office of Treasurer shall be the Chief Financial Officer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unless the Board shall 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4.8: </w:t>
      </w:r>
      <w:r>
        <w:rPr>
          <w:rFonts w:ascii="Arial" w:cs="Arial" w:eastAsia="Arial" w:hAnsi="Arial"/>
          <w:sz w:val="21"/>
          <w:szCs w:val="21"/>
          <w:b w:val="1"/>
          <w:bCs w:val="1"/>
          <w:u w:val="single" w:color="auto"/>
          <w:color w:val="auto"/>
        </w:rPr>
        <w:t>Vice President</w:t>
      </w:r>
      <w:r>
        <w:rPr>
          <w:rFonts w:ascii="Arial" w:cs="Arial" w:eastAsia="Arial" w:hAnsi="Arial"/>
          <w:sz w:val="21"/>
          <w:szCs w:val="21"/>
          <w:b w:val="1"/>
          <w:bCs w:val="1"/>
          <w:color w:val="auto"/>
        </w:rPr>
        <w:t xml:space="preserve">. </w:t>
      </w:r>
      <w:r>
        <w:rPr>
          <w:rFonts w:ascii="Arial" w:cs="Arial" w:eastAsia="Arial" w:hAnsi="Arial"/>
          <w:sz w:val="21"/>
          <w:szCs w:val="21"/>
          <w:color w:val="auto"/>
        </w:rPr>
        <w:t>Each Vice President shall have all such powers and duties as are commonly</w:t>
      </w:r>
      <w:r>
        <w:rPr>
          <w:rFonts w:ascii="Arial" w:cs="Arial" w:eastAsia="Arial" w:hAnsi="Arial"/>
          <w:sz w:val="21"/>
          <w:szCs w:val="21"/>
          <w:b w:val="1"/>
          <w:bCs w:val="1"/>
          <w:color w:val="auto"/>
        </w:rPr>
        <w:t xml:space="preserve"> </w:t>
      </w:r>
      <w:r>
        <w:rPr>
          <w:rFonts w:ascii="Arial" w:cs="Arial" w:eastAsia="Arial" w:hAnsi="Arial"/>
          <w:sz w:val="21"/>
          <w:szCs w:val="21"/>
          <w:color w:val="auto"/>
        </w:rPr>
        <w:t>incident to the office of Vice President 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6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Section 4.9: </w:t>
      </w:r>
      <w:r>
        <w:rPr>
          <w:rFonts w:ascii="Arial" w:cs="Arial" w:eastAsia="Arial" w:hAnsi="Arial"/>
          <w:sz w:val="19"/>
          <w:szCs w:val="19"/>
          <w:b w:val="1"/>
          <w:bCs w:val="1"/>
          <w:u w:val="single" w:color="auto"/>
          <w:color w:val="auto"/>
        </w:rPr>
        <w:t>Secretary</w:t>
      </w:r>
      <w:r>
        <w:rPr>
          <w:rFonts w:ascii="Arial" w:cs="Arial" w:eastAsia="Arial" w:hAnsi="Arial"/>
          <w:sz w:val="19"/>
          <w:szCs w:val="19"/>
          <w:b w:val="1"/>
          <w:bCs w:val="1"/>
          <w:color w:val="auto"/>
        </w:rPr>
        <w:t xml:space="preserve">. </w:t>
      </w:r>
      <w:r>
        <w:rPr>
          <w:rFonts w:ascii="Arial" w:cs="Arial" w:eastAsia="Arial" w:hAnsi="Arial"/>
          <w:sz w:val="19"/>
          <w:szCs w:val="19"/>
          <w:color w:val="auto"/>
        </w:rPr>
        <w:t>The Secretary shall issue or cause to be issued all authorized notices for, and shall keep,</w:t>
      </w:r>
      <w:r>
        <w:rPr>
          <w:rFonts w:ascii="Arial" w:cs="Arial" w:eastAsia="Arial" w:hAnsi="Arial"/>
          <w:sz w:val="19"/>
          <w:szCs w:val="19"/>
          <w:b w:val="1"/>
          <w:bCs w:val="1"/>
          <w:color w:val="auto"/>
        </w:rPr>
        <w:t xml:space="preserve"> </w:t>
      </w:r>
      <w:r>
        <w:rPr>
          <w:rFonts w:ascii="Arial" w:cs="Arial" w:eastAsia="Arial" w:hAnsi="Arial"/>
          <w:sz w:val="19"/>
          <w:szCs w:val="19"/>
          <w:color w:val="auto"/>
        </w:rPr>
        <w:t>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3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Section 4.10: </w:t>
      </w:r>
      <w:r>
        <w:rPr>
          <w:rFonts w:ascii="Arial" w:cs="Arial" w:eastAsia="Arial" w:hAnsi="Arial"/>
          <w:sz w:val="21"/>
          <w:szCs w:val="21"/>
          <w:b w:val="1"/>
          <w:bCs w:val="1"/>
          <w:u w:val="single" w:color="auto"/>
          <w:color w:val="auto"/>
        </w:rPr>
        <w:t>Delegation of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from time to time delegate the powers or duties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of the Corporation to any other officers or agents of the Corporation, notwithstanding any provision hereof.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8" w:name="page99"/>
    <w:bookmarkEnd w:id="98"/>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4.11: </w:t>
      </w:r>
      <w:r>
        <w:rPr>
          <w:rFonts w:ascii="Arial" w:cs="Arial" w:eastAsia="Arial" w:hAnsi="Arial"/>
          <w:sz w:val="21"/>
          <w:szCs w:val="21"/>
          <w:b w:val="1"/>
          <w:bCs w:val="1"/>
          <w:u w:val="single" w:color="auto"/>
          <w:color w:val="auto"/>
        </w:rPr>
        <w:t>Removal</w:t>
      </w:r>
      <w:r>
        <w:rPr>
          <w:rFonts w:ascii="Arial" w:cs="Arial" w:eastAsia="Arial" w:hAnsi="Arial"/>
          <w:sz w:val="21"/>
          <w:szCs w:val="21"/>
          <w:b w:val="1"/>
          <w:bCs w:val="1"/>
          <w:color w:val="auto"/>
        </w:rPr>
        <w:t xml:space="preserve">. </w:t>
      </w:r>
      <w:r>
        <w:rPr>
          <w:rFonts w:ascii="Arial" w:cs="Arial" w:eastAsia="Arial" w:hAnsi="Arial"/>
          <w:sz w:val="21"/>
          <w:szCs w:val="21"/>
          <w:color w:val="auto"/>
        </w:rPr>
        <w:t>Any officer of the Corporation shall serve at the pleasure of the Board and may be</w:t>
      </w:r>
      <w:r>
        <w:rPr>
          <w:rFonts w:ascii="Arial" w:cs="Arial" w:eastAsia="Arial" w:hAnsi="Arial"/>
          <w:sz w:val="21"/>
          <w:szCs w:val="21"/>
          <w:b w:val="1"/>
          <w:bCs w:val="1"/>
          <w:color w:val="auto"/>
        </w:rPr>
        <w:t xml:space="preserve"> </w:t>
      </w:r>
      <w:r>
        <w:rPr>
          <w:rFonts w:ascii="Arial" w:cs="Arial" w:eastAsia="Arial" w:hAnsi="Arial"/>
          <w:sz w:val="21"/>
          <w:szCs w:val="21"/>
          <w:color w:val="auto"/>
        </w:rPr>
        <w:t>removed at any time, with or without cause, by the Board; provided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STOCK</w:t>
      </w:r>
    </w:p>
    <w:p>
      <w:pPr>
        <w:spacing w:after="0" w:line="20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5.1: </w:t>
      </w:r>
      <w:r>
        <w:rPr>
          <w:rFonts w:ascii="Arial" w:cs="Arial" w:eastAsia="Arial" w:hAnsi="Arial"/>
          <w:sz w:val="19"/>
          <w:szCs w:val="19"/>
          <w:b w:val="1"/>
          <w:bCs w:val="1"/>
          <w:u w:val="single" w:color="auto"/>
          <w:color w:val="auto"/>
        </w:rPr>
        <w:t>Certificates; Uncertificated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of capital stock of the Corporation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uncertificated shares; provided, however,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w:t>
      </w:r>
      <w:r>
        <w:rPr>
          <w:rFonts w:ascii="Arial" w:cs="Arial" w:eastAsia="Arial" w:hAnsi="Arial"/>
          <w:sz w:val="19"/>
          <w:szCs w:val="19"/>
          <w:color w:val="222222"/>
        </w:rPr>
        <w:t>by</w:t>
      </w:r>
      <w:r>
        <w:rPr>
          <w:rFonts w:ascii="Arial" w:cs="Arial" w:eastAsia="Arial" w:hAnsi="Arial"/>
          <w:sz w:val="19"/>
          <w:szCs w:val="19"/>
          <w:color w:val="auto"/>
        </w:rPr>
        <w:t xml:space="preserve"> </w:t>
      </w:r>
      <w:r>
        <w:rPr>
          <w:rFonts w:ascii="Arial" w:cs="Arial" w:eastAsia="Arial" w:hAnsi="Arial"/>
          <w:sz w:val="19"/>
          <w:szCs w:val="19"/>
          <w:color w:val="222222"/>
        </w:rPr>
        <w:t xml:space="preserve">resolution or resolutions that some or all of any or all classes or series of its stock shall be certificated shares. </w:t>
      </w:r>
      <w:r>
        <w:rPr>
          <w:rFonts w:ascii="Arial" w:cs="Arial" w:eastAsia="Arial" w:hAnsi="Arial"/>
          <w:sz w:val="19"/>
          <w:szCs w:val="19"/>
          <w:color w:val="000000"/>
        </w:rPr>
        <w:t>Every holder of</w:t>
      </w:r>
      <w:r>
        <w:rPr>
          <w:rFonts w:ascii="Arial" w:cs="Arial" w:eastAsia="Arial" w:hAnsi="Arial"/>
          <w:sz w:val="19"/>
          <w:szCs w:val="19"/>
          <w:color w:val="222222"/>
        </w:rPr>
        <w:t xml:space="preserve"> </w:t>
      </w:r>
      <w:r>
        <w:rPr>
          <w:rFonts w:ascii="Arial" w:cs="Arial" w:eastAsia="Arial" w:hAnsi="Arial"/>
          <w:sz w:val="19"/>
          <w:szCs w:val="19"/>
          <w:color w:val="000000"/>
        </w:rPr>
        <w:t>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Section 5.2: </w:t>
      </w:r>
      <w:r>
        <w:rPr>
          <w:rFonts w:ascii="Arial" w:cs="Arial" w:eastAsia="Arial" w:hAnsi="Arial"/>
          <w:sz w:val="21"/>
          <w:szCs w:val="21"/>
          <w:b w:val="1"/>
          <w:bCs w:val="1"/>
          <w:u w:val="single" w:color="auto"/>
          <w:color w:val="auto"/>
        </w:rPr>
        <w:t>Lost, Stolen or Destroyed Stock Certificates; Issuance of New Certificates or Uncertificated</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Shares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may issue a new certificate of stock or uncertificated shares in the place of any certificate previously</w:t>
      </w:r>
      <w:r>
        <w:rPr>
          <w:rFonts w:ascii="Arial" w:cs="Arial" w:eastAsia="Arial" w:hAnsi="Arial"/>
          <w:sz w:val="21"/>
          <w:szCs w:val="21"/>
          <w:b w:val="1"/>
          <w:bCs w:val="1"/>
          <w:color w:val="auto"/>
        </w:rPr>
        <w:t xml:space="preserve"> </w:t>
      </w:r>
      <w:r>
        <w:rPr>
          <w:rFonts w:ascii="Arial" w:cs="Arial" w:eastAsia="Arial" w:hAnsi="Arial"/>
          <w:sz w:val="21"/>
          <w:szCs w:val="21"/>
          <w:color w:val="auto"/>
        </w:rPr>
        <w:t>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5.3: </w:t>
      </w:r>
      <w:r>
        <w:rPr>
          <w:rFonts w:ascii="Arial" w:cs="Arial" w:eastAsia="Arial" w:hAnsi="Arial"/>
          <w:sz w:val="22"/>
          <w:szCs w:val="22"/>
          <w:b w:val="1"/>
          <w:bCs w:val="1"/>
          <w:u w:val="single" w:color="auto"/>
          <w:color w:val="auto"/>
        </w:rPr>
        <w:t>Other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applicable law, the Certificate of Incorporation and these Bylaws,</w:t>
      </w:r>
      <w:r>
        <w:rPr>
          <w:rFonts w:ascii="Arial" w:cs="Arial" w:eastAsia="Arial" w:hAnsi="Arial"/>
          <w:sz w:val="22"/>
          <w:szCs w:val="22"/>
          <w:b w:val="1"/>
          <w:bCs w:val="1"/>
          <w:color w:val="auto"/>
        </w:rPr>
        <w:t xml:space="preserve"> </w:t>
      </w:r>
      <w:r>
        <w:rPr>
          <w:rFonts w:ascii="Arial" w:cs="Arial" w:eastAsia="Arial" w:hAnsi="Arial"/>
          <w:sz w:val="22"/>
          <w:szCs w:val="22"/>
          <w:color w:val="auto"/>
        </w:rPr>
        <w:t>the issue, transfer, conversion and registration of shares represented by certificates and of uncertificated shares shall be governed by such other regulations as the Board may establish.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 INDEMNIFICATION</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Section 6.1: </w:t>
      </w:r>
      <w:r>
        <w:rPr>
          <w:rFonts w:ascii="Arial" w:cs="Arial" w:eastAsia="Arial" w:hAnsi="Arial"/>
          <w:sz w:val="22"/>
          <w:szCs w:val="22"/>
          <w:b w:val="1"/>
          <w:bCs w:val="1"/>
          <w:u w:val="single" w:color="auto"/>
          <w:color w:val="auto"/>
        </w:rPr>
        <w:t>Indemnification of Officers and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Each person who was or is made a party to, or is</w:t>
      </w:r>
      <w:r>
        <w:rPr>
          <w:rFonts w:ascii="Arial" w:cs="Arial" w:eastAsia="Arial" w:hAnsi="Arial"/>
          <w:sz w:val="22"/>
          <w:szCs w:val="22"/>
          <w:b w:val="1"/>
          <w:bCs w:val="1"/>
          <w:color w:val="auto"/>
        </w:rPr>
        <w:t xml:space="preserve"> </w:t>
      </w:r>
      <w:r>
        <w:rPr>
          <w:rFonts w:ascii="Arial" w:cs="Arial" w:eastAsia="Arial" w:hAnsi="Arial"/>
          <w:sz w:val="22"/>
          <w:szCs w:val="22"/>
          <w:color w:val="auto"/>
        </w:rPr>
        <w:t>threatened to be made a party to, or is 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“Proceeding”), by reason of the fact that such person (or a person of whom such person is the legal representative),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9" w:name="page100"/>
    <w:bookmarkEnd w:id="99"/>
    <w:p>
      <w:pPr>
        <w:jc w:val="both"/>
        <w:spacing w:after="0" w:line="268" w:lineRule="auto"/>
        <w:rPr>
          <w:sz w:val="20"/>
          <w:szCs w:val="20"/>
          <w:color w:val="auto"/>
        </w:rPr>
      </w:pPr>
      <w:r>
        <w:rPr>
          <w:rFonts w:ascii="Arial" w:cs="Arial" w:eastAsia="Arial" w:hAnsi="Arial"/>
          <w:sz w:val="19"/>
          <w:szCs w:val="19"/>
          <w:color w:val="auto"/>
        </w:rPr>
        <w:t>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“Reincorporated Predecessor” means a corporation that is merged with and into the Corporation in a statutory merger where</w:t>
      </w:r>
    </w:p>
    <w:p>
      <w:pPr>
        <w:ind w:firstLine="8"/>
        <w:spacing w:after="0" w:line="236" w:lineRule="auto"/>
        <w:tabs>
          <w:tab w:leader="none" w:pos="29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Corporation is the surviving corporation of such merger; (b) the primary purpose of such merger is to change the corporate domicile of the Reincorporated Predecessor to Delaware.</w:t>
      </w:r>
    </w:p>
    <w:p>
      <w:pPr>
        <w:spacing w:after="0" w:line="18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Section 6.2: </w:t>
      </w:r>
      <w:r>
        <w:rPr>
          <w:rFonts w:ascii="Arial" w:cs="Arial" w:eastAsia="Arial" w:hAnsi="Arial"/>
          <w:sz w:val="19"/>
          <w:szCs w:val="19"/>
          <w:b w:val="1"/>
          <w:bCs w:val="1"/>
          <w:u w:val="single" w:color="auto"/>
          <w:color w:val="auto"/>
        </w:rPr>
        <w:t>Advancement of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these Bylaws,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pay all reasonable expenses (including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50"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Section 6.3: </w:t>
      </w:r>
      <w:r>
        <w:rPr>
          <w:rFonts w:ascii="Arial" w:cs="Arial" w:eastAsia="Arial" w:hAnsi="Arial"/>
          <w:sz w:val="21"/>
          <w:szCs w:val="21"/>
          <w:b w:val="1"/>
          <w:bCs w:val="1"/>
          <w:u w:val="single" w:color="auto"/>
          <w:color w:val="auto"/>
        </w:rPr>
        <w:t>Non-Exclusivity of Rights</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rights conferred on any person in this Article VI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exclusive of 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68"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Section 6.4: </w:t>
      </w:r>
      <w:r>
        <w:rPr>
          <w:rFonts w:ascii="Arial" w:cs="Arial" w:eastAsia="Arial" w:hAnsi="Arial"/>
          <w:sz w:val="19"/>
          <w:szCs w:val="19"/>
          <w:b w:val="1"/>
          <w:bCs w:val="1"/>
          <w:u w:val="single" w:color="auto"/>
          <w:color w:val="auto"/>
        </w:rPr>
        <w:t>Indemnification Contracts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is authorized to cause the Corporation to enter into</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indemnification contracts with any director, officer, employee or agent of the Corporation, or any person serving at the request of the Corporation as a director, officer, employee, agent or trustee of another corporation, partnership, joint venture, trust or other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22"/>
          <w:szCs w:val="22"/>
          <w:color w:val="auto"/>
        </w:rPr>
        <w:t>enterprise or non-profit entity, including employee benefit plans, providing indemnification or advancement rights to such person. Such rights may be greater than those provided in this Article VI.</w:t>
      </w:r>
    </w:p>
    <w:p>
      <w:pPr>
        <w:spacing w:after="0" w:line="169" w:lineRule="exact"/>
        <w:rPr>
          <w:sz w:val="20"/>
          <w:szCs w:val="20"/>
          <w:color w:val="auto"/>
        </w:rPr>
      </w:pPr>
    </w:p>
    <w:p>
      <w:pPr>
        <w:ind w:left="880"/>
        <w:spacing w:after="0"/>
        <w:tabs>
          <w:tab w:leader="none" w:pos="2560" w:val="left"/>
        </w:tabs>
        <w:rPr>
          <w:sz w:val="20"/>
          <w:szCs w:val="20"/>
          <w:color w:val="auto"/>
        </w:rPr>
      </w:pPr>
      <w:r>
        <w:rPr>
          <w:rFonts w:ascii="Arial" w:cs="Arial" w:eastAsia="Arial" w:hAnsi="Arial"/>
          <w:sz w:val="22"/>
          <w:szCs w:val="22"/>
          <w:b w:val="1"/>
          <w:bCs w:val="1"/>
          <w:color w:val="auto"/>
        </w:rPr>
        <w:t>Section 6.5:</w:t>
      </w:r>
      <w:r>
        <w:rPr>
          <w:sz w:val="20"/>
          <w:szCs w:val="20"/>
          <w:color w:val="auto"/>
        </w:rPr>
        <w:tab/>
      </w:r>
      <w:r>
        <w:rPr>
          <w:rFonts w:ascii="Arial" w:cs="Arial" w:eastAsia="Arial" w:hAnsi="Arial"/>
          <w:sz w:val="19"/>
          <w:szCs w:val="19"/>
          <w:b w:val="1"/>
          <w:bCs w:val="1"/>
          <w:u w:val="single" w:color="auto"/>
          <w:color w:val="auto"/>
        </w:rPr>
        <w:t>Right of Indemnitee to Bring Suit</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010000"/>
        </w:rPr>
        <w:t xml:space="preserve">6.5.1 </w:t>
      </w:r>
      <w:r>
        <w:rPr>
          <w:rFonts w:ascii="Arial" w:cs="Arial" w:eastAsia="Arial" w:hAnsi="Arial"/>
          <w:sz w:val="22"/>
          <w:szCs w:val="22"/>
          <w:u w:val="single" w:color="auto"/>
          <w:color w:val="000000"/>
        </w:rPr>
        <w:t>Right to Bring Suit</w:t>
      </w:r>
      <w:r>
        <w:rPr>
          <w:rFonts w:ascii="Arial" w:cs="Arial" w:eastAsia="Arial" w:hAnsi="Arial"/>
          <w:sz w:val="22"/>
          <w:szCs w:val="22"/>
          <w:color w:val="000000"/>
        </w:rPr>
        <w:t>. If a claim under Section 6.1 or 6.2 of this Article VI is not paid in full by the</w:t>
      </w:r>
      <w:r>
        <w:rPr>
          <w:rFonts w:ascii="Arial" w:cs="Arial" w:eastAsia="Arial" w:hAnsi="Arial"/>
          <w:sz w:val="22"/>
          <w:szCs w:val="22"/>
          <w:color w:val="010000"/>
        </w:rPr>
        <w:t xml:space="preserve"> </w:t>
      </w:r>
      <w:r>
        <w:rPr>
          <w:rFonts w:ascii="Arial" w:cs="Arial" w:eastAsia="Arial" w:hAnsi="Arial"/>
          <w:sz w:val="22"/>
          <w:szCs w:val="22"/>
          <w:color w:val="000000"/>
        </w:rPr>
        <w:t>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91"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010000"/>
        </w:rPr>
        <w:t xml:space="preserve">6.5.2 </w:t>
      </w:r>
      <w:r>
        <w:rPr>
          <w:rFonts w:ascii="Arial" w:cs="Arial" w:eastAsia="Arial" w:hAnsi="Arial"/>
          <w:sz w:val="21"/>
          <w:szCs w:val="21"/>
          <w:u w:val="single" w:color="auto"/>
          <w:color w:val="000000"/>
        </w:rPr>
        <w:t>Effect of Determination</w:t>
      </w:r>
      <w:r>
        <w:rPr>
          <w:rFonts w:ascii="Arial" w:cs="Arial" w:eastAsia="Arial" w:hAnsi="Arial"/>
          <w:sz w:val="21"/>
          <w:szCs w:val="21"/>
          <w:color w:val="000000"/>
        </w:rPr>
        <w:t>. Neither the absence of a determination prior to the commencement of such suit</w:t>
      </w:r>
      <w:r>
        <w:rPr>
          <w:rFonts w:ascii="Arial" w:cs="Arial" w:eastAsia="Arial" w:hAnsi="Arial"/>
          <w:sz w:val="21"/>
          <w:szCs w:val="21"/>
          <w:color w:val="010000"/>
        </w:rPr>
        <w:t xml:space="preserve"> </w:t>
      </w:r>
      <w:r>
        <w:rPr>
          <w:rFonts w:ascii="Arial" w:cs="Arial" w:eastAsia="Arial" w:hAnsi="Arial"/>
          <w:sz w:val="21"/>
          <w:szCs w:val="21"/>
          <w:color w:val="000000"/>
        </w:rPr>
        <w:t>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7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010000"/>
        </w:rPr>
        <w:t xml:space="preserve">6.5.3 </w:t>
      </w:r>
      <w:r>
        <w:rPr>
          <w:rFonts w:ascii="Arial" w:cs="Arial" w:eastAsia="Arial" w:hAnsi="Arial"/>
          <w:sz w:val="22"/>
          <w:szCs w:val="22"/>
          <w:u w:val="single" w:color="auto"/>
          <w:color w:val="000000"/>
        </w:rPr>
        <w:t>Burden of Proof</w:t>
      </w:r>
      <w:r>
        <w:rPr>
          <w:rFonts w:ascii="Arial" w:cs="Arial" w:eastAsia="Arial" w:hAnsi="Arial"/>
          <w:sz w:val="22"/>
          <w:szCs w:val="22"/>
          <w:color w:val="000000"/>
        </w:rPr>
        <w:t>. In any suit brought by the Indemnitee to enforce a right to indemnification or to an</w:t>
      </w:r>
      <w:r>
        <w:rPr>
          <w:rFonts w:ascii="Arial" w:cs="Arial" w:eastAsia="Arial" w:hAnsi="Arial"/>
          <w:sz w:val="22"/>
          <w:szCs w:val="22"/>
          <w:color w:val="010000"/>
        </w:rPr>
        <w:t xml:space="preserve"> </w:t>
      </w:r>
      <w:r>
        <w:rPr>
          <w:rFonts w:ascii="Arial" w:cs="Arial" w:eastAsia="Arial" w:hAnsi="Arial"/>
          <w:sz w:val="22"/>
          <w:szCs w:val="22"/>
          <w:color w:val="000000"/>
        </w:rPr>
        <w:t>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9"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 xml:space="preserve">Section 6.6: </w:t>
      </w:r>
      <w:r>
        <w:rPr>
          <w:rFonts w:ascii="Arial" w:cs="Arial" w:eastAsia="Arial" w:hAnsi="Arial"/>
          <w:sz w:val="22"/>
          <w:szCs w:val="22"/>
          <w:b w:val="1"/>
          <w:bCs w:val="1"/>
          <w:u w:val="single" w:color="auto"/>
          <w:color w:val="auto"/>
        </w:rPr>
        <w:t>Nature of Rights</w:t>
      </w:r>
      <w:r>
        <w:rPr>
          <w:rFonts w:ascii="Arial" w:cs="Arial" w:eastAsia="Arial" w:hAnsi="Arial"/>
          <w:sz w:val="22"/>
          <w:szCs w:val="22"/>
          <w:color w:val="auto"/>
        </w:rPr>
        <w:t>. The rights conferred upon Indemnitees in this Article VI shall be contract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such rights shall continue as to an Indemnitee who has ceased to be a director or officer and shall inure to the benefit of the Indemnitee’s heirs, executors and administrators.</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6.7: </w:t>
      </w:r>
      <w:r>
        <w:rPr>
          <w:rFonts w:ascii="Arial" w:cs="Arial" w:eastAsia="Arial" w:hAnsi="Arial"/>
          <w:sz w:val="22"/>
          <w:szCs w:val="22"/>
          <w:b w:val="1"/>
          <w:bCs w:val="1"/>
          <w:u w:val="single" w:color="auto"/>
          <w:color w:val="auto"/>
        </w:rPr>
        <w:t>Amendment or Repeal</w:t>
      </w:r>
      <w:r>
        <w:rPr>
          <w:rFonts w:ascii="Arial" w:cs="Arial" w:eastAsia="Arial" w:hAnsi="Arial"/>
          <w:sz w:val="22"/>
          <w:szCs w:val="22"/>
          <w:color w:val="auto"/>
        </w:rPr>
        <w:t>. Any amendment, repeal or modification of any provision of this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8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6.8: </w:t>
      </w:r>
      <w:r>
        <w:rPr>
          <w:rFonts w:ascii="Arial" w:cs="Arial" w:eastAsia="Arial" w:hAnsi="Arial"/>
          <w:sz w:val="21"/>
          <w:szCs w:val="21"/>
          <w:b w:val="1"/>
          <w:bCs w:val="1"/>
          <w:u w:val="single" w:color="auto"/>
          <w:color w:val="auto"/>
        </w:rPr>
        <w:t>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may purchase and maintain insurance, at its expense, to protect itself</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director, officer, employee 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ARTICLE VII:NOTICES</w:t>
      </w:r>
    </w:p>
    <w:p>
      <w:pPr>
        <w:spacing w:after="0" w:line="206" w:lineRule="exact"/>
        <w:rPr>
          <w:sz w:val="20"/>
          <w:szCs w:val="20"/>
          <w:color w:val="auto"/>
        </w:rPr>
      </w:pPr>
    </w:p>
    <w:p>
      <w:pPr>
        <w:ind w:left="880"/>
        <w:spacing w:after="0"/>
        <w:tabs>
          <w:tab w:leader="none" w:pos="256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010000"/>
        </w:rPr>
        <w:t xml:space="preserve">7.1.1 </w:t>
      </w:r>
      <w:r>
        <w:rPr>
          <w:rFonts w:ascii="Arial" w:cs="Arial" w:eastAsia="Arial" w:hAnsi="Arial"/>
          <w:sz w:val="21"/>
          <w:szCs w:val="21"/>
          <w:u w:val="single" w:color="auto"/>
          <w:color w:val="000000"/>
        </w:rPr>
        <w:t>Form and Delivery</w:t>
      </w:r>
      <w:r>
        <w:rPr>
          <w:rFonts w:ascii="Arial" w:cs="Arial" w:eastAsia="Arial" w:hAnsi="Arial"/>
          <w:sz w:val="21"/>
          <w:szCs w:val="21"/>
          <w:color w:val="000000"/>
        </w:rPr>
        <w:t>. Except as otherwise specifically required in these Bylaws (including, without</w:t>
      </w:r>
      <w:r>
        <w:rPr>
          <w:rFonts w:ascii="Arial" w:cs="Arial" w:eastAsia="Arial" w:hAnsi="Arial"/>
          <w:sz w:val="21"/>
          <w:szCs w:val="21"/>
          <w:color w:val="010000"/>
        </w:rPr>
        <w:t xml:space="preserve"> </w:t>
      </w:r>
      <w:r>
        <w:rPr>
          <w:rFonts w:ascii="Arial" w:cs="Arial" w:eastAsia="Arial" w:hAnsi="Arial"/>
          <w:sz w:val="21"/>
          <w:szCs w:val="21"/>
          <w:color w:val="000000"/>
        </w:rPr>
        <w:t>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8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010000"/>
        </w:rPr>
        <w:t xml:space="preserve">7.1.2 </w:t>
      </w:r>
      <w:r>
        <w:rPr>
          <w:rFonts w:ascii="Arial" w:cs="Arial" w:eastAsia="Arial" w:hAnsi="Arial"/>
          <w:sz w:val="19"/>
          <w:szCs w:val="19"/>
          <w:u w:val="single" w:color="auto"/>
          <w:color w:val="000000"/>
        </w:rPr>
        <w:t>Electronic Transmission</w:t>
      </w:r>
      <w:r>
        <w:rPr>
          <w:rFonts w:ascii="Arial" w:cs="Arial" w:eastAsia="Arial" w:hAnsi="Arial"/>
          <w:sz w:val="19"/>
          <w:szCs w:val="19"/>
          <w:color w:val="000000"/>
        </w:rPr>
        <w:t>. Without limiting the manner by which notice otherwise may be given effectively</w:t>
      </w:r>
      <w:r>
        <w:rPr>
          <w:rFonts w:ascii="Arial" w:cs="Arial" w:eastAsia="Arial" w:hAnsi="Arial"/>
          <w:sz w:val="19"/>
          <w:szCs w:val="19"/>
          <w:color w:val="010000"/>
        </w:rPr>
        <w:t xml:space="preserve"> </w:t>
      </w:r>
      <w:r>
        <w:rPr>
          <w:rFonts w:ascii="Arial" w:cs="Arial" w:eastAsia="Arial" w:hAnsi="Arial"/>
          <w:sz w:val="19"/>
          <w:szCs w:val="19"/>
          <w:color w:val="000000"/>
        </w:rPr>
        <w:t xml:space="preserve">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9"/>
          <w:szCs w:val="19"/>
          <w:i w:val="1"/>
          <w:iCs w:val="1"/>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u w:val="single" w:color="auto"/>
          <w:color w:val="000000"/>
        </w:rPr>
        <w:t>however</w:t>
      </w:r>
      <w:r>
        <w:rPr>
          <w:rFonts w:ascii="Arial" w:cs="Arial" w:eastAsia="Arial" w:hAnsi="Arial"/>
          <w:sz w:val="19"/>
          <w:szCs w:val="19"/>
          <w:color w:val="000000"/>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5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010000"/>
        </w:rPr>
        <w:t xml:space="preserve">7.1.3 </w:t>
      </w:r>
      <w:r>
        <w:rPr>
          <w:rFonts w:ascii="Arial" w:cs="Arial" w:eastAsia="Arial" w:hAnsi="Arial"/>
          <w:sz w:val="22"/>
          <w:szCs w:val="22"/>
          <w:u w:val="single" w:color="auto"/>
          <w:color w:val="000000"/>
        </w:rPr>
        <w:t>Affidavit of Giving Notice</w:t>
      </w:r>
      <w:r>
        <w:rPr>
          <w:rFonts w:ascii="Arial" w:cs="Arial" w:eastAsia="Arial" w:hAnsi="Arial"/>
          <w:sz w:val="22"/>
          <w:szCs w:val="22"/>
          <w:color w:val="000000"/>
        </w:rPr>
        <w:t>. An affidavit of the Secretary or an Assistant Secretary or of the transfer agent</w:t>
      </w:r>
      <w:r>
        <w:rPr>
          <w:rFonts w:ascii="Arial" w:cs="Arial" w:eastAsia="Arial" w:hAnsi="Arial"/>
          <w:sz w:val="22"/>
          <w:szCs w:val="22"/>
          <w:color w:val="010000"/>
        </w:rPr>
        <w:t xml:space="preserve"> </w:t>
      </w:r>
      <w:r>
        <w:rPr>
          <w:rFonts w:ascii="Arial" w:cs="Arial" w:eastAsia="Arial" w:hAnsi="Arial"/>
          <w:sz w:val="22"/>
          <w:szCs w:val="22"/>
          <w:color w:val="000000"/>
        </w:rPr>
        <w:t>or other agent of the Corporation that the notice has been given in writing or by a form of electronic transmission shall, in the absence of fraud, be prima facie evidence of the facts stated therein.</w:t>
      </w:r>
    </w:p>
    <w:p>
      <w:pPr>
        <w:spacing w:after="0" w:line="18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7.2: </w:t>
      </w:r>
      <w:r>
        <w:rPr>
          <w:rFonts w:ascii="Arial" w:cs="Arial" w:eastAsia="Arial" w:hAnsi="Arial"/>
          <w:sz w:val="21"/>
          <w:szCs w:val="21"/>
          <w:b w:val="1"/>
          <w:bCs w:val="1"/>
          <w:u w:val="single" w:color="auto"/>
          <w:color w:val="auto"/>
        </w:rPr>
        <w:t>Waiver of Notice</w:t>
      </w:r>
      <w:r>
        <w:rPr>
          <w:rFonts w:ascii="Arial" w:cs="Arial" w:eastAsia="Arial" w:hAnsi="Arial"/>
          <w:sz w:val="21"/>
          <w:szCs w:val="21"/>
          <w:b w:val="1"/>
          <w:bCs w:val="1"/>
          <w:color w:val="auto"/>
        </w:rPr>
        <w:t xml:space="preserve">. </w:t>
      </w:r>
      <w:r>
        <w:rPr>
          <w:rFonts w:ascii="Arial" w:cs="Arial" w:eastAsia="Arial" w:hAnsi="Arial"/>
          <w:sz w:val="21"/>
          <w:szCs w:val="21"/>
          <w:color w:val="auto"/>
        </w:rPr>
        <w:t>Whenever notice is required to be given under any provision of the DGCL, the</w:t>
      </w:r>
      <w:r>
        <w:rPr>
          <w:rFonts w:ascii="Arial" w:cs="Arial" w:eastAsia="Arial" w:hAnsi="Arial"/>
          <w:sz w:val="21"/>
          <w:szCs w:val="21"/>
          <w:b w:val="1"/>
          <w:bCs w:val="1"/>
          <w:color w:val="auto"/>
        </w:rPr>
        <w:t xml:space="preserve"> </w:t>
      </w:r>
      <w:r>
        <w:rPr>
          <w:rFonts w:ascii="Arial" w:cs="Arial" w:eastAsia="Arial" w:hAnsi="Arial"/>
          <w:sz w:val="21"/>
          <w:szCs w:val="21"/>
          <w:color w:val="auto"/>
        </w:rPr>
        <w:t>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p>
      <w:pPr>
        <w:jc w:val="both"/>
        <w:spacing w:after="0" w:line="297" w:lineRule="auto"/>
        <w:rPr>
          <w:sz w:val="20"/>
          <w:szCs w:val="20"/>
          <w:color w:val="auto"/>
        </w:rPr>
      </w:pPr>
      <w:r>
        <w:rPr>
          <w:rFonts w:ascii="Arial" w:cs="Arial" w:eastAsia="Arial" w:hAnsi="Arial"/>
          <w:sz w:val="19"/>
          <w:szCs w:val="19"/>
          <w:color w:val="auto"/>
        </w:rPr>
        <w:t>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 INTERESTED DIRECTORS</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Section 8.1: </w:t>
      </w:r>
      <w:r>
        <w:rPr>
          <w:rFonts w:ascii="Arial" w:cs="Arial" w:eastAsia="Arial" w:hAnsi="Arial"/>
          <w:sz w:val="19"/>
          <w:szCs w:val="19"/>
          <w:b w:val="1"/>
          <w:bCs w:val="1"/>
          <w:u w:val="single" w:color="auto"/>
          <w:color w:val="auto"/>
        </w:rPr>
        <w:t>Interested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No contract or transaction between the Corporation and one or more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50"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8.2: </w:t>
      </w:r>
      <w:r>
        <w:rPr>
          <w:rFonts w:ascii="Arial" w:cs="Arial" w:eastAsia="Arial" w:hAnsi="Arial"/>
          <w:sz w:val="22"/>
          <w:szCs w:val="22"/>
          <w:b w:val="1"/>
          <w:bCs w:val="1"/>
          <w:u w:val="single" w:color="auto"/>
          <w:color w:val="auto"/>
        </w:rPr>
        <w:t>Quorum</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Interested directors may be counted in determining the presence of a quorum at a</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of the Board or of a committee which authorizes the contract or transaction.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 MISCELLANEOUS</w:t>
      </w:r>
    </w:p>
    <w:p>
      <w:pPr>
        <w:spacing w:after="0" w:line="206" w:lineRule="exact"/>
        <w:rPr>
          <w:sz w:val="20"/>
          <w:szCs w:val="20"/>
          <w:color w:val="auto"/>
        </w:rPr>
      </w:pPr>
    </w:p>
    <w:p>
      <w:pPr>
        <w:ind w:left="880"/>
        <w:spacing w:after="0"/>
        <w:tabs>
          <w:tab w:leader="none" w:pos="256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b w:val="1"/>
          <w:bCs w:val="1"/>
          <w:u w:val="single" w:color="auto"/>
          <w:color w:val="auto"/>
        </w:rPr>
        <w:t>Fiscal Year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fiscal year of the Corporation shall be determined by resolution of the Board.</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Section 9.2: </w:t>
      </w:r>
      <w:r>
        <w:rPr>
          <w:rFonts w:ascii="Arial" w:cs="Arial" w:eastAsia="Arial" w:hAnsi="Arial"/>
          <w:sz w:val="21"/>
          <w:szCs w:val="21"/>
          <w:b w:val="1"/>
          <w:bCs w:val="1"/>
          <w:u w:val="single" w:color="auto"/>
          <w:color w:val="auto"/>
        </w:rPr>
        <w:t>Seal</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provide for a corporate seal, which may have the name of the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inscribed thereon and shall otherwise be in such form as may be approved from time to time by the Board.</w:t>
      </w:r>
    </w:p>
    <w:p>
      <w:pPr>
        <w:spacing w:after="0" w:line="139"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Section 9.3: </w:t>
      </w:r>
      <w:r>
        <w:rPr>
          <w:rFonts w:ascii="Arial" w:cs="Arial" w:eastAsia="Arial" w:hAnsi="Arial"/>
          <w:sz w:val="19"/>
          <w:szCs w:val="19"/>
          <w:b w:val="1"/>
          <w:bCs w:val="1"/>
          <w:u w:val="single" w:color="auto"/>
          <w:color w:val="auto"/>
        </w:rPr>
        <w:t>Form of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records administered by or on behalf of the Corporation in the regular</w:t>
      </w:r>
      <w:r>
        <w:rPr>
          <w:rFonts w:ascii="Arial" w:cs="Arial" w:eastAsia="Arial" w:hAnsi="Arial"/>
          <w:sz w:val="19"/>
          <w:szCs w:val="19"/>
          <w:b w:val="1"/>
          <w:bCs w:val="1"/>
          <w:color w:val="auto"/>
        </w:rPr>
        <w:t xml:space="preserve"> </w:t>
      </w:r>
      <w:r>
        <w:rPr>
          <w:rFonts w:ascii="Arial" w:cs="Arial" w:eastAsia="Arial" w:hAnsi="Arial"/>
          <w:sz w:val="19"/>
          <w:szCs w:val="19"/>
          <w:color w:val="auto"/>
        </w:rPr>
        <w:t>course 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provided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4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9.4: </w:t>
      </w:r>
      <w:r>
        <w:rPr>
          <w:rFonts w:ascii="Arial" w:cs="Arial" w:eastAsia="Arial" w:hAnsi="Arial"/>
          <w:sz w:val="21"/>
          <w:szCs w:val="21"/>
          <w:b w:val="1"/>
          <w:bCs w:val="1"/>
          <w:u w:val="single" w:color="auto"/>
          <w:color w:val="auto"/>
        </w:rPr>
        <w:t>Reliance Upon Books and Records</w:t>
      </w:r>
      <w:r>
        <w:rPr>
          <w:rFonts w:ascii="Arial" w:cs="Arial" w:eastAsia="Arial" w:hAnsi="Arial"/>
          <w:sz w:val="21"/>
          <w:szCs w:val="21"/>
          <w:b w:val="1"/>
          <w:bCs w:val="1"/>
          <w:color w:val="auto"/>
        </w:rPr>
        <w:t xml:space="preserve">. </w:t>
      </w:r>
      <w:r>
        <w:rPr>
          <w:rFonts w:ascii="Arial" w:cs="Arial" w:eastAsia="Arial" w:hAnsi="Arial"/>
          <w:sz w:val="21"/>
          <w:szCs w:val="21"/>
          <w:color w:val="auto"/>
        </w:rPr>
        <w:t>A member of the Board, or a member of any 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3" w:name="page104"/>
    <w:bookmarkEnd w:id="103"/>
    <w:p>
      <w:pPr>
        <w:jc w:val="both"/>
        <w:spacing w:after="0" w:line="250" w:lineRule="auto"/>
        <w:rPr>
          <w:sz w:val="20"/>
          <w:szCs w:val="20"/>
          <w:color w:val="auto"/>
        </w:rPr>
      </w:pPr>
      <w:r>
        <w:rPr>
          <w:rFonts w:ascii="Arial" w:cs="Arial" w:eastAsia="Arial" w:hAnsi="Arial"/>
          <w:sz w:val="22"/>
          <w:szCs w:val="22"/>
          <w:color w:val="auto"/>
        </w:rPr>
        <w:t>matters the member reasonably believes are within such other person’s professional or expert competence and who has been selected with reasonable care by or on behalf of the Corporation.</w:t>
      </w:r>
    </w:p>
    <w:p>
      <w:pPr>
        <w:spacing w:after="0" w:line="169"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9.5: </w:t>
      </w:r>
      <w:r>
        <w:rPr>
          <w:rFonts w:ascii="Arial" w:cs="Arial" w:eastAsia="Arial" w:hAnsi="Arial"/>
          <w:sz w:val="22"/>
          <w:szCs w:val="22"/>
          <w:b w:val="1"/>
          <w:bCs w:val="1"/>
          <w:u w:val="single" w:color="auto"/>
          <w:color w:val="auto"/>
        </w:rPr>
        <w:t>Certificate of Incorporation Governs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any conflict between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of Incorporation and Bylaws, the provisions of the Certificate of Incorporation shall govern.</w:t>
      </w:r>
    </w:p>
    <w:p>
      <w:pPr>
        <w:spacing w:after="0" w:line="16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Section 9.6: </w:t>
      </w: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these Bylaws shall be held to be invalid, illegal, unenforceable or</w:t>
      </w:r>
      <w:r>
        <w:rPr>
          <w:rFonts w:ascii="Arial" w:cs="Arial" w:eastAsia="Arial" w:hAnsi="Arial"/>
          <w:sz w:val="21"/>
          <w:szCs w:val="21"/>
          <w:b w:val="1"/>
          <w:bCs w:val="1"/>
          <w:color w:val="auto"/>
        </w:rPr>
        <w:t xml:space="preserve"> </w:t>
      </w:r>
      <w:r>
        <w:rPr>
          <w:rFonts w:ascii="Arial" w:cs="Arial" w:eastAsia="Arial" w:hAnsi="Arial"/>
          <w:sz w:val="21"/>
          <w:szCs w:val="21"/>
          <w:color w:val="auto"/>
        </w:rPr>
        <w:t>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Section 9.7: </w:t>
      </w:r>
      <w:r>
        <w:rPr>
          <w:rFonts w:ascii="Arial" w:cs="Arial" w:eastAsia="Arial" w:hAnsi="Arial"/>
          <w:sz w:val="19"/>
          <w:szCs w:val="19"/>
          <w:b w:val="1"/>
          <w:bCs w:val="1"/>
          <w:u w:val="single" w:color="auto"/>
          <w:color w:val="auto"/>
        </w:rPr>
        <w:t>Time Periods</w:t>
      </w:r>
      <w:r>
        <w:rPr>
          <w:rFonts w:ascii="Arial" w:cs="Arial" w:eastAsia="Arial" w:hAnsi="Arial"/>
          <w:sz w:val="19"/>
          <w:szCs w:val="19"/>
          <w:b w:val="1"/>
          <w:bCs w:val="1"/>
          <w:color w:val="auto"/>
        </w:rPr>
        <w:t xml:space="preserve">. </w:t>
      </w:r>
      <w:r>
        <w:rPr>
          <w:rFonts w:ascii="Arial" w:cs="Arial" w:eastAsia="Arial" w:hAnsi="Arial"/>
          <w:sz w:val="19"/>
          <w:szCs w:val="19"/>
          <w:color w:val="auto"/>
        </w:rPr>
        <w:t>In applying any provision of these Bylaws which requires that an act be done or not</w:t>
      </w:r>
      <w:r>
        <w:rPr>
          <w:rFonts w:ascii="Arial" w:cs="Arial" w:eastAsia="Arial" w:hAnsi="Arial"/>
          <w:sz w:val="19"/>
          <w:szCs w:val="19"/>
          <w:b w:val="1"/>
          <w:bCs w:val="1"/>
          <w:color w:val="auto"/>
        </w:rPr>
        <w:t xml:space="preserve"> </w:t>
      </w:r>
      <w:r>
        <w:rPr>
          <w:rFonts w:ascii="Arial" w:cs="Arial" w:eastAsia="Arial" w:hAnsi="Arial"/>
          <w:sz w:val="19"/>
          <w:szCs w:val="19"/>
          <w:color w:val="auto"/>
        </w:rPr>
        <w:t>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 AMENDMENT</w:t>
      </w:r>
    </w:p>
    <w:p>
      <w:pPr>
        <w:spacing w:after="0" w:line="212"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 EXCLUSIVE FORUM</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CERTIFICATION OF RESTATED BYLAWS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PRELUDE THERAPEUTICS INCORPORATED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Delaware Corporation</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I, Krishna Vaddi, certify that I am Secretary of Prelude Therapeutics Incorporated, a Delaware corporation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 that I am duly authorized to make and deliver this certification, that the attached Bylaws are a true and complete copy of the Restated Bylaws of the Corporation in effect as of the date of this certificate.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29, 2020</w:t>
      </w:r>
    </w:p>
    <w:p>
      <w:pPr>
        <w:spacing w:after="0" w:line="200" w:lineRule="exact"/>
        <w:rPr>
          <w:sz w:val="20"/>
          <w:szCs w:val="20"/>
          <w:color w:val="auto"/>
        </w:rPr>
      </w:pPr>
    </w:p>
    <w:p>
      <w:pPr>
        <w:spacing w:after="0" w:line="27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Krishna Vaddi</w:t>
      </w:r>
    </w:p>
    <w:p>
      <w:pPr>
        <w:ind w:left="5620"/>
        <w:spacing w:after="0" w:line="230" w:lineRule="auto"/>
        <w:rPr>
          <w:sz w:val="20"/>
          <w:szCs w:val="20"/>
          <w:color w:val="auto"/>
        </w:rPr>
      </w:pPr>
      <w:r>
        <w:rPr>
          <w:rFonts w:ascii="Arial" w:cs="Arial" w:eastAsia="Arial" w:hAnsi="Arial"/>
          <w:sz w:val="22"/>
          <w:szCs w:val="22"/>
          <w:color w:val="auto"/>
        </w:rPr>
        <w:t>Chief Executive Officer and</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32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225"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10,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Vaddi</w:t>
            </w:r>
          </w:p>
        </w:tc>
      </w:tr>
      <w:tr>
        <w:trPr>
          <w:trHeight w:val="222"/>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Piper, certify that:</w:t>
      </w:r>
    </w:p>
    <w:p>
      <w:pPr>
        <w:spacing w:after="0" w:line="225"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10,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Piper</w:t>
            </w:r>
          </w:p>
        </w:tc>
      </w:tr>
      <w:tr>
        <w:trPr>
          <w:trHeight w:val="222"/>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Brian Piper, M.B.A.</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r>
    </w:tbl>
    <w:p>
      <w:pPr>
        <w:sectPr>
          <w:pgSz w:w="11900" w:h="16838" w:orient="portrait"/>
          <w:cols w:equalWidth="0" w:num="1">
            <w:col w:w="11240"/>
          </w:cols>
          <w:pgMar w:left="320" w:top="35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Krishna Vaddi, Chief Executive Officer of Prelude Therapeutics Incorporated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00" w:right="200" w:hanging="493"/>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November 10, 2020</w:t>
            </w:r>
          </w:p>
        </w:tc>
        <w:tc>
          <w:tcPr>
            <w:tcW w:w="2120" w:type="dxa"/>
            <w:vAlign w:val="bottom"/>
          </w:tcPr>
          <w:p>
            <w:pPr>
              <w:ind w:left="180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35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Brian Piper, Chief Financial Officer of Prelude Therapeutics Incorporated (the “Company”), do hereby certify, pursuant to 18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00" w:right="200" w:hanging="493"/>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10, 2020</w:t>
            </w:r>
          </w:p>
        </w:tc>
        <w:tc>
          <w:tcPr>
            <w:tcW w:w="2080" w:type="dxa"/>
            <w:vAlign w:val="bottom"/>
          </w:tcPr>
          <w:p>
            <w:pPr>
              <w:ind w:left="1800"/>
              <w:spacing w:after="0"/>
              <w:rPr>
                <w:sz w:val="20"/>
                <w:szCs w:val="20"/>
                <w:color w:val="auto"/>
              </w:rPr>
            </w:pPr>
            <w:r>
              <w:rPr>
                <w:rFonts w:ascii="Arial" w:cs="Arial" w:eastAsia="Arial" w:hAnsi="Arial"/>
                <w:sz w:val="18"/>
                <w:szCs w:val="18"/>
                <w:color w:val="auto"/>
                <w:w w:val="99"/>
              </w:rPr>
              <w:t>By:</w:t>
            </w: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Piper</w:t>
            </w:r>
          </w:p>
        </w:tc>
      </w:tr>
      <w:tr>
        <w:trPr>
          <w:trHeight w:val="222"/>
        </w:trPr>
        <w:tc>
          <w:tcPr>
            <w:tcW w:w="3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Brian Piper, M.B.A.</w:t>
            </w:r>
          </w:p>
        </w:tc>
      </w:tr>
      <w:tr>
        <w:trPr>
          <w:trHeight w:val="216"/>
        </w:trPr>
        <w:tc>
          <w:tcPr>
            <w:tcW w:w="3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and Finance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lowerRoman"/>
      <w:start w:val="3"/>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lowerRoman"/>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2"/>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3"/>
    </w:lvl>
  </w:abstractNum>
  <w:abstractNum w:abstractNumId="49">
    <w:nsid w:val="D34B6A8"/>
    <w:multiLevelType w:val="hybridMultilevel"/>
    <w:lvl w:ilvl="0">
      <w:lvlJc w:val="left"/>
      <w:lvlText w:val="%1."/>
      <w:numFmt w:val="decimal"/>
      <w:start w:val="6"/>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30"/>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2"/>
    </w:lvl>
    <w:lvl w:ilvl="1">
      <w:lvlJc w:val="left"/>
      <w:lvlText w:val="(%2)"/>
      <w:numFmt w:val="lowerRoman"/>
      <w:start w:val="1"/>
    </w:lvl>
  </w:abstractNum>
  <w:abstractNum w:abstractNumId="55">
    <w:nsid w:val="579BE4F1"/>
    <w:multiLevelType w:val="hybridMultilevel"/>
    <w:lvl w:ilvl="0">
      <w:lvlJc w:val="left"/>
      <w:lvlText w:val="(%1)"/>
      <w:numFmt w:val="lowerLetter"/>
      <w:start w:val="3"/>
    </w:lvl>
    <w:lvl w:ilvl="1">
      <w:lvlJc w:val="left"/>
      <w:lvlText w:val="(%2)"/>
      <w:numFmt w:val="lowerRoman"/>
      <w:start w:val="1"/>
    </w:lvl>
  </w:abstractNum>
  <w:abstractNum w:abstractNumId="56">
    <w:nsid w:val="310C50B3"/>
    <w:multiLevelType w:val="hybridMultilevel"/>
    <w:lvl w:ilvl="0">
      <w:lvlJc w:val="left"/>
      <w:lvlText w:val="%1"/>
      <w:numFmt w:val="lowerLetter"/>
      <w:start w:val="1"/>
    </w:lvl>
    <w:lvl w:ilvl="1">
      <w:lvlJc w:val="left"/>
      <w:lvlText w:val="(%2)"/>
      <w:numFmt w:val="lowerRoman"/>
      <w:start w:val="3"/>
    </w:lvl>
  </w:abstractNum>
  <w:abstractNum w:abstractNumId="57">
    <w:nsid w:val="5FF87E05"/>
    <w:multiLevelType w:val="hybridMultilevel"/>
    <w:lvl w:ilvl="0">
      <w:lvlJc w:val="left"/>
      <w:lvlText w:val="(%1)"/>
      <w:numFmt w:val="lowerLetter"/>
      <w:start w:val="4"/>
    </w:lvl>
    <w:lvl w:ilvl="1">
      <w:lvlJc w:val="left"/>
      <w:lvlText w:val="(%2)"/>
      <w:numFmt w:val="lowerRoman"/>
      <w:start w:val="1"/>
    </w:lvl>
  </w:abstractNum>
  <w:abstractNum w:abstractNumId="58">
    <w:nsid w:val="2F305DEF"/>
    <w:multiLevelType w:val="hybridMultilevel"/>
    <w:lvl w:ilvl="0">
      <w:lvlJc w:val="left"/>
      <w:lvlText w:val="(%1)"/>
      <w:numFmt w:val="lowerLetter"/>
      <w:start w:val="5"/>
    </w:lvl>
    <w:lvl w:ilvl="1">
      <w:lvlJc w:val="left"/>
      <w:lvlText w:val="(%2)"/>
      <w:numFmt w:val="lowerRoman"/>
      <w:start w:val="1"/>
    </w:lvl>
  </w:abstractNum>
  <w:abstractNum w:abstractNumId="59">
    <w:nsid w:val="25A70BF7"/>
    <w:multiLevelType w:val="hybridMultilevel"/>
    <w:lvl w:ilvl="0">
      <w:lvlJc w:val="left"/>
      <w:lvlText w:val="(%1)"/>
      <w:numFmt w:val="lowerRoman"/>
      <w:start w:val="7"/>
    </w:lvl>
  </w:abstractNum>
  <w:abstractNum w:abstractNumId="60">
    <w:nsid w:val="1DBABF00"/>
    <w:multiLevelType w:val="hybridMultilevel"/>
    <w:lvl w:ilvl="0">
      <w:lvlJc w:val="left"/>
      <w:lvlText w:val="(%1)"/>
      <w:numFmt w:val="lowerLetter"/>
      <w:start w:val="6"/>
    </w:lvl>
  </w:abstractNum>
  <w:abstractNum w:abstractNumId="61">
    <w:nsid w:val="4AD084E9"/>
    <w:multiLevelType w:val="hybridMultilevel"/>
    <w:lvl w:ilvl="0">
      <w:lvlJc w:val="left"/>
      <w:lvlText w:val="(%1)"/>
      <w:numFmt w:val="lowerLetter"/>
      <w:start w:val="7"/>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Letter"/>
      <w:start w:val="3"/>
    </w:lvl>
    <w:lvl w:ilvl="1">
      <w:lvlJc w:val="left"/>
      <w:lvlText w:val="(%2)"/>
      <w:numFmt w:val="upperLetter"/>
      <w:start w:val="1"/>
    </w:lvl>
  </w:abstractNum>
  <w:abstractNum w:abstractNumId="64">
    <w:nsid w:val="5DB70AE5"/>
    <w:multiLevelType w:val="hybridMultilevel"/>
    <w:lvl w:ilvl="0">
      <w:lvlJc w:val="left"/>
      <w:lvlText w:val="(%1)"/>
      <w:numFmt w:val="upperLetter"/>
      <w:start w:val="7"/>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89" Type="http://schemas.openxmlformats.org/officeDocument/2006/relationships/hyperlink" Target="http://www.sec.gov/Archives/edgar/data/0001678660/000119312520246920/d935180dex41.htm" TargetMode="External"/><Relationship Id="rId90" Type="http://schemas.openxmlformats.org/officeDocument/2006/relationships/hyperlink" Target="http://www.sec.gov/Archives/edgar/data/0001678660/000119312520240138/d935180dex101.htm" TargetMode="External"/><Relationship Id="rId91" Type="http://schemas.openxmlformats.org/officeDocument/2006/relationships/hyperlink" Target="http://www.sec.gov/Archives/edgar/data/0001678660/000119312520240138/d935180dex102.htm" TargetMode="External"/><Relationship Id="rId92" Type="http://schemas.openxmlformats.org/officeDocument/2006/relationships/hyperlink" Target="http://www.sec.gov/Archives/edgar/data/0001678660/000119312520249549/d935180dex103.htm" TargetMode="External"/><Relationship Id="rId93" Type="http://schemas.openxmlformats.org/officeDocument/2006/relationships/hyperlink" Target="http://www.sec.gov/Archives/edgar/data/0001678660/000119312520249549/d93518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2020-11-10T07:04:05Z</dcterms:created>
  <dcterms:modified xsi:type="dcterms:W3CDTF">2020-11-10T07:04:05Z</dcterms:modified>
</cp:coreProperties>
</file>