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5" w:lineRule="exact"/>
        <w:rPr>
          <w:sz w:val="24"/>
          <w:szCs w:val="24"/>
          <w:color w:val="auto"/>
        </w:rPr>
      </w:pPr>
    </w:p>
    <w:p>
      <w:pPr>
        <w:ind w:left="3820" w:right="1620" w:hanging="3799"/>
        <w:spacing w:after="0" w:line="232" w:lineRule="auto"/>
        <w:tabs>
          <w:tab w:leader="none" w:pos="488"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6"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4" w:lineRule="exact"/>
        <w:rPr>
          <w:sz w:val="24"/>
          <w:szCs w:val="24"/>
          <w:color w:val="auto"/>
        </w:rPr>
      </w:pPr>
    </w:p>
    <w:p>
      <w:pPr>
        <w:sectPr>
          <w:pgSz w:w="11900" w:h="16838" w:orient="portrait"/>
          <w:cols w:equalWidth="0" w:num="2">
            <w:col w:w="7220" w:space="720"/>
            <w:col w:w="3300"/>
          </w:cols>
          <w:pgMar w:left="320" w:top="326" w:right="339" w:bottom="1440" w:gutter="0" w:footer="0" w:header="0"/>
          <w:type w:val="continuous"/>
        </w:sectPr>
      </w:pPr>
    </w:p>
    <w:tbl>
      <w:tblPr>
        <w:tblLayout w:type="fixed"/>
        <w:tblInd w:w="1780" w:type="dxa"/>
        <w:tblCellMar>
          <w:top w:w="0" w:type="dxa"/>
          <w:left w:w="0" w:type="dxa"/>
          <w:bottom w:w="0" w:type="dxa"/>
          <w:right w:w="0" w:type="dxa"/>
        </w:tblCellMar>
      </w:tblPr>
      <w:tr>
        <w:trPr>
          <w:trHeight w:val="230"/>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200 Powder Mill Road</w:t>
            </w:r>
          </w:p>
        </w:tc>
        <w:tc>
          <w:tcPr>
            <w:tcW w:w="2720" w:type="dxa"/>
            <w:vAlign w:val="bottom"/>
          </w:tcPr>
          <w:p>
            <w:pPr>
              <w:spacing w:after="0"/>
              <w:rPr>
                <w:sz w:val="19"/>
                <w:szCs w:val="19"/>
                <w:color w:val="auto"/>
              </w:rPr>
            </w:pPr>
          </w:p>
        </w:tc>
      </w:tr>
      <w:tr>
        <w:trPr>
          <w:trHeight w:val="24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Wilmington, Delaware</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19803</w:t>
            </w:r>
          </w:p>
        </w:tc>
      </w:tr>
      <w:tr>
        <w:trPr>
          <w:trHeight w:val="179"/>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firstLine="478"/>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3" w:lineRule="exact"/>
        <w:rPr>
          <w:sz w:val="24"/>
          <w:szCs w:val="24"/>
          <w:color w:val="auto"/>
        </w:rPr>
      </w:pPr>
    </w:p>
    <w:p>
      <w:pPr>
        <w:ind w:right="2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2" w:lineRule="exact"/>
        <w:rPr>
          <w:sz w:val="24"/>
          <w:szCs w:val="24"/>
          <w:color w:val="auto"/>
        </w:rPr>
      </w:pPr>
    </w:p>
    <w:p>
      <w:pPr>
        <w:jc w:val="both"/>
        <w:ind w:right="30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9" w:lineRule="exact"/>
        <w:rPr>
          <w:sz w:val="24"/>
          <w:szCs w:val="24"/>
          <w:color w:val="auto"/>
        </w:rPr>
      </w:pPr>
    </w:p>
    <w:p>
      <w:pPr>
        <w:ind w:right="100" w:firstLine="47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May 1, 2023, the registrant had 47,955,005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247650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40" w:type="dxa"/>
            <w:vAlign w:val="bottom"/>
            <w:gridSpan w:val="20"/>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0" w:type="dxa"/>
            <w:vAlign w:val="bottom"/>
            <w:tcBorders>
              <w:top w:val="single" w:sz="8" w:color="0000FF"/>
              <w:bottom w:val="single" w:sz="8" w:color="0000EE"/>
            </w:tcBorders>
          </w:tcPr>
          <w:p>
            <w:pPr>
              <w:spacing w:after="0"/>
              <w:rPr>
                <w:sz w:val="18"/>
                <w:szCs w:val="18"/>
                <w:color w:val="auto"/>
              </w:rPr>
            </w:pPr>
          </w:p>
        </w:tc>
        <w:tc>
          <w:tcPr>
            <w:tcW w:w="700" w:type="dxa"/>
            <w:vAlign w:val="bottom"/>
            <w:tcBorders>
              <w:top w:val="single" w:sz="8" w:color="0000FF"/>
            </w:tcBorders>
            <w:gridSpan w:val="3"/>
          </w:tcPr>
          <w:p>
            <w:pPr>
              <w:spacing w:after="0"/>
              <w:rPr>
                <w:sz w:val="18"/>
                <w:szCs w:val="18"/>
                <w:color w:val="auto"/>
              </w:rPr>
            </w:pPr>
          </w:p>
        </w:tc>
        <w:tc>
          <w:tcPr>
            <w:tcW w:w="730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(Unaudited)</w:t>
            </w:r>
          </w:p>
        </w:tc>
        <w:tc>
          <w:tcPr>
            <w:tcW w:w="49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Statements of Changes in Stockholders’ Equity (Unaudited)</w:t>
            </w:r>
          </w:p>
        </w:tc>
        <w:tc>
          <w:tcPr>
            <w:tcW w:w="52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Unaudited Interim Financial Statements</w:t>
            </w:r>
          </w:p>
        </w:tc>
        <w:tc>
          <w:tcPr>
            <w:tcW w:w="20" w:type="dxa"/>
            <w:vAlign w:val="bottom"/>
            <w:tcBorders>
              <w:bottom w:val="single" w:sz="8" w:color="0000EE"/>
            </w:tcBorders>
          </w:tcPr>
          <w:p>
            <w:pPr>
              <w:spacing w:after="0"/>
              <w:rPr>
                <w:sz w:val="18"/>
                <w:szCs w:val="18"/>
                <w:color w:val="auto"/>
              </w:rPr>
            </w:pPr>
          </w:p>
        </w:tc>
        <w:tc>
          <w:tcPr>
            <w:tcW w:w="60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 w:type="dxa"/>
            <w:vAlign w:val="bottom"/>
            <w:gridSpan w:val="2"/>
            <w:vMerge w:val="continue"/>
          </w:tcPr>
          <w:p>
            <w:pPr>
              <w:spacing w:after="0"/>
              <w:rPr>
                <w:sz w:val="21"/>
                <w:szCs w:val="21"/>
                <w:color w:val="auto"/>
              </w:rPr>
            </w:pP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0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8220" w:type="dxa"/>
            <w:vAlign w:val="bottom"/>
            <w:gridSpan w:val="1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8"/>
                <w:szCs w:val="18"/>
                <w:color w:val="auto"/>
              </w:rPr>
            </w:pPr>
          </w:p>
        </w:tc>
        <w:tc>
          <w:tcPr>
            <w:tcW w:w="52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60" w:type="dxa"/>
            <w:vAlign w:val="bottom"/>
            <w:gridSpan w:val="1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154,054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204,380</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 non-current assets</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12,282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10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0"/>
                <w:szCs w:val="20"/>
                <w:color w:val="auto"/>
              </w:rPr>
            </w:pPr>
          </w:p>
        </w:tc>
      </w:tr>
      <w:tr>
        <w:trPr>
          <w:trHeight w:val="241"/>
        </w:trPr>
        <w:tc>
          <w:tcPr>
            <w:tcW w:w="7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19,662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2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Borders>
              <w:bottom w:val="single" w:sz="8" w:color="CFF0FC"/>
            </w:tcBorders>
          </w:tcPr>
          <w:p>
            <w:pPr>
              <w:spacing w:after="0"/>
              <w:rPr>
                <w:sz w:val="20"/>
                <w:szCs w:val="20"/>
                <w:color w:val="auto"/>
              </w:rPr>
            </w:pP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23,023</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25,063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36,514,218 and</w:t>
            </w: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36,496,994 shares issued and outstanding at March 31, 2023 and December 31, 2022, respectively</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18"/>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11,402,037 and</w:t>
            </w: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11,402,037 shares issued and outstanding at March 31, 2023 and December 31, 2022, respectively</w:t>
            </w: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537,966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531,682</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(398 )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(1,692 )</w:t>
            </w: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(362,276 )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(334,558 )</w:t>
            </w:r>
          </w:p>
        </w:tc>
      </w:tr>
      <w:tr>
        <w:trPr>
          <w:trHeight w:val="236"/>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175,297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198,320</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220,500</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-3933825</wp:posOffset>
            </wp:positionV>
            <wp:extent cx="685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-3933825</wp:posOffset>
            </wp:positionV>
            <wp:extent cx="685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-2990850</wp:posOffset>
            </wp:positionV>
            <wp:extent cx="126873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873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-1889125</wp:posOffset>
            </wp:positionV>
            <wp:extent cx="7145020" cy="338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-187960</wp:posOffset>
            </wp:positionV>
            <wp:extent cx="685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420" w:type="dxa"/>
            <w:vAlign w:val="bottom"/>
          </w:tcPr>
          <w:p>
            <w:pPr>
              <w:spacing w:after="0"/>
              <w:rPr>
                <w:sz w:val="16"/>
                <w:szCs w:val="16"/>
                <w:color w:val="auto"/>
              </w:rPr>
            </w:pPr>
          </w:p>
        </w:tc>
        <w:tc>
          <w:tcPr>
            <w:tcW w:w="3480" w:type="dxa"/>
            <w:vAlign w:val="bottom"/>
            <w:gridSpan w:val="5"/>
          </w:tcPr>
          <w:p>
            <w:pPr>
              <w:jc w:val="right"/>
              <w:ind w:right="9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340" w:type="dxa"/>
            <w:vAlign w:val="bottom"/>
            <w:vMerge w:val="continue"/>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34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3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3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4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3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7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(0.58 )</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0" w:type="dxa"/>
            <w:vAlign w:val="bottom"/>
          </w:tcPr>
          <w:p>
            <w:pPr>
              <w:spacing w:after="0"/>
              <w:rPr>
                <w:sz w:val="1"/>
                <w:szCs w:val="1"/>
                <w:color w:val="auto"/>
              </w:rPr>
            </w:pPr>
          </w:p>
        </w:tc>
      </w:tr>
      <w:tr>
        <w:trPr>
          <w:trHeight w:val="196"/>
        </w:trPr>
        <w:tc>
          <w:tcPr>
            <w:tcW w:w="734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47,737,190</w:t>
            </w:r>
          </w:p>
        </w:tc>
        <w:tc>
          <w:tcPr>
            <w:tcW w:w="3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47,066,427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(27,718 )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(29,465 )</w:t>
            </w:r>
          </w:p>
        </w:tc>
        <w:tc>
          <w:tcPr>
            <w:tcW w:w="0" w:type="dxa"/>
            <w:vAlign w:val="bottom"/>
          </w:tcPr>
          <w:p>
            <w:pPr>
              <w:spacing w:after="0"/>
              <w:rPr>
                <w:sz w:val="1"/>
                <w:szCs w:val="1"/>
                <w:color w:val="auto"/>
              </w:rPr>
            </w:pPr>
          </w:p>
        </w:tc>
      </w:tr>
      <w:tr>
        <w:trPr>
          <w:trHeight w:val="243"/>
        </w:trPr>
        <w:tc>
          <w:tcPr>
            <w:tcW w:w="7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4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(1,602 )</w:t>
            </w: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(26,424 )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(31,067 )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-1945005</wp:posOffset>
            </wp:positionV>
            <wp:extent cx="7747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-1302385</wp:posOffset>
            </wp:positionV>
            <wp:extent cx="137160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0" cy="17970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-967740</wp:posOffset>
            </wp:positionV>
            <wp:extent cx="1371600" cy="31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0" cy="31686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-187960</wp:posOffset>
            </wp:positionV>
            <wp:extent cx="7747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tcBorders>
              <w:top w:val="single" w:sz="8" w:color="auto"/>
            </w:tcBorders>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200" w:type="dxa"/>
            <w:vAlign w:val="bottom"/>
          </w:tcPr>
          <w:p>
            <w:pPr>
              <w:spacing w:after="0"/>
              <w:rPr>
                <w:sz w:val="15"/>
                <w:szCs w:val="15"/>
                <w:color w:val="auto"/>
              </w:rPr>
            </w:pPr>
          </w:p>
        </w:tc>
        <w:tc>
          <w:tcPr>
            <w:tcW w:w="1680" w:type="dxa"/>
            <w:vAlign w:val="bottom"/>
            <w:tcBorders>
              <w:bottom w:val="single" w:sz="8" w:color="auto"/>
            </w:tcBorders>
            <w:gridSpan w:val="5"/>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5"/>
                <w:szCs w:val="15"/>
                <w:color w:val="auto"/>
              </w:rPr>
            </w:pPr>
          </w:p>
        </w:tc>
        <w:tc>
          <w:tcPr>
            <w:tcW w:w="92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92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90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20" w:type="dxa"/>
            <w:vAlign w:val="bottom"/>
            <w:gridSpan w:val="2"/>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20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tcBorders>
              <w:top w:val="single" w:sz="8" w:color="auto"/>
              <w:right w:val="single" w:sz="8" w:color="CFF0FC"/>
            </w:tcBorders>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11,402,03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tcBorders>
              <w:top w:val="single" w:sz="8" w:color="auto"/>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(334,55</w:t>
            </w:r>
          </w:p>
        </w:tc>
        <w:tc>
          <w:tcPr>
            <w:tcW w:w="120" w:type="dxa"/>
            <w:vAlign w:val="bottom"/>
            <w:tcBorders>
              <w:lef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5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36,496,994</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Borders>
              <w:right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$ 531,682</w:t>
            </w:r>
          </w:p>
        </w:tc>
        <w:tc>
          <w:tcPr>
            <w:tcW w:w="120" w:type="dxa"/>
            <w:vAlign w:val="bottom"/>
            <w:shd w:val="clear" w:color="auto" w:fill="CFF0FC"/>
          </w:tcPr>
          <w:p>
            <w:pPr>
              <w:spacing w:after="0"/>
              <w:rPr>
                <w:sz w:val="21"/>
                <w:szCs w:val="21"/>
                <w:color w:val="auto"/>
              </w:rPr>
            </w:pPr>
          </w:p>
        </w:tc>
        <w:tc>
          <w:tcPr>
            <w:tcW w:w="1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(1,692 )</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RSUs</w:t>
            </w: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(27,718 )</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(27,718 )</w:t>
            </w:r>
          </w:p>
        </w:tc>
        <w:tc>
          <w:tcPr>
            <w:tcW w:w="0" w:type="dxa"/>
            <w:vAlign w:val="bottom"/>
          </w:tcPr>
          <w:p>
            <w:pPr>
              <w:spacing w:after="0"/>
              <w:rPr>
                <w:sz w:val="1"/>
                <w:szCs w:val="1"/>
                <w:color w:val="auto"/>
              </w:rPr>
            </w:pPr>
          </w:p>
        </w:tc>
      </w:tr>
      <w:tr>
        <w:trPr>
          <w:trHeight w:val="209"/>
        </w:trPr>
        <w:tc>
          <w:tcPr>
            <w:tcW w:w="262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200" w:type="dxa"/>
            <w:vAlign w:val="bottom"/>
            <w:tcBorders>
              <w:top w:val="single" w:sz="8" w:color="CFF0FC"/>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11,402,03</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(362,27</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36,514,218</w:t>
            </w:r>
          </w:p>
        </w:tc>
        <w:tc>
          <w:tcPr>
            <w:tcW w:w="24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$ 537,966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(398 )</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6 )</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2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0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2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5"/>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1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8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 2022</w:t>
            </w: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36,200,299</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6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505,723</w:t>
            </w:r>
          </w:p>
        </w:tc>
        <w:tc>
          <w:tcPr>
            <w:tcW w:w="120" w:type="dxa"/>
            <w:vAlign w:val="bottom"/>
            <w:shd w:val="clear" w:color="auto" w:fill="CFF0FC"/>
          </w:tcPr>
          <w:p>
            <w:pPr>
              <w:spacing w:after="0"/>
              <w:rPr>
                <w:sz w:val="20"/>
                <w:szCs w:val="20"/>
                <w:color w:val="auto"/>
              </w:rPr>
            </w:pPr>
          </w:p>
        </w:tc>
        <w:tc>
          <w:tcPr>
            <w:tcW w:w="160" w:type="dxa"/>
            <w:vAlign w:val="bottom"/>
            <w:tcBorders>
              <w:top w:val="single" w:sz="8" w:color="auto"/>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20"/>
                <w:szCs w:val="20"/>
                <w:color w:val="auto"/>
              </w:rPr>
            </w:pPr>
          </w:p>
        </w:tc>
        <w:tc>
          <w:tcPr>
            <w:tcW w:w="80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 (219,120</w:t>
            </w:r>
          </w:p>
        </w:tc>
        <w:tc>
          <w:tcPr>
            <w:tcW w:w="120" w:type="dxa"/>
            <w:vAlign w:val="bottom"/>
            <w:tcBorders>
              <w:lef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285,897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93,032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tcBorders>
              <w:lef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tcBorders>
              <w:right w:val="single" w:sz="8" w:color="CFF0FC"/>
            </w:tcBorders>
            <w:gridSpan w:val="2"/>
            <w:shd w:val="clear" w:color="auto" w:fill="CFF0FC"/>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(1,602 )</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(1,602 )</w:t>
            </w:r>
          </w:p>
        </w:tc>
        <w:tc>
          <w:tcPr>
            <w:tcW w:w="0" w:type="dxa"/>
            <w:vAlign w:val="bottom"/>
          </w:tcPr>
          <w:p>
            <w:pPr>
              <w:spacing w:after="0"/>
              <w:rPr>
                <w:sz w:val="1"/>
                <w:szCs w:val="1"/>
                <w:color w:val="auto"/>
              </w:rPr>
            </w:pPr>
          </w:p>
        </w:tc>
      </w:tr>
      <w:tr>
        <w:trPr>
          <w:trHeight w:val="21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19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6,829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tcBorders>
              <w:right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(29,465 )</w:t>
            </w: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(29,465 )</w:t>
            </w:r>
          </w:p>
        </w:tc>
        <w:tc>
          <w:tcPr>
            <w:tcW w:w="0" w:type="dxa"/>
            <w:vAlign w:val="bottom"/>
          </w:tcPr>
          <w:p>
            <w:pPr>
              <w:spacing w:after="0"/>
              <w:rPr>
                <w:sz w:val="1"/>
                <w:szCs w:val="1"/>
                <w:color w:val="auto"/>
              </w:rPr>
            </w:pPr>
          </w:p>
        </w:tc>
      </w:tr>
      <w:tr>
        <w:trPr>
          <w:trHeight w:val="20"/>
        </w:trPr>
        <w:tc>
          <w:tcPr>
            <w:tcW w:w="25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36,293,331</w:t>
            </w:r>
          </w:p>
        </w:tc>
        <w:tc>
          <w:tcPr>
            <w:tcW w:w="240" w:type="dxa"/>
            <w:vAlign w:val="bottom"/>
          </w:tcPr>
          <w:p>
            <w:pPr>
              <w:spacing w:after="0"/>
              <w:rPr>
                <w:sz w:val="20"/>
                <w:szCs w:val="20"/>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11,402,037</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512,705</w:t>
            </w:r>
          </w:p>
        </w:tc>
        <w:tc>
          <w:tcPr>
            <w:tcW w:w="1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(2,313 )</w:t>
            </w:r>
          </w:p>
        </w:tc>
        <w:tc>
          <w:tcPr>
            <w:tcW w:w="12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7"/>
              </w:rPr>
              <w:t>$ (248,585 )</w:t>
            </w:r>
          </w:p>
        </w:tc>
        <w:tc>
          <w:tcPr>
            <w:tcW w:w="10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See</w:t>
            </w:r>
          </w:p>
        </w:tc>
        <w:tc>
          <w:tcPr>
            <w:tcW w:w="240" w:type="dxa"/>
            <w:vAlign w:val="bottom"/>
            <w:vMerge w:val="continue"/>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72"/>
              </w:rPr>
              <w:t>accompanying</w:t>
            </w:r>
          </w:p>
        </w:tc>
        <w:tc>
          <w:tcPr>
            <w:tcW w:w="3520" w:type="dxa"/>
            <w:vAlign w:val="bottom"/>
            <w:gridSpan w:val="14"/>
          </w:tcPr>
          <w:p>
            <w:pPr>
              <w:ind w:left="120"/>
              <w:spacing w:after="0"/>
              <w:rPr>
                <w:sz w:val="20"/>
                <w:szCs w:val="20"/>
                <w:color w:val="auto"/>
              </w:rPr>
            </w:pPr>
            <w:r>
              <w:rPr>
                <w:rFonts w:ascii="Times New Roman" w:cs="Times New Roman" w:eastAsia="Times New Roman" w:hAnsi="Times New Roman"/>
                <w:sz w:val="18"/>
                <w:szCs w:val="18"/>
                <w:color w:val="auto"/>
                <w:w w:val="99"/>
              </w:rPr>
              <w:t>notes to unaudited interim financial statements.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-3102610</wp:posOffset>
            </wp:positionV>
            <wp:extent cx="76835"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-3102610</wp:posOffset>
            </wp:positionV>
            <wp:extent cx="77470" cy="325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-3102610</wp:posOffset>
            </wp:positionV>
            <wp:extent cx="7747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-3102610</wp:posOffset>
            </wp:positionV>
            <wp:extent cx="68580"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-3102610</wp:posOffset>
            </wp:positionV>
            <wp:extent cx="6858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-3102610</wp:posOffset>
            </wp:positionV>
            <wp:extent cx="68580" cy="3257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-3102610</wp:posOffset>
            </wp:positionV>
            <wp:extent cx="68580"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3257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2207895</wp:posOffset>
            </wp:positionH>
            <wp:positionV relativeFrom="paragraph">
              <wp:posOffset>-685165</wp:posOffset>
            </wp:positionV>
            <wp:extent cx="7683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-685165</wp:posOffset>
            </wp:positionV>
            <wp:extent cx="7683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-685165</wp:posOffset>
            </wp:positionV>
            <wp:extent cx="7747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-685165</wp:posOffset>
            </wp:positionV>
            <wp:extent cx="6858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-685165</wp:posOffset>
            </wp:positionV>
            <wp:extent cx="6858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-685165</wp:posOffset>
            </wp:positionV>
            <wp:extent cx="6858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-685165</wp:posOffset>
            </wp:positionV>
            <wp:extent cx="6858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6"/>
                <w:szCs w:val="16"/>
                <w:color w:val="auto"/>
              </w:rPr>
            </w:pPr>
          </w:p>
        </w:tc>
        <w:tc>
          <w:tcPr>
            <w:tcW w:w="31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(27,718 )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(29,465 )</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(446 )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(355 )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(1,903 )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prepaid expenses and other long-term assets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(6,610 )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(442 )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(30,134 )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(21,895 )</w:t>
            </w:r>
          </w:p>
        </w:tc>
        <w:tc>
          <w:tcPr>
            <w:tcW w:w="0" w:type="dxa"/>
            <w:vAlign w:val="bottom"/>
          </w:tcPr>
          <w:p>
            <w:pPr>
              <w:spacing w:after="0"/>
              <w:rPr>
                <w:sz w:val="1"/>
                <w:szCs w:val="1"/>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 investing activities:</w:t>
            </w: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(7,191 )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(810 )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(952 )</w:t>
            </w:r>
          </w:p>
        </w:tc>
        <w:tc>
          <w:tcPr>
            <w:tcW w:w="0" w:type="dxa"/>
            <w:vAlign w:val="bottom"/>
          </w:tcPr>
          <w:p>
            <w:pPr>
              <w:spacing w:after="0"/>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(297 )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Pr>
          <w:p>
            <w:pPr>
              <w:spacing w:after="0"/>
              <w:rPr>
                <w:sz w:val="20"/>
                <w:szCs w:val="20"/>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(12,404 )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35,872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gain(loss) on marketable securities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3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-2785110</wp:posOffset>
            </wp:positionV>
            <wp:extent cx="685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-1833880</wp:posOffset>
            </wp:positionV>
            <wp:extent cx="6858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-1199515</wp:posOffset>
            </wp:positionV>
            <wp:extent cx="685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-882015</wp:posOffset>
            </wp:positionV>
            <wp:extent cx="685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1243330" cy="360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3330" cy="3600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fully integrated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94"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$362.3 million at March 31, 2023.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right="620" w:firstLine="479"/>
        <w:spacing w:after="0" w:line="282" w:lineRule="auto"/>
        <w:rPr>
          <w:sz w:val="20"/>
          <w:szCs w:val="20"/>
          <w:color w:val="auto"/>
        </w:rPr>
      </w:pPr>
      <w:r>
        <w:rPr>
          <w:rFonts w:ascii="Times New Roman" w:cs="Times New Roman" w:eastAsia="Times New Roman" w:hAnsi="Times New Roman"/>
          <w:sz w:val="18"/>
          <w:szCs w:val="18"/>
          <w:color w:val="auto"/>
        </w:rPr>
        <w:t>The Company believes that its cash, cash equivalents, and marketable securities as of March 31, 2023 will be sufficient to fund its operating expenses and capital expenditure requirements into the fourth quarter of 2024.</w:t>
      </w:r>
    </w:p>
    <w:p>
      <w:pPr>
        <w:spacing w:after="0" w:line="162"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87"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we have experienced, and may continue to experience cost increases. Although we may take measures to mitigate the effects of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costs of inflation are incurred.</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included in the Company’s financial statements for the year ended December 31, 2022 can be found in “Note 3. Summary of significant accounting policies” of the Company’s Annual Report on Form 10-K filed with the Securities and Exchange Commission (the “SEC”) on March 15, 2023. Those policies have not materially changed.</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firstLine="479"/>
        <w:spacing w:after="0" w:line="257"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months ended March 31, 2023 are not necessarily indicative of the results that may be expected for the year ending December 31, 2023. The accompanying unaudited interim financial statements should be read in conjunction with the annual audited financial statements and related notes as of and for the year ended December 31, 2022 found in the Company's Annual Report on Form 10-K filed with the SEC on March 15, 2023. Any reference in these notes to applicable guidance is meant to refer to GAAP as found in the Accounting Standards Codification (“ASC”) and Accounting Standards Updates (“ASU”) of the Financial Accounting Standards Board (“FASB”).</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March 31, 2023 and December 31, 2022.</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with Silicon Valley Bank, a division of First Citizens Bank, for the benefit of the landlord in connection with the Company’s Chestnut Run Lease. See Note 8 for further details.</w:t>
      </w:r>
    </w:p>
    <w:p>
      <w:pPr>
        <w:spacing w:after="0" w:line="162"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3"/>
                <w:szCs w:val="13"/>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18,201</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0"/>
                <w:szCs w:val="20"/>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772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7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and United States (“U.S.”) government debt securities that are classified as available-for-sale. The securities are carried at fair value with the unrealized gains and losses, net of tax, included in accumulated other comprehensive income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120" w:firstLine="479"/>
        <w:spacing w:after="0" w:line="271"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73"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30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131,468</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514,641</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11,868,020</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8,541,017</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51,837</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40,127</w:t>
            </w:r>
          </w:p>
        </w:tc>
        <w:tc>
          <w:tcPr>
            <w:tcW w:w="100" w:type="dxa"/>
            <w:vAlign w:val="bottom"/>
          </w:tcPr>
          <w:p>
            <w:pPr>
              <w:spacing w:after="0"/>
              <w:rPr>
                <w:sz w:val="20"/>
                <w:szCs w:val="20"/>
                <w:color w:val="auto"/>
              </w:rPr>
            </w:pPr>
          </w:p>
        </w:tc>
      </w:tr>
      <w:tr>
        <w:trPr>
          <w:trHeight w:val="276"/>
        </w:trPr>
        <w:tc>
          <w:tcPr>
            <w:tcW w:w="764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12,215,075</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9,115,785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180" w:firstLine="47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Company’s marketable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6"/>
                <w:szCs w:val="16"/>
                <w:color w:val="auto"/>
              </w:rPr>
            </w:pPr>
          </w:p>
        </w:tc>
        <w:tc>
          <w:tcPr>
            <w:tcW w:w="13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6"/>
                <w:szCs w:val="16"/>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144,740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(766 )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144,361</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100" w:type="dxa"/>
            <w:vAlign w:val="bottom"/>
          </w:tcPr>
          <w:p>
            <w:pPr>
              <w:spacing w:after="0"/>
              <w:rPr>
                <w:sz w:val="20"/>
                <w:szCs w:val="20"/>
                <w:color w:val="auto"/>
              </w:rPr>
            </w:pPr>
          </w:p>
        </w:tc>
      </w:tr>
      <w:tr>
        <w:trPr>
          <w:trHeight w:val="277"/>
        </w:trPr>
        <w:tc>
          <w:tcPr>
            <w:tcW w:w="3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154,452</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8"/>
        </w:trPr>
        <w:tc>
          <w:tcPr>
            <w:tcW w:w="3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163,208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(1,672 )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161,543</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100" w:type="dxa"/>
            <w:vAlign w:val="bottom"/>
          </w:tcPr>
          <w:p>
            <w:pPr>
              <w:spacing w:after="0"/>
              <w:rPr>
                <w:sz w:val="20"/>
                <w:szCs w:val="20"/>
                <w:color w:val="auto"/>
              </w:rPr>
            </w:pPr>
          </w:p>
        </w:tc>
      </w:tr>
      <w:tr>
        <w:trPr>
          <w:trHeight w:val="276"/>
        </w:trPr>
        <w:tc>
          <w:tcPr>
            <w:tcW w:w="37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172,815</w:t>
            </w:r>
          </w:p>
        </w:tc>
        <w:tc>
          <w:tcPr>
            <w:tcW w:w="3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-985520</wp:posOffset>
            </wp:positionV>
            <wp:extent cx="3720465" cy="1797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20465" cy="17970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77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10 months or less. As of March 31, 2023, the Company had 17 securities with a total fair market value of $138.5 million in an unrealized loss position. The Company believes that any unrealized losses associated with the decline in value of its securities is temporary, is primarily related to market factors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60" w:firstLine="479"/>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2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7"/>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center"/>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in active</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restart"/>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w w:val="99"/>
              </w:rPr>
              <w:t>assets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144,361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154,054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 (Money Market Funds)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5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161,543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25,996</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171,123</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-1293495</wp:posOffset>
            </wp:positionV>
            <wp:extent cx="208280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82800" cy="17970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11,190</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229"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1" w:name="page12"/>
    <w:bookmarkEnd w:id="11"/>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w:t>
      </w:r>
    </w:p>
    <w:p>
      <w:pPr>
        <w:spacing w:after="0" w:line="22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“Lease”).</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annual lease payments under the Lease at March 31, 2023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9"/>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(remaining)</w:t>
            </w: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0"/>
                <w:szCs w:val="20"/>
                <w:color w:val="auto"/>
              </w:rPr>
            </w:pPr>
          </w:p>
        </w:tc>
      </w:tr>
      <w:tr>
        <w:trPr>
          <w:trHeight w:val="237"/>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and noncurrent lease liability</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Pr>
          <w:p>
            <w:pPr>
              <w:spacing w:after="0"/>
              <w:rPr>
                <w:sz w:val="20"/>
                <w:szCs w:val="20"/>
                <w:color w:val="auto"/>
              </w:rPr>
            </w:pPr>
          </w:p>
        </w:tc>
      </w:tr>
      <w:tr>
        <w:trPr>
          <w:trHeight w:val="20"/>
        </w:trPr>
        <w:tc>
          <w:tcPr>
            <w:tcW w:w="9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August 2022, we entered into an amendment (the “Lease Amendment”) to the lease agreement for office and lab space at Chestnut Run Plaza in Wilmington, Delaware (the “Chestnut Run Lease”). The Chestnut Run Lease has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rentable square feet, located at Chestnut Run Plaza in Wilmington, Delaware (the Premises). Under the terms of the Chestnut Run Lease, the landlord will provide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the tenant improvements in excess of the landlord's allowance will be treated as prepaid rent and will increase the right-of-use asset once the accounting commencement date occurs. As of March 31, 2023, the Company recorded $6.5 million of prepaid rent. Upon the Commencement Date, the Company will recognize a right-of-use asset and operating lease liability in accordance with ASC 842, Leases. The Chestnut Run Lease has an initial term of 162 months with 3 five-year extension options and certain expansion rights. The estimated rent payments related to the Chestnut Run Lease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7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43"/>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 (remaining)</w:t>
            </w:r>
          </w:p>
        </w:tc>
        <w:tc>
          <w:tcPr>
            <w:tcW w:w="472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1,712</w:t>
            </w: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7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2,860</w:t>
            </w:r>
          </w:p>
        </w:tc>
      </w:tr>
      <w:tr>
        <w:trPr>
          <w:trHeight w:val="23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2,998</w:t>
            </w: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7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3,073</w:t>
            </w:r>
          </w:p>
        </w:tc>
      </w:tr>
      <w:tr>
        <w:trPr>
          <w:trHeight w:val="23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3,149</w:t>
            </w:r>
          </w:p>
        </w:tc>
      </w:tr>
      <w:tr>
        <w:trPr>
          <w:trHeight w:val="247"/>
        </w:trPr>
        <w:tc>
          <w:tcPr>
            <w:tcW w:w="5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7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28,844</w:t>
            </w:r>
          </w:p>
        </w:tc>
      </w:tr>
    </w:tbl>
    <w:p>
      <w:pPr>
        <w:spacing w:after="0" w:line="198"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with Silicon Valley Bank, a division of First Citizens Bank, of $4.0 million, which is included in the balance sheet as restricted cash as of March 31, 2023. The security deposit may be reduced to $0.5 million over time in accordance with the terms of the Chestnut Run Lease.</w:t>
      </w:r>
    </w:p>
    <w:p>
      <w:pPr>
        <w:spacing w:after="0" w:line="176"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third quarter of 2022, the Company was approved for an additional grant from the State of Delaware for the development of lab space in the amount of $1.0 million. In 2022, the Company received cash of $3.4 million from the grants for the development of lab space. The Company has deferred the recognition of these grant funds as they relate to capitalized costs and has classified them as long-term liabilities on the balance sheet. The Company will recognize the grant funds in other income as grant income over the useful life of the related assets. If, after two years from the disbursement date, the incurred costs for lab space are less than the $3.4 million received, the Company is required to pay back the difference between total funds received and allowable costs incurred. Additionally, if the Company leaves the State of Delaware within five years of the disbursement, the Company is required to return an amount equal to the amount of grant funds disbursed on a pro-rated basis.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Rent expense was $0.5 million for both the three months ended March 31, 2023 and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200" w:lineRule="exact"/>
        <w:rPr>
          <w:sz w:val="20"/>
          <w:szCs w:val="20"/>
          <w:color w:val="auto"/>
        </w:rPr>
      </w:pPr>
    </w:p>
    <w:p>
      <w:pPr>
        <w:ind w:right="460" w:firstLine="479"/>
        <w:spacing w:after="0" w:line="228"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both the three months ended March 31, 2023 and 2022, the Company made matching contributions of $0.2 million.</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29"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CROs to assist in the performance of research and development activities. Expenditures to CROs will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March 31, 2023, 5,040,915 shares were available for future grants.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88"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gridSpan w:val="5"/>
          </w:tcPr>
          <w:p>
            <w:pPr>
              <w:jc w:val="right"/>
              <w:ind w:right="9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6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56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65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spacing w:after="0"/>
              <w:rPr>
                <w:sz w:val="12"/>
                <w:szCs w:val="12"/>
                <w:color w:val="auto"/>
              </w:rPr>
            </w:pPr>
          </w:p>
        </w:tc>
        <w:tc>
          <w:tcPr>
            <w:tcW w:w="1680" w:type="dxa"/>
            <w:vAlign w:val="bottom"/>
            <w:gridSpan w:val="3"/>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560" w:type="dxa"/>
            <w:vAlign w:val="bottom"/>
          </w:tcPr>
          <w:p>
            <w:pPr>
              <w:spacing w:after="0"/>
              <w:rPr>
                <w:sz w:val="16"/>
                <w:szCs w:val="16"/>
                <w:color w:val="auto"/>
              </w:rPr>
            </w:pPr>
          </w:p>
        </w:tc>
        <w:tc>
          <w:tcPr>
            <w:tcW w:w="16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6"/>
                <w:szCs w:val="16"/>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3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9,390,930</w:t>
            </w: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12.08</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2,691,898</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(15,974 )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(198,834 )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March 31, 2023</w:t>
            </w:r>
          </w:p>
        </w:tc>
        <w:tc>
          <w:tcPr>
            <w:tcW w:w="13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11,868,020</w:t>
            </w:r>
          </w:p>
        </w:tc>
        <w:tc>
          <w:tcPr>
            <w:tcW w:w="3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10.82</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March 31, 2023</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4,106,669</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-2708275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-2691130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-702310</wp:posOffset>
            </wp:positionV>
            <wp:extent cx="76835" cy="205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8"/>
          <w:szCs w:val="18"/>
          <w:color w:val="auto"/>
        </w:rPr>
        <w:t>At March 31, 2023, the aggregate intrinsic value of outstanding options and exercisable options was $9.1 million and $6.6 million, respectively.</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March 31, 2023 under the Plan: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1"/>
                <w:szCs w:val="11"/>
                <w:color w:val="auto"/>
              </w:rPr>
            </w:pPr>
          </w:p>
        </w:tc>
        <w:tc>
          <w:tcPr>
            <w:tcW w:w="80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6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6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160" w:type="dxa"/>
            <w:vAlign w:val="bottom"/>
          </w:tcPr>
          <w:p>
            <w:pPr>
              <w:spacing w:after="0"/>
              <w:rPr>
                <w:sz w:val="16"/>
                <w:szCs w:val="16"/>
                <w:color w:val="auto"/>
              </w:rPr>
            </w:pPr>
          </w:p>
        </w:tc>
        <w:tc>
          <w:tcPr>
            <w:tcW w:w="8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$0.31</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$4.88</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2,927,179</w:t>
            </w:r>
          </w:p>
        </w:tc>
        <w:tc>
          <w:tcPr>
            <w:tcW w:w="24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1,675,468</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$4.89</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$7.50</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3,889,718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$7.51</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$13.04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3,207,179</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1,552,831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$13.05 - $88.98</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1,843,944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859,670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40" w:type="dxa"/>
            <w:vAlign w:val="bottom"/>
            <w:tcBorders>
              <w:bottom w:val="single" w:sz="8" w:color="CFF0FC"/>
            </w:tcBorders>
            <w:shd w:val="clear" w:color="auto" w:fill="CFF0FC"/>
          </w:tcPr>
          <w:p>
            <w:pPr>
              <w:spacing w:after="0"/>
              <w:rPr>
                <w:sz w:val="23"/>
                <w:szCs w:val="23"/>
                <w:color w:val="auto"/>
              </w:rPr>
            </w:pPr>
          </w:p>
        </w:tc>
        <w:tc>
          <w:tcPr>
            <w:tcW w:w="46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11,868,020</w:t>
            </w:r>
          </w:p>
        </w:tc>
        <w:tc>
          <w:tcPr>
            <w:tcW w:w="240" w:type="dxa"/>
            <w:vAlign w:val="bottom"/>
            <w:tcBorders>
              <w:bottom w:val="single" w:sz="8" w:color="CFF0FC"/>
            </w:tcBorders>
            <w:shd w:val="clear" w:color="auto" w:fill="CFF0FC"/>
          </w:tcPr>
          <w:p>
            <w:pPr>
              <w:spacing w:after="0"/>
              <w:rPr>
                <w:sz w:val="23"/>
                <w:szCs w:val="23"/>
                <w:color w:val="auto"/>
              </w:rPr>
            </w:pPr>
          </w:p>
        </w:tc>
        <w:tc>
          <w:tcPr>
            <w:tcW w:w="10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0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4,106,669</w:t>
            </w:r>
          </w:p>
        </w:tc>
        <w:tc>
          <w:tcPr>
            <w:tcW w:w="2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firstLine="479"/>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$5.12 and $7.62 per share for the three months ended March 31, 2023 and 2022, respectively. The aggregate intrinsic value of options exercised was $72 thousand for the three months ended March 31, 2023. The Company recorded stock-based compensation expense of $5.9 million and $6.5 million for the three months ended March 31, 2023 and 2022, respectively, related to stock options. As of March 31, 2023, the total unrecognized compensation expense related to unvested stock option awards was $56.0 million, which the Company expects to recognize over a weighted-average period of 2.56 years.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7"/>
        </w:trPr>
        <w:tc>
          <w:tcPr>
            <w:tcW w:w="76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45"/>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62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50"/>
        </w:trPr>
        <w:tc>
          <w:tcPr>
            <w:tcW w:w="86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-610870</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229" w:lineRule="exact"/>
        <w:rPr>
          <w:sz w:val="20"/>
          <w:szCs w:val="20"/>
          <w:color w:val="auto"/>
        </w:rPr>
      </w:pPr>
    </w:p>
    <w:p>
      <w:pPr>
        <w:ind w:right="140" w:firstLine="47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19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92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201,716</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(70,248 )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2023</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131,468</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420" w:firstLine="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$0.2 million for both the three months ended March 31, 2023 and 2022, related to RSAs. As of March 31, 2023, the total unrecognized expense related to all RSAs was $0.4 million, which the Company expects to recognize over a weighted-average period of 0.92 years.</w:t>
      </w:r>
    </w:p>
    <w:p>
      <w:pPr>
        <w:spacing w:after="0" w:line="176"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37" w:right="279" w:bottom="1440" w:gutter="0" w:footer="0" w:header="0"/>
        </w:sectPr>
      </w:pPr>
    </w:p>
    <w:bookmarkStart w:id="14" w:name="page15"/>
    <w:bookmarkEnd w:id="14"/>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86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2023</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March 31, 2023</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163,750</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of $72 thousand and $24 thousand for the three months ended March 31, 2023 and 2022, respectively, related to RSUs. At March 31, 2023, the total unrecognized expense related to the RSUs was $0.8 million, which the Company expects to recognize over 2.86 years.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March 31, 2023, had 1,789,149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On January 1, 2023, 478,990 shares were added to the ESPP.</w:t>
      </w:r>
    </w:p>
    <w:p>
      <w:pPr>
        <w:spacing w:after="0" w:line="187" w:lineRule="exact"/>
        <w:rPr>
          <w:sz w:val="20"/>
          <w:szCs w:val="20"/>
          <w:color w:val="auto"/>
        </w:rPr>
      </w:pPr>
    </w:p>
    <w:p>
      <w:pPr>
        <w:ind w:right="14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for both the three months ended March 31, 2023 and 2022 related to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March 15, 2023. These forward-looking statements may include, but are not limited to, statements regarding our future results of operations and financial position, the impact of the ongoing COVID-19 pandemic, inflation and interest rate risk,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“strive,”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87" w:lineRule="exact"/>
        <w:rPr>
          <w:sz w:val="20"/>
          <w:szCs w:val="20"/>
          <w:color w:val="auto"/>
        </w:rPr>
      </w:pPr>
    </w:p>
    <w:p>
      <w:pPr>
        <w:ind w:right="36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multiple investigational new drug applications, or INDs, and successfully advanced several programs into clinical trials. In addition, we have other unique programs in various stages of preclinical development.</w:t>
      </w:r>
    </w:p>
    <w:p>
      <w:pPr>
        <w:spacing w:after="0" w:line="192"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spanning methyltransferases, kinases, protein-protein interactions and targeted protein degraders.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180" w:lineRule="exact"/>
        <w:rPr>
          <w:sz w:val="20"/>
          <w:szCs w:val="20"/>
          <w:color w:val="auto"/>
        </w:rPr>
      </w:pPr>
    </w:p>
    <w:p>
      <w:pPr>
        <w:jc w:val="both"/>
        <w:ind w:right="40" w:firstLine="479"/>
        <w:spacing w:after="0" w:line="261"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we believe we can generate proof-of-concept clinical data in the next 12 to 24 months to guide our future regulatory pathways to approval. Our CDK9 and MCL1 inhibitors are selective and potent, with potentially superior safety profiles. Our next generation CDK4/6 inhibitor is specifically designed to be a brain and tissue penetrant and our SMARCA2 molecule is a unique, first-in-class protein degrader, targeting specific patient populations.</w:t>
      </w:r>
    </w:p>
    <w:p>
      <w:pPr>
        <w:spacing w:after="0" w:line="180"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180"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 A Phase 1 trial is underway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right="20"/>
        <w:spacing w:after="0" w:line="282" w:lineRule="auto"/>
        <w:rPr>
          <w:sz w:val="20"/>
          <w:szCs w:val="20"/>
          <w:color w:val="auto"/>
        </w:rPr>
      </w:pPr>
      <w:r>
        <w:rPr>
          <w:rFonts w:ascii="Times New Roman" w:cs="Times New Roman" w:eastAsia="Times New Roman" w:hAnsi="Times New Roman"/>
          <w:sz w:val="18"/>
          <w:szCs w:val="18"/>
          <w:color w:val="auto"/>
        </w:rPr>
        <w:t>evaluating escalating IV doses of PRT2527 as a monotherapy in patients with selected solid tumors. On April 18, 2023 we presented the following findings at the 2023 American Association for Cancer Research annual meeting, or the 2023 AACR Annual Meeting:</w:t>
      </w:r>
    </w:p>
    <w:p>
      <w:pPr>
        <w:spacing w:after="0" w:line="54" w:lineRule="exact"/>
        <w:rPr>
          <w:sz w:val="20"/>
          <w:szCs w:val="20"/>
          <w:color w:val="auto"/>
        </w:rPr>
      </w:pPr>
    </w:p>
    <w:p>
      <w:pPr>
        <w:ind w:left="1020" w:right="80" w:hanging="503"/>
        <w:spacing w:after="0" w:line="25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adults with advanced solid tumors, PRT2527 was generally well-tolerated with manageable neutropenia and absence of significant gastrointestinal events or hepatotoxicity. The short half-life of PRT2527 enables acute CDK9 inhibition over a defined period making it potentially suitable for weekly administration without inducing significant toxicity. The observed dose-dependent downregulation of CDK9 transcriptional targets – MYC and MCL-1 mRNA expression in PBMCs isolated from patients treated with PRT2527 –was consistent with the degree of target engagement required for preclinical efficacy. The 15 m/mg2 QW dose of PRT2527 was selected for further evaluation in dose-confirmation cohort.</w:t>
      </w:r>
    </w:p>
    <w:p>
      <w:pPr>
        <w:spacing w:after="0" w:line="187" w:lineRule="exact"/>
        <w:rPr>
          <w:sz w:val="20"/>
          <w:szCs w:val="20"/>
          <w:color w:val="auto"/>
        </w:rPr>
      </w:pPr>
    </w:p>
    <w:p>
      <w:pPr>
        <w:ind w:right="20" w:firstLine="479"/>
        <w:spacing w:after="0" w:line="282" w:lineRule="auto"/>
        <w:rPr>
          <w:sz w:val="20"/>
          <w:szCs w:val="20"/>
          <w:color w:val="auto"/>
        </w:rPr>
      </w:pPr>
      <w:r>
        <w:rPr>
          <w:rFonts w:ascii="Times New Roman" w:cs="Times New Roman" w:eastAsia="Times New Roman" w:hAnsi="Times New Roman"/>
          <w:sz w:val="18"/>
          <w:szCs w:val="18"/>
          <w:color w:val="auto"/>
        </w:rPr>
        <w:t>The overall safety profile observed in this study supports further development of PRT2527 in combination with other targeted therapies, including in hematologic malignancies. We expect to present a recommended phase two dose, or RP2D, in hematological malignancies in the second half of 2023.</w:t>
      </w:r>
    </w:p>
    <w:p>
      <w:pPr>
        <w:spacing w:after="0" w:line="162" w:lineRule="exact"/>
        <w:rPr>
          <w:sz w:val="20"/>
          <w:szCs w:val="20"/>
          <w:color w:val="auto"/>
        </w:rPr>
      </w:pPr>
    </w:p>
    <w:p>
      <w:pPr>
        <w:ind w:right="80" w:firstLine="479"/>
        <w:spacing w:after="0" w:line="256" w:lineRule="auto"/>
        <w:rPr>
          <w:sz w:val="20"/>
          <w:szCs w:val="20"/>
          <w:color w:val="auto"/>
        </w:rPr>
      </w:pPr>
      <w:r>
        <w:rPr>
          <w:rFonts w:ascii="Times New Roman" w:cs="Times New Roman" w:eastAsia="Times New Roman" w:hAnsi="Times New Roman"/>
          <w:sz w:val="18"/>
          <w:szCs w:val="18"/>
          <w:color w:val="auto"/>
        </w:rPr>
        <w:t>Our MCL1 candidate, PRT1419,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The IV formulation of PRT1419 has demonstrated a desirable pharmacokinetic, pharmacodynamic and safety profile with potential for differentiation from competitor compounds. We are enrolling patients in a Phase 1 solid tumor dose escalation and confirmation study, including a significant number of patients at the recommended expansion dose of 80 mg/m2. On April 18, 2023 we presented the following findings at 2023 AACR Annual Meeting:</w:t>
      </w:r>
    </w:p>
    <w:p>
      <w:pPr>
        <w:spacing w:after="0" w:line="79" w:lineRule="exact"/>
        <w:rPr>
          <w:sz w:val="20"/>
          <w:szCs w:val="20"/>
          <w:color w:val="auto"/>
        </w:rPr>
      </w:pPr>
    </w:p>
    <w:p>
      <w:pPr>
        <w:ind w:left="1020" w:hanging="503"/>
        <w:spacing w:after="0" w:line="255"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PRT1419 demonstrated acceptable safety and tolerability profile in patients with advanced and metastatic solid tumors, with the most common treatment-related adverse events of nausea, vomiting, and diarrhea. Neutropenia was deemed to be dose related. No cardiac toxicity was observed. Pharmacokinetics/pharmacodynamics and safety data in the 80 mg/m2 QW PRT1419 dose cohort support further evaluation of this dose in future studies. Induction of activated-BAX and cleaved caspase-3 was observed at 80mg/m2 and 120 mg/m2 QW PRT1419, suggesting successful MCL-1 inhibition. No tumor reductions met response criteria. Further investigation of PRT1419 in patients with hematologic malignancy is ongoing. We intend to evaluate PRT1419 in hematology malignancies in combinations, with the goal of establishing safety, clinical activity and a RP2D in hematology malignancies in the second half of 2023.</w:t>
      </w:r>
    </w:p>
    <w:p>
      <w:pPr>
        <w:spacing w:after="0" w:line="189" w:lineRule="exact"/>
        <w:rPr>
          <w:sz w:val="20"/>
          <w:szCs w:val="20"/>
          <w:color w:val="auto"/>
        </w:rPr>
      </w:pPr>
    </w:p>
    <w:p>
      <w:pPr>
        <w:ind w:right="220" w:firstLine="479"/>
        <w:spacing w:after="0" w:line="261" w:lineRule="auto"/>
        <w:rPr>
          <w:sz w:val="20"/>
          <w:szCs w:val="20"/>
          <w:color w:val="auto"/>
        </w:rPr>
      </w:pPr>
      <w:r>
        <w:rPr>
          <w:rFonts w:ascii="Times New Roman" w:cs="Times New Roman" w:eastAsia="Times New Roman" w:hAnsi="Times New Roman"/>
          <w:sz w:val="18"/>
          <w:szCs w:val="18"/>
          <w:color w:val="auto"/>
        </w:rPr>
        <w:t>The clinical pharmacodynamic profile of PRT1419 demonstrates the desired level of target engagement, as measured by caspase activation in peripheral mononuclear cells and reduction of CD14+ monocytes to levels associated with tumor regressions in preclinical models of hematological cancers. Advancement in hematological cancers will include monotherapy expansions in CLL and NHL based on a strong rationale for MCL1 inhibition and the need for novel treatments in second line.</w:t>
      </w:r>
    </w:p>
    <w:p>
      <w:pPr>
        <w:spacing w:after="0" w:line="180"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In July 2022, we received IND clearance for PRT3645, a brain and tissue penetrant molecule that potently targets CDK4/6 with a biased selectivity for CDK4. A Phase 1 clinical trial has been initiated for PRT3645 in biomarker enriched patients with select tumor types including sarcomas, mesothelioma, gliomas, head and neck cancers and non-small cell lung cancer, in addition to breast cancer with or without brain metastases. The Company expects to provide an update on a dose escalation phase of PRT3645 by the end of 2023.</w:t>
      </w:r>
    </w:p>
    <w:p>
      <w:pPr>
        <w:spacing w:after="0" w:line="180"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In October 2022, we received IND clearance for PRT3789, a potent and selective SMARCA2 protein degrader. SMARCA2 degradation has the greatest potential in patients with SMARCA4 deficient cancers, including approximately 5-10% of non-small cell lung cancers. A Phase 1 dose escalation study of PRT3789 is ongoing. Prelude’s discovery team has also identified orally bioavailable and highly selective SMARCA2 degrader leads which were presented as a poster at the 2023 AACR Annual Meeting.</w:t>
      </w:r>
    </w:p>
    <w:p>
      <w:pPr>
        <w:spacing w:after="0" w:line="180" w:lineRule="exact"/>
        <w:rPr>
          <w:sz w:val="20"/>
          <w:szCs w:val="20"/>
          <w:color w:val="auto"/>
        </w:rPr>
      </w:pPr>
    </w:p>
    <w:p>
      <w:pPr>
        <w:jc w:val="both"/>
        <w:ind w:right="420" w:firstLine="479"/>
        <w:spacing w:after="0" w:line="266" w:lineRule="auto"/>
        <w:rPr>
          <w:sz w:val="20"/>
          <w:szCs w:val="20"/>
          <w:color w:val="auto"/>
        </w:rPr>
      </w:pPr>
      <w:r>
        <w:rPr>
          <w:rFonts w:ascii="Times New Roman" w:cs="Times New Roman" w:eastAsia="Times New Roman" w:hAnsi="Times New Roman"/>
          <w:sz w:val="18"/>
          <w:szCs w:val="18"/>
          <w:color w:val="auto"/>
        </w:rPr>
        <w:t>In November 2022, we announced that we will discontinue the internal development of our two clinical candidates that are designed to be oral, potent and selective inhibitors of protein arginine methyltransferase 5, or PRMT5. Discontinuation of the PRMT5 programs will allow us to focus our efforts on our CDK9, MCL1, CDK4/6 and SMARCA2 programs.</w:t>
      </w:r>
    </w:p>
    <w:p>
      <w:pPr>
        <w:spacing w:after="0" w:line="176"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$27.7 million and $29.5 million for the three months ended March 31, 2023 and 2022, respectively. As of March 31, 2023, we had an accumulated deficit of $362.3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ind w:right="20"/>
        <w:spacing w:after="0" w:line="256" w:lineRule="auto"/>
        <w:rPr>
          <w:sz w:val="20"/>
          <w:szCs w:val="20"/>
          <w:color w:val="auto"/>
        </w:rPr>
      </w:pPr>
      <w:r>
        <w:rPr>
          <w:rFonts w:ascii="Times New Roman" w:cs="Times New Roman" w:eastAsia="Times New Roman" w:hAnsi="Times New Roman"/>
          <w:sz w:val="18"/>
          <w:szCs w:val="18"/>
          <w:color w:val="auto"/>
        </w:rPr>
        <w:t>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87"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ind w:right="40" w:firstLine="479"/>
        <w:spacing w:after="0" w:line="282" w:lineRule="auto"/>
        <w:rPr>
          <w:sz w:val="20"/>
          <w:szCs w:val="20"/>
          <w:color w:val="auto"/>
        </w:rPr>
      </w:pPr>
      <w:r>
        <w:rPr>
          <w:rFonts w:ascii="Times New Roman" w:cs="Times New Roman" w:eastAsia="Times New Roman" w:hAnsi="Times New Roman"/>
          <w:sz w:val="18"/>
          <w:szCs w:val="18"/>
          <w:color w:val="auto"/>
        </w:rPr>
        <w:t>As of March 31, 2023, we had $172.3 million in cash, cash equivalents, and marketable securities. We expect our existing cash, cash equivalents and marketable securities will enable us to fund our operating expense and capital expenditures into the fourth quarter of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6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8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60" w:firstLine="478"/>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and potential commercialization efforts, and as a result of increased costs associated with operating as a public company. These increases will likely include increased costs related to the hiring of additional personnel and fees to outside consultants, legal support and accountants,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 in the State of Delaware.</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2023 and 2022</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2023 and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80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2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(987 )</w:t>
            </w: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(1,173 )</w:t>
            </w:r>
          </w:p>
        </w:tc>
        <w:tc>
          <w:tcPr>
            <w:tcW w:w="0" w:type="dxa"/>
            <w:vAlign w:val="bottom"/>
          </w:tcPr>
          <w:p>
            <w:pPr>
              <w:spacing w:after="0"/>
              <w:rPr>
                <w:sz w:val="1"/>
                <w:szCs w:val="1"/>
                <w:color w:val="auto"/>
              </w:rPr>
            </w:pPr>
          </w:p>
        </w:tc>
      </w:tr>
      <w:tr>
        <w:trPr>
          <w:trHeight w:val="241"/>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(29,115</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(30,288</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(27,718</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-668020</wp:posOffset>
            </wp:positionV>
            <wp:extent cx="7747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-8255</wp:posOffset>
            </wp:positionV>
            <wp:extent cx="774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from $22.8 million for the three months ended March 31, 2022 to $21.8 million for the three months ended March 31, 2023. Research and development expenses decreased primarily due to the timing of our clinical research programs. Research and development expenses may fluctuate from period to period depending upon the stage of certain projects and the level of pre-clinical and clinical trial-related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9" w:name="page20"/>
    <w:bookmarkEnd w:id="19"/>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PRMT5 (PRT543 and PRT811)</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PRT1419 (Oral and IV)</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PRT3645</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12,347</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7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8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expenses were consistent for the three months ended March 31, 2023 as compared to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340" w:firstLine="478"/>
        <w:spacing w:after="0" w:line="282" w:lineRule="auto"/>
        <w:rPr>
          <w:sz w:val="20"/>
          <w:szCs w:val="20"/>
          <w:color w:val="auto"/>
        </w:rPr>
      </w:pPr>
      <w:r>
        <w:rPr>
          <w:rFonts w:ascii="Times New Roman" w:cs="Times New Roman" w:eastAsia="Times New Roman" w:hAnsi="Times New Roman"/>
          <w:sz w:val="18"/>
          <w:szCs w:val="18"/>
          <w:color w:val="auto"/>
        </w:rPr>
        <w:t>Other income, net increased from $0.8 million for the three months ended March 31, 2022, to $1.4 million for the three months ended March 31, 2023 primarily due to interest earned on the investment of our cash balance.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March 31, 2023, we had $172.3 million in cash, cash equivalents and marketable securities and had an accumulated deficit of $362.3 million. We expect our existing cash, cash equivalents and marketable securities will enable us to fund our operating expenses and capital expenditure requirements into the fourth quarter of 2024. We have based these estimates on assumptions that may prove to be imprecise, and we could utilize our available capital resources sooner than we expect.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6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4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60" w:hanging="473"/>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ind w:left="960" w:hanging="47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40" w:hanging="473"/>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4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80"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20" w:type="dxa"/>
            <w:vAlign w:val="bottom"/>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(30,134</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17,999</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(269 )</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(12,404 )</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we used $30.1 million of cash in operating activities. Cash used in operating activities reflected our net loss of $27.7 million and a $8.9 million net increase in our operating assets and liabilities, offset by noncash charges of $6.5 million, which primarily consisted of $6.3 million in stock-based compensation. The primary use of cash was to fund our operations related to the development of our product candidates.</w:t>
      </w:r>
    </w:p>
    <w:p>
      <w:pPr>
        <w:spacing w:after="0" w:line="180"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we used $21.9 million of cash in operating activities. Cash used in operating activities reflected our net loss of $29.5 million and a $0.7 million net increase in our operating assets and liabilities, offset by noncash charges of $8.3 million, which consisted of $6.8 million in stock-based compensation, $0.7 million in amortization of premiums and discounts on marketable securities, $0.4 million noncash lease expense, and $0.3 million in depreciation. The primary use of cash was to fund our operations related to the development of our product candidates.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60" w:firstLine="478"/>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2023, net cash provided by investing activities of $18.0 million consisted primarily of $26.0 million in proceeds from maturities of marketable securities partially offset by $7.2 million used for purchases of marketable securities. During the three months ended March 31, 2022, net cash provided by investing activities consisted primarily of $42.5 million in proceeds from maturities of marketable securities.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360" w:firstLine="47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net cash used in financing activities was $0.3 million related to the payment of offering costs as compared to net cash provided by financing activities of $0.2 million for the three months ended March 31, 2022 from the exercise of stock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20"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there were no material changes to our critical accounting policies and estimates from those described under the heading “Management’s Discussion and Analysis of Financial Condition and Results of Operations-Critical Accounting Policies and Estimates” in our Annual Report on Form 10-K filed with the Securities and Exchange Commission on March 15,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0" w:lineRule="exact"/>
        <w:rPr>
          <w:sz w:val="20"/>
          <w:szCs w:val="20"/>
          <w:color w:val="auto"/>
        </w:rPr>
      </w:pPr>
    </w:p>
    <w:p>
      <w:pPr>
        <w:ind w:right="60" w:firstLine="479"/>
        <w:spacing w:after="0" w:line="239"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in which we have total annual gross revenues of at least $1.235 billion, or (b) in which we are deemed to be a large accelerated filer, which means the market value of our common stock that is held by non-affiliates exceeds $700.0 million as of the prior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 the date on which we have issued more than $1.0 billion in non-convertible debt securities during the prior three-year period and (3) December 31,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20" w:firstLine="479"/>
        <w:spacing w:after="0" w:line="274" w:lineRule="auto"/>
        <w:rPr>
          <w:sz w:val="20"/>
          <w:szCs w:val="20"/>
          <w:color w:val="auto"/>
        </w:rPr>
      </w:pPr>
      <w:r>
        <w:rPr>
          <w:rFonts w:ascii="Times New Roman" w:cs="Times New Roman" w:eastAsia="Times New Roman" w:hAnsi="Times New Roman"/>
          <w:sz w:val="17"/>
          <w:szCs w:val="17"/>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ind w:right="20" w:firstLine="479"/>
        <w:spacing w:after="0" w:line="255"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$1.235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9" w:lineRule="exact"/>
        <w:rPr>
          <w:sz w:val="20"/>
          <w:szCs w:val="20"/>
          <w:color w:val="auto"/>
        </w:rPr>
      </w:pPr>
    </w:p>
    <w:p>
      <w:pPr>
        <w:ind w:right="240" w:firstLine="479"/>
        <w:spacing w:after="0" w:line="255"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2" w:name="page23"/>
    <w:bookmarkEnd w:id="22"/>
    <w:p>
      <w:pPr>
        <w:ind w:right="20"/>
        <w:spacing w:after="0" w:line="282" w:lineRule="auto"/>
        <w:rPr>
          <w:sz w:val="20"/>
          <w:szCs w:val="20"/>
          <w:color w:val="auto"/>
        </w:rPr>
      </w:pPr>
      <w:r>
        <w:rPr>
          <w:rFonts w:ascii="Times New Roman" w:cs="Times New Roman" w:eastAsia="Times New Roman" w:hAnsi="Times New Roman"/>
          <w:sz w:val="18"/>
          <w:szCs w:val="18"/>
          <w:color w:val="auto"/>
        </w:rPr>
        <w:t>financial statements in our Annual Report on Form 10-K and, similar to emerging growth companies, smaller reporting companies have reduced disclosure obligations regarding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of March 31, 2023,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March 31, 2023,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6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March 31, 2023,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3" w:name="page24"/>
    <w:bookmarkEnd w:id="2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Risk factors that may affect our business and financial results are discussed within Item 1A “Risk Factors” of our Annual Report on Form 10-K filed with the Securities and Exchange Commission on March 15, 2023, or 2022 Form 10-K. There have been no material changes to the disclosures relating to this item from those set forth in our 2022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81"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120" w:type="dxa"/>
            <w:vAlign w:val="bottom"/>
            <w:gridSpan w:val="11"/>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Exhibit Filing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11"/>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40" w:type="dxa"/>
            <w:vAlign w:val="bottom"/>
            <w:gridSpan w:val="15"/>
          </w:tcPr>
          <w:p>
            <w:pPr>
              <w:spacing w:after="0" w:line="182"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Amended and Restated Bylaws of Prelude Therapeutics Incorporated</w:t>
              </w:r>
            </w:hyperlink>
          </w:p>
        </w:tc>
        <w:tc>
          <w:tcPr>
            <w:tcW w:w="54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1000" w:type="dxa"/>
            <w:vAlign w:val="bottom"/>
          </w:tcPr>
          <w:p>
            <w:pPr>
              <w:jc w:val="right"/>
              <w:ind w:right="76"/>
              <w:spacing w:after="0" w:line="182" w:lineRule="exact"/>
              <w:rPr>
                <w:sz w:val="20"/>
                <w:szCs w:val="20"/>
                <w:color w:val="auto"/>
              </w:rPr>
            </w:pPr>
            <w:r>
              <w:rPr>
                <w:rFonts w:ascii="Times New Roman" w:cs="Times New Roman" w:eastAsia="Times New Roman" w:hAnsi="Times New Roman"/>
                <w:sz w:val="18"/>
                <w:szCs w:val="18"/>
                <w:color w:val="auto"/>
              </w:rPr>
              <w:t>001-39527</w:t>
            </w:r>
          </w:p>
        </w:tc>
        <w:tc>
          <w:tcPr>
            <w:tcW w:w="92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4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January 23,</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7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gridSpan w:val="2"/>
            <w:vMerge w:val="restart"/>
          </w:tcPr>
          <w:p>
            <w:pPr>
              <w:spacing w:after="0"/>
              <w:rPr>
                <w:rFonts w:ascii="Times New Roman" w:cs="Times New Roman" w:eastAsia="Times New Roman" w:hAnsi="Times New Roman"/>
                <w:sz w:val="12"/>
                <w:szCs w:val="12"/>
                <w:color w:val="0000FF"/>
                <w:w w:val="91"/>
              </w:rPr>
            </w:pPr>
            <w:hyperlink r:id="rId137">
              <w:r>
                <w:rPr>
                  <w:rFonts w:ascii="Times New Roman" w:cs="Times New Roman" w:eastAsia="Times New Roman" w:hAnsi="Times New Roman"/>
                  <w:sz w:val="12"/>
                  <w:szCs w:val="12"/>
                  <w:color w:val="0000FF"/>
                  <w:w w:val="91"/>
                </w:rPr>
                <w:t>SM</w:t>
              </w:r>
            </w:hyperlink>
          </w:p>
        </w:tc>
        <w:tc>
          <w:tcPr>
            <w:tcW w:w="13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44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88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2"/>
            <w:vMerge w:val="restart"/>
          </w:tcPr>
          <w:p>
            <w:pPr>
              <w:spacing w:after="0" w:line="202" w:lineRule="exact"/>
              <w:rPr>
                <w:rFonts w:ascii="Times New Roman" w:cs="Times New Roman" w:eastAsia="Times New Roman" w:hAnsi="Times New Roman"/>
                <w:sz w:val="18"/>
                <w:szCs w:val="18"/>
                <w:color w:val="0000FF"/>
                <w:w w:val="98"/>
              </w:rPr>
            </w:pPr>
            <w:hyperlink r:id="rId137">
              <w:r>
                <w:rPr>
                  <w:rFonts w:ascii="Times New Roman" w:cs="Times New Roman" w:eastAsia="Times New Roman" w:hAnsi="Times New Roman"/>
                  <w:sz w:val="18"/>
                  <w:szCs w:val="18"/>
                  <w:color w:val="0000FF"/>
                  <w:w w:val="98"/>
                </w:rPr>
                <w:t>Open Market Sale Agreement</w:t>
              </w:r>
            </w:hyperlink>
          </w:p>
        </w:tc>
        <w:tc>
          <w:tcPr>
            <w:tcW w:w="180" w:type="dxa"/>
            <w:vAlign w:val="bottom"/>
            <w:tcBorders>
              <w:bottom w:val="single" w:sz="8" w:color="0000FF"/>
            </w:tcBorders>
            <w:gridSpan w:val="2"/>
            <w:vMerge w:val="continue"/>
          </w:tcPr>
          <w:p>
            <w:pPr>
              <w:spacing w:after="0"/>
              <w:rPr>
                <w:sz w:val="10"/>
                <w:szCs w:val="10"/>
                <w:color w:val="auto"/>
              </w:rPr>
            </w:pPr>
          </w:p>
        </w:tc>
        <w:tc>
          <w:tcPr>
            <w:tcW w:w="2920" w:type="dxa"/>
            <w:vAlign w:val="bottom"/>
            <w:gridSpan w:val="8"/>
            <w:vMerge w:val="restart"/>
          </w:tcPr>
          <w:p>
            <w:pPr>
              <w:spacing w:after="0" w:line="202"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 dated March 15, 2023, by and between</w:t>
              </w:r>
            </w:hyperlink>
          </w:p>
        </w:tc>
        <w:tc>
          <w:tcPr>
            <w:tcW w:w="200" w:type="dxa"/>
            <w:vAlign w:val="bottom"/>
            <w:gridSpan w:val="3"/>
            <w:vMerge w:val="restart"/>
          </w:tcPr>
          <w:p>
            <w:pPr>
              <w:spacing w:after="0"/>
              <w:rPr>
                <w:sz w:val="10"/>
                <w:szCs w:val="10"/>
                <w:color w:val="auto"/>
              </w:rPr>
            </w:pPr>
          </w:p>
        </w:tc>
        <w:tc>
          <w:tcPr>
            <w:tcW w:w="54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000" w:type="dxa"/>
            <w:vAlign w:val="bottom"/>
            <w:vMerge w:val="restart"/>
          </w:tcPr>
          <w:p>
            <w:pPr>
              <w:jc w:val="right"/>
              <w:ind w:right="76"/>
              <w:spacing w:after="0" w:line="202" w:lineRule="exact"/>
              <w:rPr>
                <w:sz w:val="20"/>
                <w:szCs w:val="20"/>
                <w:color w:val="auto"/>
              </w:rPr>
            </w:pPr>
            <w:r>
              <w:rPr>
                <w:rFonts w:ascii="Times New Roman" w:cs="Times New Roman" w:eastAsia="Times New Roman" w:hAnsi="Times New Roman"/>
                <w:sz w:val="18"/>
                <w:szCs w:val="18"/>
                <w:color w:val="auto"/>
              </w:rPr>
              <w:t>001-39527</w:t>
            </w:r>
          </w:p>
        </w:tc>
        <w:tc>
          <w:tcPr>
            <w:tcW w:w="920" w:type="dxa"/>
            <w:vAlign w:val="bottom"/>
            <w:vMerge w:val="restart"/>
          </w:tcPr>
          <w:p>
            <w:pPr>
              <w:jc w:val="center"/>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1040" w:type="dxa"/>
            <w:vAlign w:val="bottom"/>
            <w:vMerge w:val="restart"/>
          </w:tcPr>
          <w:p>
            <w:pPr>
              <w:ind w:left="60"/>
              <w:spacing w:after="0" w:line="202" w:lineRule="exact"/>
              <w:rPr>
                <w:sz w:val="20"/>
                <w:szCs w:val="20"/>
                <w:color w:val="auto"/>
              </w:rPr>
            </w:pPr>
            <w:r>
              <w:rPr>
                <w:rFonts w:ascii="Times New Roman" w:cs="Times New Roman" w:eastAsia="Times New Roman" w:hAnsi="Times New Roman"/>
                <w:sz w:val="18"/>
                <w:szCs w:val="18"/>
                <w:color w:val="auto"/>
              </w:rPr>
              <w:t>March 15,</w:t>
            </w: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tcBorders>
              <w:bottom w:val="single" w:sz="8" w:color="0000FF"/>
            </w:tcBorders>
            <w:gridSpan w:val="2"/>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920" w:type="dxa"/>
            <w:vAlign w:val="bottom"/>
            <w:tcBorders>
              <w:bottom w:val="single" w:sz="8" w:color="0000FF"/>
            </w:tcBorders>
            <w:gridSpan w:val="8"/>
            <w:vMerge w:val="continue"/>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Prelude Therapeutics Incorporated and Jefferies LLC.</w:t>
              </w:r>
            </w:hyperlink>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2023</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gridSpan w:val="4"/>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20" w:type="dxa"/>
            <w:vAlign w:val="bottom"/>
            <w:gridSpan w:val="4"/>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60" w:type="dxa"/>
            <w:vAlign w:val="bottom"/>
            <w:gridSpan w:val="6"/>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EE"/>
            </w:tcBorders>
            <w:gridSpan w:val="4"/>
            <w:shd w:val="clear" w:color="auto" w:fill="0000FF"/>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140" w:type="dxa"/>
            <w:vAlign w:val="bottom"/>
            <w:gridSpan w:val="2"/>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1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gridSpan w:val="1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7900" w:type="dxa"/>
            <w:vAlign w:val="bottom"/>
            <w:gridSpan w:val="3"/>
          </w:tcPr>
          <w:p>
            <w:pPr>
              <w:ind w:left="198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72"/>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31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01"/>
        </w:trPr>
        <w:tc>
          <w:tcPr>
            <w:tcW w:w="3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tcPr>
          <w:p>
            <w:pPr>
              <w:jc w:val="center"/>
              <w:ind w:right="730"/>
              <w:spacing w:after="0" w:line="201"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29"/>
        </w:trPr>
        <w:tc>
          <w:tcPr>
            <w:tcW w:w="3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48"/>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31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01"/>
        </w:trPr>
        <w:tc>
          <w:tcPr>
            <w:tcW w:w="3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tcPr>
          <w:p>
            <w:pPr>
              <w:jc w:val="center"/>
              <w:ind w:right="730"/>
              <w:spacing w:after="0" w:line="201" w:lineRule="exact"/>
              <w:rPr>
                <w:sz w:val="20"/>
                <w:szCs w:val="20"/>
                <w:color w:val="auto"/>
              </w:rPr>
            </w:pPr>
            <w:r>
              <w:rPr>
                <w:rFonts w:ascii="Times New Roman" w:cs="Times New Roman" w:eastAsia="Times New Roman" w:hAnsi="Times New Roman"/>
                <w:sz w:val="18"/>
                <w:szCs w:val="18"/>
                <w:color w:val="auto"/>
                <w:w w:val="99"/>
              </w:rPr>
              <w:t>Laurent Chardonnet</w:t>
            </w:r>
          </w:p>
        </w:tc>
      </w:tr>
      <w:tr>
        <w:trPr>
          <w:trHeight w:val="229"/>
        </w:trPr>
        <w:tc>
          <w:tcPr>
            <w:tcW w:w="3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33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7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(Principal Accounting Officer)</w:t>
            </w:r>
          </w:p>
        </w:tc>
      </w:tr>
      <w:tr>
        <w:trPr>
          <w:trHeight w:val="661"/>
        </w:trPr>
        <w:tc>
          <w:tcPr>
            <w:tcW w:w="3340" w:type="dxa"/>
            <w:vAlign w:val="bottom"/>
          </w:tcPr>
          <w:p>
            <w:pPr>
              <w:spacing w:after="0"/>
              <w:rPr>
                <w:sz w:val="24"/>
                <w:szCs w:val="24"/>
                <w:color w:val="auto"/>
              </w:rPr>
            </w:pPr>
          </w:p>
        </w:tc>
        <w:tc>
          <w:tcPr>
            <w:tcW w:w="31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24</w:t>
            </w:r>
          </w:p>
        </w:tc>
        <w:tc>
          <w:tcPr>
            <w:tcW w:w="4740" w:type="dxa"/>
            <w:vAlign w:val="bottom"/>
          </w:tcPr>
          <w:p>
            <w:pPr>
              <w:spacing w:after="0"/>
              <w:rPr>
                <w:sz w:val="24"/>
                <w:szCs w:val="24"/>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345"/>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Laurent Chardonnet, certify that:</w:t>
      </w:r>
    </w:p>
    <w:p>
      <w:pPr>
        <w:spacing w:after="0" w:line="22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248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03"/>
        </w:trPr>
        <w:tc>
          <w:tcPr>
            <w:tcW w:w="3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Laurent Chardonnet</w:t>
            </w:r>
          </w:p>
        </w:tc>
      </w:tr>
      <w:tr>
        <w:trPr>
          <w:trHeight w:val="216"/>
        </w:trPr>
        <w:tc>
          <w:tcPr>
            <w:tcW w:w="35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Financial Officer</w:t>
            </w:r>
          </w:p>
        </w:tc>
      </w:tr>
      <w:tr>
        <w:trPr>
          <w:trHeight w:val="236"/>
        </w:trPr>
        <w:tc>
          <w:tcPr>
            <w:tcW w:w="3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345"/>
        </w:trPr>
        <w:tc>
          <w:tcPr>
            <w:tcW w:w="35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4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2023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25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4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344"/>
        </w:trPr>
        <w:tc>
          <w:tcPr>
            <w:tcW w:w="342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Laurent Chardonnet, Chief Financial Officer of Prelude Therapeutics Incorporated (the “Company”), do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 to the best of my knowledge:</w:t>
      </w:r>
    </w:p>
    <w:p>
      <w:pPr>
        <w:spacing w:after="0" w:line="207" w:lineRule="exact"/>
        <w:rPr>
          <w:sz w:val="20"/>
          <w:szCs w:val="20"/>
          <w:color w:val="auto"/>
        </w:rPr>
      </w:pPr>
    </w:p>
    <w:p>
      <w:pPr>
        <w:ind w:left="1020" w:right="4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March 31, 2023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8, 2023</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Laurent Chardonnet</w:t>
            </w:r>
          </w:p>
        </w:tc>
      </w:tr>
      <w:tr>
        <w:trPr>
          <w:trHeight w:val="203"/>
        </w:trPr>
        <w:tc>
          <w:tcPr>
            <w:tcW w:w="34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Laurent Chardonnet</w:t>
            </w:r>
          </w:p>
        </w:tc>
      </w:tr>
      <w:tr>
        <w:trPr>
          <w:trHeight w:val="216"/>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344"/>
        </w:trPr>
        <w:tc>
          <w:tcPr>
            <w:tcW w:w="34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8"/>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36" Type="http://schemas.openxmlformats.org/officeDocument/2006/relationships/hyperlink" Target="https://www.sec.gov/Archives/edgar/data/1678660/000095017023001023/prld-ex3_1.htm" TargetMode="External"/><Relationship Id="rId137" Type="http://schemas.openxmlformats.org/officeDocument/2006/relationships/hyperlink" Target="https://www.sec.gov/Archives/edgar/data/1678660/000119312523071400/d405925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2023-05-08T07:16:49Z</dcterms:created>
  <dcterms:modified xsi:type="dcterms:W3CDTF">2023-05-08T07:16:49Z</dcterms:modified>
</cp:coreProperties>
</file>